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rFonts w:hAnsi="宋体"/>
          <w:b/>
          <w:bCs/>
          <w:color w:val="auto"/>
          <w:sz w:val="36"/>
          <w:szCs w:val="44"/>
        </w:rPr>
      </w:pPr>
    </w:p>
    <w:p>
      <w:pPr>
        <w:pStyle w:val="2"/>
        <w:ind w:left="400" w:firstLine="723"/>
        <w:rPr>
          <w:rFonts w:hAnsi="宋体"/>
          <w:b/>
          <w:bCs/>
          <w:color w:val="auto"/>
          <w:sz w:val="36"/>
          <w:szCs w:val="44"/>
        </w:rPr>
      </w:pPr>
    </w:p>
    <w:p>
      <w:pPr>
        <w:rPr>
          <w:color w:val="auto"/>
        </w:rPr>
      </w:pPr>
    </w:p>
    <w:p>
      <w:pPr>
        <w:jc w:val="center"/>
        <w:textAlignment w:val="baseline"/>
        <w:rPr>
          <w:rFonts w:hAnsi="宋体"/>
          <w:b/>
          <w:bCs/>
          <w:color w:val="auto"/>
          <w:sz w:val="36"/>
          <w:szCs w:val="44"/>
        </w:rPr>
      </w:pPr>
    </w:p>
    <w:p>
      <w:pPr>
        <w:jc w:val="center"/>
        <w:textAlignment w:val="baseline"/>
        <w:rPr>
          <w:rFonts w:hAnsi="宋体"/>
          <w:b/>
          <w:bCs/>
          <w:color w:val="auto"/>
          <w:sz w:val="36"/>
          <w:szCs w:val="44"/>
        </w:rPr>
      </w:pPr>
      <w:r>
        <w:rPr>
          <w:color w:val="auto"/>
          <w:sz w:val="36"/>
        </w:rPr>
        <mc:AlternateContent>
          <mc:Choice Requires="wps">
            <w:drawing>
              <wp:anchor distT="0" distB="0" distL="114300" distR="114300" simplePos="0" relativeHeight="251659264" behindDoc="0" locked="0" layoutInCell="1" allowOverlap="1">
                <wp:simplePos x="0" y="0"/>
                <wp:positionH relativeFrom="column">
                  <wp:posOffset>2437130</wp:posOffset>
                </wp:positionH>
                <wp:positionV relativeFrom="paragraph">
                  <wp:posOffset>57150</wp:posOffset>
                </wp:positionV>
                <wp:extent cx="3239770" cy="1668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239770" cy="1668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48" w:afterLines="20" w:line="520" w:lineRule="exact"/>
                              <w:jc w:val="center"/>
                              <w:rPr>
                                <w:rFonts w:hint="default"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rPr>
                              <w:t>遵化市</w:t>
                            </w:r>
                            <w:r>
                              <w:rPr>
                                <w:rFonts w:hint="eastAsia" w:ascii="方正小标宋简体" w:hAnsi="方正小标宋简体" w:eastAsia="方正小标宋简体" w:cs="方正小标宋简体"/>
                                <w:bCs/>
                                <w:sz w:val="32"/>
                                <w:szCs w:val="32"/>
                                <w:lang w:val="en-US" w:eastAsia="zh-CN"/>
                              </w:rPr>
                              <w:t>环境卫生管理中心2022年</w:t>
                            </w:r>
                          </w:p>
                          <w:p>
                            <w:pPr>
                              <w:spacing w:after="48" w:afterLines="20" w:line="520" w:lineRule="exact"/>
                              <w:jc w:val="cente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公厕清掏等费用及车辆保险项目</w:t>
                            </w:r>
                          </w:p>
                          <w:p>
                            <w:pPr>
                              <w:spacing w:after="48" w:afterLines="20" w:line="52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绩效评价报告</w:t>
                            </w:r>
                          </w:p>
                          <w:p>
                            <w:pPr>
                              <w:spacing w:line="500" w:lineRule="exact"/>
                              <w:jc w:val="both"/>
                              <w:rPr>
                                <w:rFonts w:asciiTheme="majorEastAsia" w:hAnsiTheme="majorEastAsia" w:eastAsiaTheme="majorEastAsia"/>
                                <w:b/>
                                <w:sz w:val="32"/>
                                <w:szCs w:val="32"/>
                                <w:highlight w:val="yellow"/>
                              </w:rPr>
                            </w:pPr>
                            <w:r>
                              <w:rPr>
                                <w:rFonts w:hint="eastAsia" w:cs="新宋体" w:asciiTheme="majorEastAsia" w:hAnsiTheme="majorEastAsia" w:eastAsiaTheme="majorEastAsia"/>
                                <w:b/>
                                <w:bCs/>
                                <w:sz w:val="21"/>
                                <w:szCs w:val="21"/>
                              </w:rPr>
                              <w:t xml:space="preserve">    </w:t>
                            </w:r>
                            <w:r>
                              <w:rPr>
                                <w:rFonts w:hint="eastAsia" w:cs="新宋体" w:asciiTheme="majorEastAsia" w:hAnsiTheme="majorEastAsia" w:eastAsiaTheme="majorEastAsia"/>
                                <w:b/>
                                <w:bCs/>
                                <w:sz w:val="21"/>
                                <w:szCs w:val="21"/>
                                <w:highlight w:val="none"/>
                              </w:rPr>
                              <w:t xml:space="preserve">   </w:t>
                            </w:r>
                            <w:r>
                              <w:rPr>
                                <w:rFonts w:hint="eastAsia" w:cs="新宋体" w:asciiTheme="majorEastAsia" w:hAnsiTheme="majorEastAsia" w:eastAsiaTheme="majorEastAsia"/>
                                <w:b/>
                                <w:bCs/>
                                <w:sz w:val="21"/>
                                <w:szCs w:val="21"/>
                                <w:highlight w:val="none"/>
                                <w:lang w:val="en-US" w:eastAsia="zh-CN"/>
                              </w:rPr>
                              <w:t xml:space="preserve">   </w:t>
                            </w:r>
                            <w:r>
                              <w:rPr>
                                <w:rFonts w:hint="eastAsia" w:hAnsi="宋体" w:cs="宋体"/>
                                <w:b/>
                                <w:bCs/>
                                <w:sz w:val="24"/>
                                <w:szCs w:val="24"/>
                                <w:highlight w:val="none"/>
                              </w:rPr>
                              <w:t>新正绩效（2023）第1145号</w:t>
                            </w:r>
                          </w:p>
                          <w:p>
                            <w:pPr>
                              <w:jc w:val="center"/>
                              <w:rPr>
                                <w:rFonts w:asciiTheme="majorEastAsia" w:hAnsiTheme="majorEastAsia" w:eastAsiaTheme="majorEastAsia"/>
                                <w:b/>
                                <w:sz w:val="32"/>
                                <w:szCs w:val="32"/>
                                <w:highlight w:val="yellow"/>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9pt;margin-top:4.5pt;height:131.4pt;width:255.1pt;z-index:251659264;mso-width-relative:page;mso-height-relative:page;" filled="f" stroked="f" coordsize="21600,21600" o:gfxdata="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nkHFrbAAAACQEAAA8AAAAAAAAAAQAgAAAAIgAA&#10;AGRycy9kb3ducmV2LnhtbFBLAQIUABQAAAAIAIdO4kBIy/ZtPgIAAGcEAAAOAAAAAAAAAAEAIAAA&#10;ACoBAABkcnMvZTJvRG9jLnhtbFBLBQYAAAAABgAGAFkBAADaBQAAAAA=&#10;">
                <v:fill on="f" focussize="0,0"/>
                <v:stroke on="f" weight="0.5pt"/>
                <v:imagedata o:title=""/>
                <o:lock v:ext="edit" aspectratio="f"/>
                <v:textbox>
                  <w:txbxContent>
                    <w:p>
                      <w:pPr>
                        <w:spacing w:after="48" w:afterLines="20" w:line="520" w:lineRule="exact"/>
                        <w:jc w:val="center"/>
                        <w:rPr>
                          <w:rFonts w:hint="default"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rPr>
                        <w:t>遵化市</w:t>
                      </w:r>
                      <w:r>
                        <w:rPr>
                          <w:rFonts w:hint="eastAsia" w:ascii="方正小标宋简体" w:hAnsi="方正小标宋简体" w:eastAsia="方正小标宋简体" w:cs="方正小标宋简体"/>
                          <w:bCs/>
                          <w:sz w:val="32"/>
                          <w:szCs w:val="32"/>
                          <w:lang w:val="en-US" w:eastAsia="zh-CN"/>
                        </w:rPr>
                        <w:t>环境卫生管理中心2022年</w:t>
                      </w:r>
                    </w:p>
                    <w:p>
                      <w:pPr>
                        <w:spacing w:after="48" w:afterLines="20" w:line="520" w:lineRule="exact"/>
                        <w:jc w:val="center"/>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公厕清掏等费用及车辆保险项目</w:t>
                      </w:r>
                    </w:p>
                    <w:p>
                      <w:pPr>
                        <w:spacing w:after="48" w:afterLines="20" w:line="52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绩效评价报告</w:t>
                      </w:r>
                    </w:p>
                    <w:p>
                      <w:pPr>
                        <w:spacing w:line="500" w:lineRule="exact"/>
                        <w:jc w:val="both"/>
                        <w:rPr>
                          <w:rFonts w:asciiTheme="majorEastAsia" w:hAnsiTheme="majorEastAsia" w:eastAsiaTheme="majorEastAsia"/>
                          <w:b/>
                          <w:sz w:val="32"/>
                          <w:szCs w:val="32"/>
                          <w:highlight w:val="yellow"/>
                        </w:rPr>
                      </w:pPr>
                      <w:r>
                        <w:rPr>
                          <w:rFonts w:hint="eastAsia" w:cs="新宋体" w:asciiTheme="majorEastAsia" w:hAnsiTheme="majorEastAsia" w:eastAsiaTheme="majorEastAsia"/>
                          <w:b/>
                          <w:bCs/>
                          <w:sz w:val="21"/>
                          <w:szCs w:val="21"/>
                        </w:rPr>
                        <w:t xml:space="preserve">    </w:t>
                      </w:r>
                      <w:r>
                        <w:rPr>
                          <w:rFonts w:hint="eastAsia" w:cs="新宋体" w:asciiTheme="majorEastAsia" w:hAnsiTheme="majorEastAsia" w:eastAsiaTheme="majorEastAsia"/>
                          <w:b/>
                          <w:bCs/>
                          <w:sz w:val="21"/>
                          <w:szCs w:val="21"/>
                          <w:highlight w:val="none"/>
                        </w:rPr>
                        <w:t xml:space="preserve">   </w:t>
                      </w:r>
                      <w:r>
                        <w:rPr>
                          <w:rFonts w:hint="eastAsia" w:cs="新宋体" w:asciiTheme="majorEastAsia" w:hAnsiTheme="majorEastAsia" w:eastAsiaTheme="majorEastAsia"/>
                          <w:b/>
                          <w:bCs/>
                          <w:sz w:val="21"/>
                          <w:szCs w:val="21"/>
                          <w:highlight w:val="none"/>
                          <w:lang w:val="en-US" w:eastAsia="zh-CN"/>
                        </w:rPr>
                        <w:t xml:space="preserve">   </w:t>
                      </w:r>
                      <w:r>
                        <w:rPr>
                          <w:rFonts w:hint="eastAsia" w:hAnsi="宋体" w:cs="宋体"/>
                          <w:b/>
                          <w:bCs/>
                          <w:sz w:val="24"/>
                          <w:szCs w:val="24"/>
                          <w:highlight w:val="none"/>
                        </w:rPr>
                        <w:t>新正绩效（2023）第1145号</w:t>
                      </w:r>
                    </w:p>
                    <w:p>
                      <w:pPr>
                        <w:jc w:val="center"/>
                        <w:rPr>
                          <w:rFonts w:asciiTheme="majorEastAsia" w:hAnsiTheme="majorEastAsia" w:eastAsiaTheme="majorEastAsia"/>
                          <w:b/>
                          <w:sz w:val="32"/>
                          <w:szCs w:val="32"/>
                          <w:highlight w:val="yellow"/>
                        </w:rPr>
                      </w:pPr>
                    </w:p>
                    <w:p/>
                  </w:txbxContent>
                </v:textbox>
              </v:shape>
            </w:pict>
          </mc:Fallback>
        </mc:AlternateContent>
      </w:r>
    </w:p>
    <w:p>
      <w:pPr>
        <w:jc w:val="center"/>
        <w:textAlignment w:val="baseline"/>
        <w:rPr>
          <w:rFonts w:hAnsi="宋体"/>
          <w:b/>
          <w:bCs/>
          <w:color w:val="auto"/>
          <w:sz w:val="24"/>
          <w:szCs w:val="24"/>
        </w:rPr>
      </w:pPr>
    </w:p>
    <w:p>
      <w:pPr>
        <w:jc w:val="center"/>
        <w:textAlignment w:val="baseline"/>
        <w:rPr>
          <w:rFonts w:hAnsi="宋体"/>
          <w:b/>
          <w:bCs/>
          <w:color w:val="auto"/>
          <w:sz w:val="24"/>
          <w:szCs w:val="24"/>
        </w:rPr>
      </w:pPr>
    </w:p>
    <w:p>
      <w:pPr>
        <w:jc w:val="center"/>
        <w:rPr>
          <w:rFonts w:asciiTheme="majorEastAsia" w:hAnsiTheme="majorEastAsia" w:eastAsiaTheme="majorEastAsia"/>
          <w:b/>
          <w:color w:val="auto"/>
          <w:sz w:val="32"/>
          <w:szCs w:val="32"/>
        </w:rPr>
      </w:pPr>
    </w:p>
    <w:p>
      <w:pPr>
        <w:spacing w:line="660" w:lineRule="exact"/>
        <w:ind w:firstLine="883" w:firstLineChars="200"/>
        <w:rPr>
          <w:rFonts w:ascii="新宋体" w:hAnsi="新宋体" w:eastAsia="新宋体" w:cs="黑体"/>
          <w:b/>
          <w:color w:val="auto"/>
          <w:sz w:val="44"/>
          <w:szCs w:val="44"/>
        </w:rPr>
      </w:pPr>
    </w:p>
    <w:p>
      <w:pPr>
        <w:textAlignment w:val="baseline"/>
        <w:rPr>
          <w:rFonts w:ascii="Times New Roman" w:eastAsia="黑体"/>
          <w:b/>
          <w:color w:val="auto"/>
          <w:szCs w:val="32"/>
        </w:rPr>
      </w:pPr>
    </w:p>
    <w:p>
      <w:pPr>
        <w:textAlignment w:val="baseline"/>
        <w:rPr>
          <w:rFonts w:hAnsi="宋体"/>
          <w:color w:val="auto"/>
          <w:szCs w:val="32"/>
        </w:rPr>
      </w:pPr>
    </w:p>
    <w:p>
      <w:pPr>
        <w:textAlignment w:val="baseline"/>
        <w:rPr>
          <w:rFonts w:hAnsi="宋体"/>
          <w:color w:val="auto"/>
          <w:szCs w:val="32"/>
        </w:rPr>
      </w:pPr>
    </w:p>
    <w:p>
      <w:pPr>
        <w:textAlignment w:val="baseline"/>
        <w:rPr>
          <w:rFonts w:hAnsi="宋体"/>
          <w:color w:val="auto"/>
          <w:szCs w:val="32"/>
        </w:rPr>
      </w:pPr>
    </w:p>
    <w:p>
      <w:pPr>
        <w:spacing w:line="276" w:lineRule="auto"/>
        <w:textAlignment w:val="baseline"/>
        <w:rPr>
          <w:rFonts w:ascii="仿宋" w:hAnsi="仿宋" w:eastAsia="仿宋"/>
          <w:color w:val="auto"/>
          <w:sz w:val="32"/>
          <w:szCs w:val="32"/>
        </w:rPr>
      </w:pPr>
    </w:p>
    <w:p>
      <w:pPr>
        <w:spacing w:line="276" w:lineRule="auto"/>
        <w:textAlignment w:val="baseline"/>
        <w:rPr>
          <w:rFonts w:ascii="仿宋" w:hAnsi="仿宋" w:eastAsia="仿宋"/>
          <w:color w:val="auto"/>
          <w:sz w:val="32"/>
          <w:szCs w:val="32"/>
        </w:rPr>
      </w:pPr>
    </w:p>
    <w:p>
      <w:pPr>
        <w:pStyle w:val="2"/>
        <w:rPr>
          <w:rFonts w:ascii="仿宋" w:hAnsi="仿宋" w:eastAsia="仿宋"/>
          <w:color w:val="auto"/>
          <w:sz w:val="32"/>
          <w:szCs w:val="32"/>
        </w:rPr>
      </w:pPr>
    </w:p>
    <w:p>
      <w:pPr>
        <w:rPr>
          <w:rFonts w:ascii="仿宋" w:hAnsi="仿宋" w:eastAsia="仿宋"/>
          <w:color w:val="auto"/>
          <w:sz w:val="32"/>
          <w:szCs w:val="32"/>
        </w:rPr>
      </w:pPr>
    </w:p>
    <w:p>
      <w:pPr>
        <w:pStyle w:val="2"/>
        <w:rPr>
          <w:rFonts w:ascii="仿宋" w:hAnsi="仿宋" w:eastAsia="仿宋"/>
          <w:color w:val="auto"/>
          <w:sz w:val="32"/>
          <w:szCs w:val="32"/>
        </w:rPr>
      </w:pPr>
    </w:p>
    <w:p>
      <w:pPr>
        <w:rPr>
          <w:rFonts w:ascii="仿宋" w:hAnsi="仿宋" w:eastAsia="仿宋"/>
          <w:color w:val="auto"/>
          <w:sz w:val="32"/>
          <w:szCs w:val="32"/>
        </w:rPr>
      </w:pPr>
    </w:p>
    <w:p>
      <w:pPr>
        <w:pStyle w:val="2"/>
        <w:rPr>
          <w:color w:val="auto"/>
        </w:rPr>
      </w:pPr>
    </w:p>
    <w:p>
      <w:pPr>
        <w:spacing w:line="276" w:lineRule="auto"/>
        <w:textAlignment w:val="baseline"/>
        <w:rPr>
          <w:rFonts w:ascii="仿宋" w:hAnsi="仿宋" w:eastAsia="仿宋"/>
          <w:color w:val="auto"/>
          <w:sz w:val="32"/>
          <w:szCs w:val="32"/>
        </w:rPr>
      </w:pPr>
    </w:p>
    <w:p>
      <w:pPr>
        <w:spacing w:line="276" w:lineRule="auto"/>
        <w:textAlignment w:val="baseline"/>
        <w:rPr>
          <w:rFonts w:ascii="仿宋" w:hAnsi="仿宋" w:eastAsia="仿宋"/>
          <w:color w:val="auto"/>
          <w:sz w:val="32"/>
          <w:szCs w:val="32"/>
        </w:rPr>
      </w:pPr>
    </w:p>
    <w:p>
      <w:pPr>
        <w:spacing w:line="360" w:lineRule="auto"/>
        <w:textAlignment w:val="baseline"/>
        <w:rPr>
          <w:rFonts w:hint="default" w:ascii="仿宋" w:hAnsi="仿宋" w:eastAsia="仿宋"/>
          <w:color w:val="auto"/>
          <w:sz w:val="30"/>
          <w:szCs w:val="30"/>
          <w:lang w:val="en-US" w:eastAsia="zh-CN"/>
        </w:rPr>
      </w:pPr>
      <w:r>
        <w:rPr>
          <w:rFonts w:hint="eastAsia" w:ascii="仿宋" w:hAnsi="仿宋" w:eastAsia="仿宋"/>
          <w:b/>
          <w:bCs/>
          <w:color w:val="auto"/>
          <w:sz w:val="30"/>
          <w:szCs w:val="30"/>
        </w:rPr>
        <w:t>委 托 方：</w:t>
      </w:r>
      <w:r>
        <w:rPr>
          <w:rFonts w:hint="eastAsia" w:ascii="仿宋" w:hAnsi="仿宋" w:eastAsia="仿宋"/>
          <w:color w:val="auto"/>
          <w:sz w:val="30"/>
          <w:szCs w:val="30"/>
        </w:rPr>
        <w:t>遵化市</w:t>
      </w:r>
      <w:r>
        <w:rPr>
          <w:rFonts w:hint="eastAsia" w:ascii="仿宋" w:hAnsi="仿宋" w:eastAsia="仿宋"/>
          <w:color w:val="auto"/>
          <w:sz w:val="30"/>
          <w:szCs w:val="30"/>
          <w:lang w:val="en-US" w:eastAsia="zh-CN"/>
        </w:rPr>
        <w:t>财政局</w:t>
      </w:r>
    </w:p>
    <w:p>
      <w:pPr>
        <w:spacing w:line="360" w:lineRule="auto"/>
        <w:textAlignment w:val="baseline"/>
        <w:rPr>
          <w:rFonts w:ascii="仿宋" w:hAnsi="仿宋" w:eastAsia="仿宋"/>
          <w:color w:val="auto"/>
          <w:sz w:val="30"/>
          <w:szCs w:val="30"/>
        </w:rPr>
      </w:pPr>
      <w:r>
        <w:rPr>
          <w:rFonts w:hint="eastAsia" w:ascii="仿宋" w:hAnsi="仿宋" w:eastAsia="仿宋"/>
          <w:b/>
          <w:bCs/>
          <w:color w:val="auto"/>
          <w:sz w:val="30"/>
          <w:szCs w:val="30"/>
        </w:rPr>
        <w:t>项目名称：</w:t>
      </w:r>
      <w:r>
        <w:rPr>
          <w:rFonts w:hint="eastAsia" w:ascii="仿宋" w:hAnsi="仿宋" w:eastAsia="仿宋"/>
          <w:color w:val="auto"/>
          <w:sz w:val="30"/>
          <w:szCs w:val="30"/>
          <w:lang w:val="en-US" w:eastAsia="zh-CN"/>
        </w:rPr>
        <w:t>2022年</w:t>
      </w:r>
      <w:r>
        <w:rPr>
          <w:rFonts w:hint="eastAsia" w:ascii="仿宋" w:hAnsi="仿宋" w:eastAsia="仿宋"/>
          <w:color w:val="auto"/>
          <w:sz w:val="30"/>
          <w:szCs w:val="30"/>
        </w:rPr>
        <w:t>公厕清掏等费用及车辆保险</w:t>
      </w:r>
    </w:p>
    <w:p>
      <w:pPr>
        <w:spacing w:line="360" w:lineRule="auto"/>
        <w:textAlignment w:val="baseline"/>
        <w:rPr>
          <w:rFonts w:ascii="仿宋" w:hAnsi="仿宋" w:eastAsia="仿宋"/>
          <w:color w:val="auto"/>
          <w:sz w:val="30"/>
          <w:szCs w:val="30"/>
        </w:rPr>
      </w:pPr>
      <w:r>
        <w:rPr>
          <w:rFonts w:hint="eastAsia" w:ascii="仿宋" w:hAnsi="仿宋" w:eastAsia="仿宋"/>
          <w:b/>
          <w:bCs/>
          <w:color w:val="auto"/>
          <w:sz w:val="30"/>
          <w:szCs w:val="30"/>
        </w:rPr>
        <w:t>项目单位：</w:t>
      </w:r>
      <w:r>
        <w:rPr>
          <w:rFonts w:hint="eastAsia" w:ascii="仿宋" w:hAnsi="仿宋" w:eastAsia="仿宋"/>
          <w:color w:val="auto"/>
          <w:sz w:val="30"/>
          <w:szCs w:val="30"/>
        </w:rPr>
        <w:t>遵化市环境卫生管理中心</w:t>
      </w:r>
    </w:p>
    <w:p>
      <w:pPr>
        <w:spacing w:line="360" w:lineRule="auto"/>
        <w:textAlignment w:val="baseline"/>
        <w:rPr>
          <w:rFonts w:ascii="仿宋" w:hAnsi="仿宋" w:eastAsia="仿宋"/>
          <w:color w:val="auto"/>
          <w:sz w:val="30"/>
          <w:szCs w:val="30"/>
        </w:rPr>
      </w:pPr>
      <w:r>
        <w:rPr>
          <w:rFonts w:hint="eastAsia" w:ascii="仿宋" w:hAnsi="仿宋" w:eastAsia="仿宋"/>
          <w:b/>
          <w:bCs/>
          <w:color w:val="auto"/>
          <w:sz w:val="30"/>
          <w:szCs w:val="30"/>
        </w:rPr>
        <w:t>评价机构：</w:t>
      </w:r>
      <w:r>
        <w:rPr>
          <w:rFonts w:hint="eastAsia" w:ascii="仿宋" w:hAnsi="仿宋" w:eastAsia="仿宋"/>
          <w:color w:val="auto"/>
          <w:sz w:val="30"/>
          <w:szCs w:val="30"/>
        </w:rPr>
        <w:t>唐山市新正会计师事务所（普通合伙）</w:t>
      </w:r>
    </w:p>
    <w:p>
      <w:pPr>
        <w:spacing w:line="360" w:lineRule="auto"/>
        <w:rPr>
          <w:rFonts w:ascii="仿宋" w:hAnsi="仿宋" w:eastAsia="仿宋" w:cs="仿宋"/>
          <w:color w:val="auto"/>
          <w:sz w:val="30"/>
          <w:szCs w:val="30"/>
        </w:rPr>
      </w:pPr>
      <w:r>
        <w:rPr>
          <w:rFonts w:hint="eastAsia" w:ascii="仿宋" w:hAnsi="仿宋" w:eastAsia="仿宋"/>
          <w:b/>
          <w:bCs/>
          <w:color w:val="auto"/>
          <w:sz w:val="30"/>
          <w:szCs w:val="30"/>
          <w:highlight w:val="none"/>
        </w:rPr>
        <w:t>报告日期：</w:t>
      </w:r>
      <w:r>
        <w:rPr>
          <w:rFonts w:hint="eastAsia" w:ascii="仿宋" w:hAnsi="仿宋" w:eastAsia="仿宋" w:cs="仿宋"/>
          <w:color w:val="auto"/>
          <w:sz w:val="30"/>
          <w:szCs w:val="30"/>
          <w:highlight w:val="none"/>
        </w:rPr>
        <w:t>二〇二三年</w:t>
      </w:r>
      <w:r>
        <w:rPr>
          <w:rFonts w:hint="eastAsia" w:ascii="仿宋" w:hAnsi="仿宋" w:eastAsia="仿宋" w:cs="仿宋"/>
          <w:color w:val="auto"/>
          <w:sz w:val="30"/>
          <w:szCs w:val="30"/>
          <w:highlight w:val="none"/>
          <w:lang w:val="en-US" w:eastAsia="zh-CN"/>
        </w:rPr>
        <w:t>七</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三十一</w:t>
      </w:r>
      <w:r>
        <w:rPr>
          <w:rFonts w:hint="eastAsia" w:ascii="仿宋" w:hAnsi="仿宋" w:eastAsia="仿宋" w:cs="仿宋"/>
          <w:color w:val="auto"/>
          <w:sz w:val="30"/>
          <w:szCs w:val="30"/>
          <w:highlight w:val="none"/>
        </w:rPr>
        <w:t>日</w:t>
      </w:r>
      <w:r>
        <w:rPr>
          <w:rFonts w:ascii="仿宋" w:hAnsi="仿宋" w:eastAsia="仿宋" w:cs="仿宋"/>
          <w:color w:val="auto"/>
          <w:sz w:val="30"/>
          <w:szCs w:val="30"/>
        </w:rPr>
        <w:br w:type="page"/>
      </w:r>
    </w:p>
    <w:p>
      <w:pPr>
        <w:pStyle w:val="38"/>
        <w:bidi w:val="0"/>
        <w:rPr>
          <w:rFonts w:hint="default"/>
          <w:lang w:val="en-US" w:eastAsia="zh-CN"/>
        </w:rPr>
      </w:pPr>
      <w:r>
        <w:rPr>
          <w:rFonts w:hint="eastAsia"/>
        </w:rPr>
        <w:t>遵化市环境卫生管理中心</w:t>
      </w:r>
      <w:r>
        <w:rPr>
          <w:rFonts w:hint="eastAsia"/>
          <w:lang w:val="en-US" w:eastAsia="zh-CN"/>
        </w:rPr>
        <w:t>2022年</w:t>
      </w:r>
    </w:p>
    <w:p>
      <w:pPr>
        <w:pStyle w:val="38"/>
        <w:bidi w:val="0"/>
      </w:pPr>
      <w:bookmarkStart w:id="0" w:name="_Toc57373820"/>
      <w:r>
        <w:rPr>
          <w:rFonts w:hint="eastAsia"/>
        </w:rPr>
        <w:t>公厕清掏等费用及车辆保险项目</w:t>
      </w:r>
    </w:p>
    <w:p>
      <w:pPr>
        <w:pStyle w:val="38"/>
        <w:bidi w:val="0"/>
      </w:pPr>
      <w:r>
        <w:rPr>
          <w:rFonts w:hint="eastAsia"/>
        </w:rPr>
        <w:t>绩效评价报告</w:t>
      </w:r>
      <w:bookmarkEnd w:id="0"/>
    </w:p>
    <w:p>
      <w:pPr>
        <w:jc w:val="center"/>
        <w:rPr>
          <w:rFonts w:asciiTheme="majorEastAsia" w:hAnsiTheme="majorEastAsia" w:eastAsiaTheme="majorEastAsia"/>
          <w:b/>
          <w:color w:val="auto"/>
          <w:sz w:val="36"/>
          <w:szCs w:val="36"/>
        </w:rPr>
      </w:pPr>
    </w:p>
    <w:p>
      <w:pPr>
        <w:spacing w:line="360" w:lineRule="auto"/>
        <w:textAlignment w:val="baseline"/>
        <w:rPr>
          <w:rFonts w:ascii="仿宋" w:hAnsi="仿宋" w:eastAsia="仿宋" w:cs="仿宋_GB2312"/>
          <w:b/>
          <w:color w:val="auto"/>
          <w:sz w:val="30"/>
          <w:szCs w:val="30"/>
        </w:rPr>
      </w:pPr>
      <w:bookmarkStart w:id="1" w:name="_Toc29302675"/>
      <w:r>
        <w:rPr>
          <w:rFonts w:hint="eastAsia" w:ascii="仿宋" w:hAnsi="仿宋" w:eastAsia="仿宋" w:cs="仿宋_GB2312"/>
          <w:b/>
          <w:color w:val="auto"/>
          <w:sz w:val="30"/>
          <w:szCs w:val="30"/>
          <w:lang w:val="en-US" w:eastAsia="zh-CN"/>
        </w:rPr>
        <w:t>遵化市</w:t>
      </w:r>
      <w:r>
        <w:rPr>
          <w:rFonts w:hint="eastAsia" w:ascii="仿宋" w:hAnsi="仿宋" w:eastAsia="仿宋" w:cs="仿宋_GB2312"/>
          <w:b/>
          <w:color w:val="auto"/>
          <w:sz w:val="30"/>
          <w:szCs w:val="30"/>
        </w:rPr>
        <w:t>财政局：</w:t>
      </w:r>
      <w:bookmarkEnd w:id="1"/>
    </w:p>
    <w:p>
      <w:pPr>
        <w:pStyle w:val="41"/>
        <w:bidi w:val="0"/>
        <w:rPr>
          <w:lang w:val="zh-CN"/>
        </w:rPr>
      </w:pPr>
      <w:r>
        <w:rPr>
          <w:rFonts w:hint="eastAsia"/>
          <w:lang w:val="zh-CN"/>
        </w:rPr>
        <w:t>为了解遵化市环境卫生管理中心</w:t>
      </w:r>
      <w:r>
        <w:rPr>
          <w:rFonts w:hint="eastAsia"/>
          <w:lang w:val="en-US"/>
        </w:rPr>
        <w:t>2022年</w:t>
      </w:r>
      <w:r>
        <w:rPr>
          <w:rFonts w:hint="eastAsia"/>
          <w:lang w:val="zh-CN"/>
        </w:rPr>
        <w:t>公厕清掏等费用及车辆保险项目</w:t>
      </w:r>
      <w:r>
        <w:rPr>
          <w:rFonts w:hint="eastAsia"/>
          <w:lang w:val="en-US"/>
        </w:rPr>
        <w:t>资金</w:t>
      </w:r>
      <w:r>
        <w:rPr>
          <w:rFonts w:hint="eastAsia"/>
          <w:lang w:val="zh-CN"/>
        </w:rPr>
        <w:t>使用情况，加强财政支出绩效管理，建立科学、规范的财政支出绩效评价体系，提高财政资金使用效益，我们接受贵单位委托，对遵化市环境卫生管理中心</w:t>
      </w:r>
      <w:r>
        <w:rPr>
          <w:rFonts w:hint="eastAsia"/>
          <w:lang w:val="en-US"/>
        </w:rPr>
        <w:t>2022年</w:t>
      </w:r>
      <w:r>
        <w:rPr>
          <w:rFonts w:hint="eastAsia"/>
          <w:lang w:val="zh-CN"/>
        </w:rPr>
        <w:t>公厕清掏等费用及车辆保险项目进行绩效评价。在绩效评价过程中，我们结合项目的实际情况，实施了包括询问查证、实地查看等我们认为必要的程序。经评价，该项目综合绩效评价得分</w:t>
      </w:r>
      <w:r>
        <w:rPr>
          <w:rFonts w:hint="eastAsia"/>
          <w:lang w:val="en-US"/>
        </w:rPr>
        <w:t>80.68</w:t>
      </w:r>
      <w:r>
        <w:rPr>
          <w:rFonts w:hint="eastAsia"/>
          <w:lang w:val="zh-CN"/>
        </w:rPr>
        <w:t>分，评价等级为“</w:t>
      </w:r>
      <w:r>
        <w:rPr>
          <w:rFonts w:hint="eastAsia"/>
          <w:lang w:val="en-US"/>
        </w:rPr>
        <w:t>良</w:t>
      </w:r>
      <w:r>
        <w:rPr>
          <w:rFonts w:hint="eastAsia"/>
          <w:lang w:val="zh-CN"/>
        </w:rPr>
        <w:t>”。</w:t>
      </w:r>
    </w:p>
    <w:p>
      <w:pPr>
        <w:pStyle w:val="2"/>
        <w:ind w:left="400" w:firstLine="600"/>
        <w:rPr>
          <w:rFonts w:ascii="仿宋" w:hAnsi="仿宋" w:eastAsia="仿宋" w:cs="仿宋_GB2312"/>
          <w:color w:val="auto"/>
          <w:sz w:val="30"/>
          <w:szCs w:val="30"/>
          <w:lang w:val="zh-CN" w:bidi="zh-CN"/>
        </w:rPr>
      </w:pPr>
    </w:p>
    <w:p>
      <w:pPr>
        <w:rPr>
          <w:rFonts w:ascii="仿宋" w:hAnsi="仿宋" w:eastAsia="仿宋" w:cs="仿宋_GB2312"/>
          <w:color w:val="auto"/>
          <w:sz w:val="30"/>
          <w:szCs w:val="30"/>
          <w:lang w:val="zh-CN" w:bidi="zh-CN"/>
        </w:rPr>
      </w:pPr>
    </w:p>
    <w:p>
      <w:pPr>
        <w:pStyle w:val="2"/>
        <w:rPr>
          <w:rFonts w:ascii="仿宋" w:hAnsi="仿宋" w:eastAsia="仿宋" w:cs="仿宋_GB2312"/>
          <w:color w:val="auto"/>
          <w:sz w:val="30"/>
          <w:szCs w:val="30"/>
          <w:lang w:val="zh-CN" w:bidi="zh-CN"/>
        </w:rPr>
      </w:pPr>
    </w:p>
    <w:p>
      <w:pPr>
        <w:rPr>
          <w:rFonts w:ascii="仿宋" w:hAnsi="仿宋" w:eastAsia="仿宋" w:cs="仿宋_GB2312"/>
          <w:color w:val="auto"/>
          <w:sz w:val="30"/>
          <w:szCs w:val="30"/>
          <w:lang w:val="zh-CN" w:bidi="zh-CN"/>
        </w:rPr>
      </w:pPr>
    </w:p>
    <w:p>
      <w:pPr>
        <w:pStyle w:val="2"/>
        <w:rPr>
          <w:rFonts w:ascii="仿宋" w:hAnsi="仿宋" w:eastAsia="仿宋" w:cs="仿宋_GB2312"/>
          <w:color w:val="auto"/>
          <w:sz w:val="30"/>
          <w:szCs w:val="30"/>
          <w:lang w:val="zh-CN" w:bidi="zh-CN"/>
        </w:rPr>
      </w:pPr>
    </w:p>
    <w:p>
      <w:pPr>
        <w:rPr>
          <w:color w:val="auto"/>
          <w:lang w:val="zh-CN"/>
        </w:rPr>
      </w:pPr>
    </w:p>
    <w:p>
      <w:pPr>
        <w:rPr>
          <w:color w:val="auto"/>
          <w:lang w:val="zh-CN"/>
        </w:rPr>
      </w:pPr>
    </w:p>
    <w:tbl>
      <w:tblPr>
        <w:tblStyle w:val="19"/>
        <w:tblW w:w="5000" w:type="pct"/>
        <w:tblInd w:w="0" w:type="dxa"/>
        <w:tblLayout w:type="autofit"/>
        <w:tblCellMar>
          <w:top w:w="0" w:type="dxa"/>
          <w:left w:w="108" w:type="dxa"/>
          <w:bottom w:w="0" w:type="dxa"/>
          <w:right w:w="108" w:type="dxa"/>
        </w:tblCellMar>
      </w:tblPr>
      <w:tblGrid>
        <w:gridCol w:w="9061"/>
      </w:tblGrid>
      <w:tr>
        <w:tblPrEx>
          <w:tblCellMar>
            <w:top w:w="0" w:type="dxa"/>
            <w:left w:w="108" w:type="dxa"/>
            <w:bottom w:w="0" w:type="dxa"/>
            <w:right w:w="108" w:type="dxa"/>
          </w:tblCellMar>
        </w:tblPrEx>
        <w:trPr>
          <w:trHeight w:val="680" w:hRule="atLeast"/>
        </w:trPr>
        <w:tc>
          <w:tcPr>
            <w:tcW w:w="5000" w:type="pct"/>
            <w:vAlign w:val="center"/>
          </w:tcPr>
          <w:p>
            <w:pPr>
              <w:tabs>
                <w:tab w:val="left" w:pos="574"/>
              </w:tabs>
              <w:autoSpaceDE/>
              <w:autoSpaceDN/>
              <w:adjustRightInd/>
              <w:spacing w:line="400" w:lineRule="exact"/>
              <w:jc w:val="center"/>
              <w:rPr>
                <w:rFonts w:ascii="仿宋" w:hAnsi="仿宋" w:eastAsia="仿宋" w:cs="仿宋"/>
                <w:b/>
                <w:color w:val="auto"/>
                <w:kern w:val="2"/>
                <w:sz w:val="30"/>
                <w:szCs w:val="30"/>
              </w:rPr>
            </w:pPr>
            <w:r>
              <w:rPr>
                <w:rFonts w:hint="eastAsia" w:ascii="仿宋" w:hAnsi="仿宋" w:eastAsia="仿宋" w:cs="仿宋"/>
                <w:b/>
                <w:color w:val="auto"/>
                <w:kern w:val="2"/>
                <w:sz w:val="30"/>
                <w:szCs w:val="30"/>
              </w:rPr>
              <w:t xml:space="preserve">                  报告主评人：</w:t>
            </w:r>
          </w:p>
        </w:tc>
      </w:tr>
      <w:tr>
        <w:tblPrEx>
          <w:tblCellMar>
            <w:top w:w="0" w:type="dxa"/>
            <w:left w:w="108" w:type="dxa"/>
            <w:bottom w:w="0" w:type="dxa"/>
            <w:right w:w="108" w:type="dxa"/>
          </w:tblCellMar>
        </w:tblPrEx>
        <w:trPr>
          <w:trHeight w:val="680" w:hRule="atLeast"/>
        </w:trPr>
        <w:tc>
          <w:tcPr>
            <w:tcW w:w="5000" w:type="pct"/>
            <w:vAlign w:val="center"/>
          </w:tcPr>
          <w:p>
            <w:pPr>
              <w:tabs>
                <w:tab w:val="left" w:pos="574"/>
              </w:tabs>
              <w:autoSpaceDE/>
              <w:autoSpaceDN/>
              <w:adjustRightInd/>
              <w:spacing w:line="400" w:lineRule="exact"/>
              <w:jc w:val="right"/>
              <w:rPr>
                <w:rFonts w:ascii="仿宋" w:hAnsi="仿宋" w:eastAsia="仿宋" w:cs="仿宋"/>
                <w:b/>
                <w:color w:val="auto"/>
                <w:kern w:val="2"/>
                <w:sz w:val="30"/>
                <w:szCs w:val="30"/>
              </w:rPr>
            </w:pPr>
            <w:r>
              <w:rPr>
                <w:rFonts w:hint="eastAsia" w:ascii="仿宋" w:hAnsi="仿宋" w:eastAsia="仿宋" w:cs="仿宋"/>
                <w:b/>
                <w:color w:val="auto"/>
                <w:kern w:val="2"/>
                <w:sz w:val="30"/>
                <w:szCs w:val="30"/>
              </w:rPr>
              <w:t>唐山市新正会计师事务所（普通合伙）</w:t>
            </w:r>
          </w:p>
        </w:tc>
      </w:tr>
      <w:tr>
        <w:tblPrEx>
          <w:tblCellMar>
            <w:top w:w="0" w:type="dxa"/>
            <w:left w:w="108" w:type="dxa"/>
            <w:bottom w:w="0" w:type="dxa"/>
            <w:right w:w="108" w:type="dxa"/>
          </w:tblCellMar>
        </w:tblPrEx>
        <w:trPr>
          <w:trHeight w:val="680" w:hRule="atLeast"/>
        </w:trPr>
        <w:tc>
          <w:tcPr>
            <w:tcW w:w="5000" w:type="pct"/>
            <w:vAlign w:val="center"/>
          </w:tcPr>
          <w:p>
            <w:pPr>
              <w:tabs>
                <w:tab w:val="left" w:pos="574"/>
              </w:tabs>
              <w:autoSpaceDE/>
              <w:autoSpaceDN/>
              <w:adjustRightInd/>
              <w:spacing w:line="400" w:lineRule="exact"/>
              <w:jc w:val="center"/>
              <w:rPr>
                <w:rFonts w:ascii="仿宋" w:hAnsi="仿宋" w:eastAsia="仿宋" w:cs="仿宋"/>
                <w:b/>
                <w:color w:val="auto"/>
                <w:kern w:val="2"/>
                <w:sz w:val="30"/>
                <w:szCs w:val="30"/>
              </w:rPr>
            </w:pPr>
            <w:r>
              <w:rPr>
                <w:rFonts w:hint="eastAsia" w:ascii="仿宋" w:hAnsi="仿宋" w:eastAsia="仿宋" w:cs="仿宋"/>
                <w:b/>
                <w:color w:val="auto"/>
                <w:sz w:val="30"/>
                <w:szCs w:val="30"/>
              </w:rPr>
              <w:t xml:space="preserve">                </w:t>
            </w:r>
            <w:r>
              <w:rPr>
                <w:rFonts w:hint="eastAsia" w:ascii="仿宋" w:hAnsi="仿宋" w:eastAsia="仿宋" w:cs="仿宋"/>
                <w:b/>
                <w:color w:val="auto"/>
                <w:sz w:val="30"/>
                <w:szCs w:val="30"/>
                <w:highlight w:val="none"/>
              </w:rPr>
              <w:t xml:space="preserve">   二〇二三年</w:t>
            </w: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月三十一日</w:t>
            </w:r>
          </w:p>
        </w:tc>
      </w:tr>
    </w:tbl>
    <w:p>
      <w:pPr>
        <w:spacing w:after="48" w:afterLines="20" w:line="520" w:lineRule="exact"/>
        <w:textAlignment w:val="baseline"/>
        <w:rPr>
          <w:rFonts w:ascii="仿宋" w:hAnsi="仿宋" w:eastAsia="仿宋" w:cs="仿宋"/>
          <w:color w:val="auto"/>
          <w:sz w:val="30"/>
          <w:szCs w:val="30"/>
        </w:rPr>
      </w:pPr>
      <w:r>
        <w:rPr>
          <w:rFonts w:ascii="仿宋" w:hAnsi="仿宋" w:eastAsia="仿宋" w:cs="仿宋"/>
          <w:color w:val="auto"/>
          <w:sz w:val="30"/>
          <w:szCs w:val="30"/>
        </w:rPr>
        <w:br w:type="page"/>
      </w:r>
    </w:p>
    <w:sdt>
      <w:sdtPr>
        <w:rPr>
          <w:rFonts w:hint="eastAsia" w:ascii="方正小标宋简体" w:hAnsi="方正小标宋简体" w:eastAsia="方正小标宋简体" w:cs="方正小标宋简体"/>
          <w:bCs/>
          <w:color w:val="auto"/>
          <w:sz w:val="44"/>
          <w:szCs w:val="44"/>
        </w:rPr>
        <w:id w:val="1136294287"/>
        <w:docPartObj>
          <w:docPartGallery w:val="Table of Contents"/>
          <w:docPartUnique/>
        </w:docPartObj>
      </w:sdtPr>
      <w:sdtEndPr>
        <w:rPr>
          <w:rFonts w:hint="eastAsia" w:ascii="方正小标宋简体" w:hAnsi="方正小标宋简体" w:eastAsia="方正小标宋简体" w:cs="方正小标宋简体"/>
          <w:bCs/>
          <w:color w:val="auto"/>
          <w:sz w:val="32"/>
          <w:szCs w:val="32"/>
        </w:rPr>
      </w:sdtEndPr>
      <w:sdtContent>
        <w:sdt>
          <w:sdtPr>
            <w:rPr>
              <w:rFonts w:hint="eastAsia" w:ascii="方正小标宋简体" w:hAnsi="方正小标宋简体" w:eastAsia="方正小标宋简体" w:cs="方正小标宋简体"/>
              <w:bCs/>
              <w:color w:val="auto"/>
              <w:sz w:val="44"/>
              <w:szCs w:val="44"/>
            </w:rPr>
            <w:id w:val="147478054"/>
            <w:docPartObj>
              <w:docPartGallery w:val="Table of Contents"/>
              <w:docPartUnique/>
            </w:docPartObj>
          </w:sdtPr>
          <w:sdtEndPr>
            <w:rPr>
              <w:rFonts w:hint="eastAsia" w:ascii="方正小标宋简体" w:hAnsi="方正小标宋简体" w:eastAsia="方正小标宋简体" w:cs="方正小标宋简体"/>
              <w:bCs/>
              <w:color w:val="auto"/>
              <w:sz w:val="32"/>
              <w:szCs w:val="32"/>
            </w:rPr>
          </w:sdtEndPr>
          <w:sdtContent>
            <w:p>
              <w:pPr>
                <w:spacing w:after="48" w:afterLines="20" w:line="520" w:lineRule="exact"/>
                <w:jc w:val="center"/>
                <w:rPr>
                  <w:rFonts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目    录</w:t>
              </w:r>
            </w:p>
            <w:p>
              <w:pPr>
                <w:jc w:val="center"/>
                <w:rPr>
                  <w:b/>
                  <w:bCs/>
                  <w:color w:val="auto"/>
                  <w:sz w:val="44"/>
                  <w:szCs w:val="44"/>
                </w:rPr>
              </w:pP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
                  <w:bCs/>
                  <w:color w:val="auto"/>
                  <w:sz w:val="36"/>
                  <w:szCs w:val="44"/>
                </w:rPr>
                <w:fldChar w:fldCharType="begin"/>
              </w:r>
              <w:r>
                <w:rPr>
                  <w:rFonts w:hAnsi="宋体"/>
                  <w:b/>
                  <w:bCs/>
                  <w:color w:val="auto"/>
                  <w:sz w:val="36"/>
                  <w:szCs w:val="44"/>
                </w:rPr>
                <w:instrText xml:space="preserve">TOC \o "1-2" \h \u </w:instrText>
              </w:r>
              <w:r>
                <w:rPr>
                  <w:rFonts w:hAnsi="宋体"/>
                  <w:b/>
                  <w:bCs/>
                  <w:color w:val="auto"/>
                  <w:sz w:val="36"/>
                  <w:szCs w:val="44"/>
                </w:rPr>
                <w:fldChar w:fldCharType="separate"/>
              </w:r>
              <w:r>
                <w:rPr>
                  <w:rFonts w:hAnsi="宋体"/>
                  <w:bCs/>
                  <w:color w:val="auto"/>
                  <w:sz w:val="28"/>
                  <w:szCs w:val="28"/>
                </w:rPr>
                <w:fldChar w:fldCharType="begin"/>
              </w:r>
              <w:r>
                <w:rPr>
                  <w:rFonts w:hAnsi="宋体"/>
                  <w:bCs/>
                  <w:sz w:val="28"/>
                  <w:szCs w:val="28"/>
                </w:rPr>
                <w:instrText xml:space="preserve"> HYPERLINK \l _Toc4918 </w:instrText>
              </w:r>
              <w:r>
                <w:rPr>
                  <w:rFonts w:hAnsi="宋体"/>
                  <w:bCs/>
                  <w:sz w:val="28"/>
                  <w:szCs w:val="28"/>
                </w:rPr>
                <w:fldChar w:fldCharType="separate"/>
              </w:r>
              <w:r>
                <w:rPr>
                  <w:rFonts w:hint="eastAsia" w:ascii="黑体" w:hAnsi="黑体" w:eastAsia="黑体" w:cs="黑体"/>
                  <w:bCs/>
                  <w:sz w:val="28"/>
                  <w:szCs w:val="28"/>
                </w:rPr>
                <w:t>一</w:t>
              </w:r>
              <w:r>
                <w:rPr>
                  <w:rFonts w:hint="eastAsia" w:ascii="黑体" w:hAnsi="黑体" w:eastAsia="黑体" w:cs="黑体"/>
                  <w:bCs/>
                  <w:sz w:val="28"/>
                  <w:szCs w:val="28"/>
                  <w:lang w:eastAsia="zh-CN"/>
                </w:rPr>
                <w:t>、</w:t>
              </w:r>
              <w:r>
                <w:rPr>
                  <w:rFonts w:hint="eastAsia" w:ascii="黑体" w:hAnsi="黑体" w:eastAsia="黑体" w:cs="黑体"/>
                  <w:bCs/>
                  <w:sz w:val="28"/>
                  <w:szCs w:val="28"/>
                </w:rPr>
                <w:t>项目基本情况</w:t>
              </w:r>
              <w:r>
                <w:rPr>
                  <w:sz w:val="28"/>
                  <w:szCs w:val="28"/>
                </w:rPr>
                <w:tab/>
              </w:r>
              <w:r>
                <w:rPr>
                  <w:sz w:val="28"/>
                  <w:szCs w:val="28"/>
                </w:rPr>
                <w:fldChar w:fldCharType="begin"/>
              </w:r>
              <w:r>
                <w:rPr>
                  <w:sz w:val="28"/>
                  <w:szCs w:val="28"/>
                </w:rPr>
                <w:instrText xml:space="preserve"> PAGEREF _Toc4918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_Toc12892 </w:instrText>
              </w:r>
              <w:r>
                <w:rPr>
                  <w:rFonts w:hAnsi="宋体"/>
                  <w:bCs/>
                  <w:sz w:val="28"/>
                  <w:szCs w:val="28"/>
                </w:rPr>
                <w:fldChar w:fldCharType="separate"/>
              </w:r>
              <w:r>
                <w:rPr>
                  <w:rFonts w:hint="eastAsia" w:ascii="华文楷体" w:hAnsi="华文楷体" w:eastAsia="华文楷体" w:cs="华文楷体"/>
                  <w:bCs/>
                  <w:sz w:val="28"/>
                  <w:szCs w:val="28"/>
                </w:rPr>
                <w:t>（一）项目概况</w:t>
              </w:r>
              <w:r>
                <w:rPr>
                  <w:sz w:val="28"/>
                  <w:szCs w:val="28"/>
                </w:rPr>
                <w:tab/>
              </w:r>
              <w:r>
                <w:rPr>
                  <w:sz w:val="28"/>
                  <w:szCs w:val="28"/>
                </w:rPr>
                <w:fldChar w:fldCharType="begin"/>
              </w:r>
              <w:r>
                <w:rPr>
                  <w:sz w:val="28"/>
                  <w:szCs w:val="28"/>
                </w:rPr>
                <w:instrText xml:space="preserve"> PAGEREF _Toc12892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_Toc5211 </w:instrText>
              </w:r>
              <w:r>
                <w:rPr>
                  <w:rFonts w:hAnsi="宋体"/>
                  <w:bCs/>
                  <w:sz w:val="28"/>
                  <w:szCs w:val="28"/>
                </w:rPr>
                <w:fldChar w:fldCharType="separate"/>
              </w:r>
              <w:r>
                <w:rPr>
                  <w:rFonts w:hint="eastAsia" w:ascii="华文楷体" w:hAnsi="华文楷体" w:eastAsia="华文楷体" w:cs="华文楷体"/>
                  <w:bCs/>
                  <w:sz w:val="28"/>
                  <w:szCs w:val="28"/>
                </w:rPr>
                <w:t>（二）项目绩效目标</w:t>
              </w:r>
              <w:r>
                <w:rPr>
                  <w:sz w:val="28"/>
                  <w:szCs w:val="28"/>
                </w:rPr>
                <w:tab/>
              </w:r>
              <w:r>
                <w:rPr>
                  <w:sz w:val="28"/>
                  <w:szCs w:val="28"/>
                </w:rPr>
                <w:fldChar w:fldCharType="begin"/>
              </w:r>
              <w:r>
                <w:rPr>
                  <w:sz w:val="28"/>
                  <w:szCs w:val="28"/>
                </w:rPr>
                <w:instrText xml:space="preserve"> PAGEREF _Toc5211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_Toc22711 </w:instrText>
              </w:r>
              <w:r>
                <w:rPr>
                  <w:rFonts w:hAnsi="宋体"/>
                  <w:bCs/>
                  <w:sz w:val="28"/>
                  <w:szCs w:val="28"/>
                </w:rPr>
                <w:fldChar w:fldCharType="separate"/>
              </w:r>
              <w:r>
                <w:rPr>
                  <w:rFonts w:hint="eastAsia" w:ascii="黑体" w:hAnsi="黑体" w:eastAsia="黑体" w:cs="黑体"/>
                  <w:bCs/>
                  <w:sz w:val="28"/>
                  <w:szCs w:val="28"/>
                </w:rPr>
                <w:t>二</w:t>
              </w:r>
              <w:r>
                <w:rPr>
                  <w:rFonts w:hint="eastAsia" w:ascii="黑体" w:hAnsi="黑体" w:eastAsia="黑体" w:cs="黑体"/>
                  <w:bCs/>
                  <w:sz w:val="28"/>
                  <w:szCs w:val="28"/>
                  <w:lang w:eastAsia="zh-CN"/>
                </w:rPr>
                <w:t>、</w:t>
              </w:r>
              <w:r>
                <w:rPr>
                  <w:rFonts w:hint="eastAsia" w:ascii="黑体" w:hAnsi="黑体" w:eastAsia="黑体" w:cs="黑体"/>
                  <w:bCs/>
                  <w:sz w:val="28"/>
                  <w:szCs w:val="28"/>
                </w:rPr>
                <w:t>项目实施情况</w:t>
              </w:r>
              <w:r>
                <w:rPr>
                  <w:sz w:val="28"/>
                  <w:szCs w:val="28"/>
                </w:rPr>
                <w:tab/>
              </w:r>
              <w:r>
                <w:rPr>
                  <w:sz w:val="28"/>
                  <w:szCs w:val="28"/>
                </w:rPr>
                <w:fldChar w:fldCharType="begin"/>
              </w:r>
              <w:r>
                <w:rPr>
                  <w:sz w:val="28"/>
                  <w:szCs w:val="28"/>
                </w:rPr>
                <w:instrText xml:space="preserve"> PAGEREF _Toc22711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_Toc4745 </w:instrText>
              </w:r>
              <w:r>
                <w:rPr>
                  <w:rFonts w:hAnsi="宋体"/>
                  <w:bCs/>
                  <w:sz w:val="28"/>
                  <w:szCs w:val="28"/>
                </w:rPr>
                <w:fldChar w:fldCharType="separate"/>
              </w:r>
              <w:r>
                <w:rPr>
                  <w:rFonts w:hint="eastAsia" w:ascii="华文楷体" w:hAnsi="华文楷体" w:eastAsia="华文楷体" w:cs="华文楷体"/>
                  <w:bCs/>
                  <w:sz w:val="28"/>
                  <w:szCs w:val="28"/>
                </w:rPr>
                <w:t>（一）项目资金</w:t>
              </w:r>
              <w:r>
                <w:rPr>
                  <w:rFonts w:hint="eastAsia" w:ascii="华文楷体" w:hAnsi="华文楷体" w:eastAsia="华文楷体" w:cs="华文楷体"/>
                  <w:bCs/>
                  <w:sz w:val="28"/>
                  <w:szCs w:val="28"/>
                  <w:lang w:val="en-US" w:eastAsia="zh-CN"/>
                </w:rPr>
                <w:t>到位、</w:t>
              </w:r>
              <w:r>
                <w:rPr>
                  <w:rFonts w:hint="eastAsia" w:ascii="华文楷体" w:hAnsi="华文楷体" w:eastAsia="华文楷体" w:cs="华文楷体"/>
                  <w:bCs/>
                  <w:sz w:val="28"/>
                  <w:szCs w:val="28"/>
                </w:rPr>
                <w:t>使用及管理情况</w:t>
              </w:r>
              <w:r>
                <w:rPr>
                  <w:sz w:val="28"/>
                  <w:szCs w:val="28"/>
                </w:rPr>
                <w:tab/>
              </w:r>
              <w:r>
                <w:rPr>
                  <w:sz w:val="28"/>
                  <w:szCs w:val="28"/>
                </w:rPr>
                <w:fldChar w:fldCharType="begin"/>
              </w:r>
              <w:r>
                <w:rPr>
                  <w:sz w:val="28"/>
                  <w:szCs w:val="28"/>
                </w:rPr>
                <w:instrText xml:space="preserve"> PAGEREF _Toc4745 \h </w:instrText>
              </w:r>
              <w:r>
                <w:rPr>
                  <w:sz w:val="28"/>
                  <w:szCs w:val="28"/>
                </w:rPr>
                <w:fldChar w:fldCharType="separate"/>
              </w:r>
              <w:r>
                <w:rPr>
                  <w:sz w:val="28"/>
                  <w:szCs w:val="28"/>
                </w:rPr>
                <w:t>1</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_Toc16018 </w:instrText>
              </w:r>
              <w:r>
                <w:rPr>
                  <w:rFonts w:hAnsi="宋体"/>
                  <w:bCs/>
                  <w:sz w:val="28"/>
                  <w:szCs w:val="28"/>
                </w:rPr>
                <w:fldChar w:fldCharType="separate"/>
              </w:r>
              <w:r>
                <w:rPr>
                  <w:rFonts w:hint="eastAsia" w:ascii="华文楷体" w:hAnsi="华文楷体" w:eastAsia="华文楷体" w:cs="华文楷体"/>
                  <w:bCs/>
                  <w:sz w:val="28"/>
                  <w:szCs w:val="28"/>
                </w:rPr>
                <w:t>（二）项目组织实施管理情况</w:t>
              </w:r>
              <w:r>
                <w:rPr>
                  <w:sz w:val="28"/>
                  <w:szCs w:val="28"/>
                </w:rPr>
                <w:tab/>
              </w:r>
              <w:r>
                <w:rPr>
                  <w:sz w:val="28"/>
                  <w:szCs w:val="28"/>
                </w:rPr>
                <w:fldChar w:fldCharType="begin"/>
              </w:r>
              <w:r>
                <w:rPr>
                  <w:sz w:val="28"/>
                  <w:szCs w:val="28"/>
                </w:rPr>
                <w:instrText xml:space="preserve"> PAGEREF _Toc16018 \h </w:instrText>
              </w:r>
              <w:r>
                <w:rPr>
                  <w:sz w:val="28"/>
                  <w:szCs w:val="28"/>
                </w:rPr>
                <w:fldChar w:fldCharType="separate"/>
              </w:r>
              <w:r>
                <w:rPr>
                  <w:sz w:val="28"/>
                  <w:szCs w:val="28"/>
                </w:rPr>
                <w:t>3</w:t>
              </w:r>
              <w:r>
                <w:rPr>
                  <w:sz w:val="28"/>
                  <w:szCs w:val="28"/>
                </w:rPr>
                <w:fldChar w:fldCharType="end"/>
              </w:r>
              <w:r>
                <w:rPr>
                  <w:rFonts w:hAnsi="宋体"/>
                  <w:bCs/>
                  <w:color w:val="auto"/>
                  <w:sz w:val="28"/>
                  <w:szCs w:val="28"/>
                </w:rPr>
                <w:fldChar w:fldCharType="end"/>
              </w: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_Toc9066 </w:instrText>
              </w:r>
              <w:r>
                <w:rPr>
                  <w:rFonts w:hAnsi="宋体"/>
                  <w:bCs/>
                  <w:sz w:val="28"/>
                  <w:szCs w:val="28"/>
                </w:rPr>
                <w:fldChar w:fldCharType="separate"/>
              </w:r>
              <w:r>
                <w:rPr>
                  <w:rFonts w:hint="eastAsia" w:ascii="黑体" w:hAnsi="黑体" w:eastAsia="黑体" w:cs="黑体"/>
                  <w:bCs/>
                  <w:sz w:val="28"/>
                  <w:szCs w:val="28"/>
                </w:rPr>
                <w:t>三</w:t>
              </w:r>
              <w:r>
                <w:rPr>
                  <w:rFonts w:hint="eastAsia" w:ascii="黑体" w:hAnsi="黑体" w:eastAsia="黑体" w:cs="黑体"/>
                  <w:bCs/>
                  <w:sz w:val="28"/>
                  <w:szCs w:val="28"/>
                  <w:lang w:eastAsia="zh-CN"/>
                </w:rPr>
                <w:t>、</w:t>
              </w:r>
              <w:r>
                <w:rPr>
                  <w:rFonts w:hint="eastAsia" w:ascii="黑体" w:hAnsi="黑体" w:eastAsia="黑体" w:cs="黑体"/>
                  <w:bCs/>
                  <w:sz w:val="28"/>
                  <w:szCs w:val="28"/>
                </w:rPr>
                <w:t>绩效评价工作情况</w:t>
              </w:r>
              <w:r>
                <w:rPr>
                  <w:sz w:val="28"/>
                  <w:szCs w:val="28"/>
                </w:rPr>
                <w:tab/>
              </w:r>
              <w:r>
                <w:rPr>
                  <w:sz w:val="28"/>
                  <w:szCs w:val="28"/>
                </w:rPr>
                <w:fldChar w:fldCharType="begin"/>
              </w:r>
              <w:r>
                <w:rPr>
                  <w:sz w:val="28"/>
                  <w:szCs w:val="28"/>
                </w:rPr>
                <w:instrText xml:space="preserve"> PAGEREF _Toc9066 \h </w:instrText>
              </w:r>
              <w:r>
                <w:rPr>
                  <w:sz w:val="28"/>
                  <w:szCs w:val="28"/>
                </w:rPr>
                <w:fldChar w:fldCharType="separate"/>
              </w:r>
              <w:r>
                <w:rPr>
                  <w:sz w:val="28"/>
                  <w:szCs w:val="28"/>
                </w:rPr>
                <w:t>5</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_Toc6582 </w:instrText>
              </w:r>
              <w:r>
                <w:rPr>
                  <w:rFonts w:hAnsi="宋体"/>
                  <w:bCs/>
                  <w:sz w:val="28"/>
                  <w:szCs w:val="28"/>
                </w:rPr>
                <w:fldChar w:fldCharType="separate"/>
              </w:r>
              <w:r>
                <w:rPr>
                  <w:rFonts w:hint="eastAsia" w:ascii="华文楷体" w:hAnsi="华文楷体" w:eastAsia="华文楷体" w:cs="华文楷体"/>
                  <w:bCs/>
                  <w:sz w:val="28"/>
                  <w:szCs w:val="28"/>
                </w:rPr>
                <w:t>（一）绩效评价目的</w:t>
              </w:r>
              <w:r>
                <w:rPr>
                  <w:sz w:val="28"/>
                  <w:szCs w:val="28"/>
                </w:rPr>
                <w:tab/>
              </w:r>
              <w:r>
                <w:rPr>
                  <w:sz w:val="28"/>
                  <w:szCs w:val="28"/>
                </w:rPr>
                <w:fldChar w:fldCharType="begin"/>
              </w:r>
              <w:r>
                <w:rPr>
                  <w:sz w:val="28"/>
                  <w:szCs w:val="28"/>
                </w:rPr>
                <w:instrText xml:space="preserve"> PAGEREF _Toc6582 \h </w:instrText>
              </w:r>
              <w:r>
                <w:rPr>
                  <w:sz w:val="28"/>
                  <w:szCs w:val="28"/>
                </w:rPr>
                <w:fldChar w:fldCharType="separate"/>
              </w:r>
              <w:r>
                <w:rPr>
                  <w:sz w:val="28"/>
                  <w:szCs w:val="28"/>
                </w:rPr>
                <w:t>5</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_Toc26951 </w:instrText>
              </w:r>
              <w:r>
                <w:rPr>
                  <w:rFonts w:hAnsi="宋体"/>
                  <w:bCs/>
                  <w:sz w:val="28"/>
                  <w:szCs w:val="28"/>
                </w:rPr>
                <w:fldChar w:fldCharType="separate"/>
              </w:r>
              <w:r>
                <w:rPr>
                  <w:rFonts w:hint="eastAsia" w:ascii="华文楷体" w:hAnsi="华文楷体" w:eastAsia="华文楷体" w:cs="华文楷体"/>
                  <w:bCs/>
                  <w:sz w:val="28"/>
                  <w:szCs w:val="28"/>
                </w:rPr>
                <w:t>（二）绩效评价依据</w:t>
              </w:r>
              <w:r>
                <w:rPr>
                  <w:sz w:val="28"/>
                  <w:szCs w:val="28"/>
                </w:rPr>
                <w:tab/>
              </w:r>
              <w:r>
                <w:rPr>
                  <w:sz w:val="28"/>
                  <w:szCs w:val="28"/>
                </w:rPr>
                <w:fldChar w:fldCharType="begin"/>
              </w:r>
              <w:r>
                <w:rPr>
                  <w:sz w:val="28"/>
                  <w:szCs w:val="28"/>
                </w:rPr>
                <w:instrText xml:space="preserve"> PAGEREF _Toc26951 \h </w:instrText>
              </w:r>
              <w:r>
                <w:rPr>
                  <w:sz w:val="28"/>
                  <w:szCs w:val="28"/>
                </w:rPr>
                <w:fldChar w:fldCharType="separate"/>
              </w:r>
              <w:r>
                <w:rPr>
                  <w:sz w:val="28"/>
                  <w:szCs w:val="28"/>
                </w:rPr>
                <w:t>5</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_Toc16483 </w:instrText>
              </w:r>
              <w:r>
                <w:rPr>
                  <w:rFonts w:hAnsi="宋体"/>
                  <w:bCs/>
                  <w:sz w:val="28"/>
                  <w:szCs w:val="28"/>
                </w:rPr>
                <w:fldChar w:fldCharType="separate"/>
              </w:r>
              <w:r>
                <w:rPr>
                  <w:rFonts w:hint="eastAsia" w:ascii="华文楷体" w:hAnsi="华文楷体" w:eastAsia="华文楷体" w:cs="华文楷体"/>
                  <w:bCs/>
                  <w:sz w:val="28"/>
                  <w:szCs w:val="28"/>
                </w:rPr>
                <w:t>（三）评价对象、范围及内容</w:t>
              </w:r>
              <w:r>
                <w:rPr>
                  <w:sz w:val="28"/>
                  <w:szCs w:val="28"/>
                </w:rPr>
                <w:tab/>
              </w:r>
              <w:r>
                <w:rPr>
                  <w:sz w:val="28"/>
                  <w:szCs w:val="28"/>
                </w:rPr>
                <w:fldChar w:fldCharType="begin"/>
              </w:r>
              <w:r>
                <w:rPr>
                  <w:sz w:val="28"/>
                  <w:szCs w:val="28"/>
                </w:rPr>
                <w:instrText xml:space="preserve"> PAGEREF _Toc16483 \h </w:instrText>
              </w:r>
              <w:r>
                <w:rPr>
                  <w:sz w:val="28"/>
                  <w:szCs w:val="28"/>
                </w:rPr>
                <w:fldChar w:fldCharType="separate"/>
              </w:r>
              <w:r>
                <w:rPr>
                  <w:sz w:val="28"/>
                  <w:szCs w:val="28"/>
                </w:rPr>
                <w:t>6</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_Toc4625 </w:instrText>
              </w:r>
              <w:r>
                <w:rPr>
                  <w:rFonts w:hAnsi="宋体"/>
                  <w:bCs/>
                  <w:sz w:val="28"/>
                  <w:szCs w:val="28"/>
                </w:rPr>
                <w:fldChar w:fldCharType="separate"/>
              </w:r>
              <w:r>
                <w:rPr>
                  <w:rFonts w:hint="eastAsia" w:ascii="华文楷体" w:hAnsi="华文楷体" w:eastAsia="华文楷体" w:cs="华文楷体"/>
                  <w:bCs/>
                  <w:sz w:val="28"/>
                  <w:szCs w:val="28"/>
                </w:rPr>
                <w:t>（四）绩效评价指标体系</w:t>
              </w:r>
              <w:r>
                <w:rPr>
                  <w:sz w:val="28"/>
                  <w:szCs w:val="28"/>
                </w:rPr>
                <w:tab/>
              </w:r>
              <w:r>
                <w:rPr>
                  <w:sz w:val="28"/>
                  <w:szCs w:val="28"/>
                </w:rPr>
                <w:fldChar w:fldCharType="begin"/>
              </w:r>
              <w:r>
                <w:rPr>
                  <w:sz w:val="28"/>
                  <w:szCs w:val="28"/>
                </w:rPr>
                <w:instrText xml:space="preserve"> PAGEREF _Toc4625 \h </w:instrText>
              </w:r>
              <w:r>
                <w:rPr>
                  <w:sz w:val="28"/>
                  <w:szCs w:val="28"/>
                </w:rPr>
                <w:fldChar w:fldCharType="separate"/>
              </w:r>
              <w:r>
                <w:rPr>
                  <w:sz w:val="28"/>
                  <w:szCs w:val="28"/>
                </w:rPr>
                <w:t>7</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_Toc24243 </w:instrText>
              </w:r>
              <w:r>
                <w:rPr>
                  <w:rFonts w:hAnsi="宋体"/>
                  <w:bCs/>
                  <w:sz w:val="28"/>
                  <w:szCs w:val="28"/>
                </w:rPr>
                <w:fldChar w:fldCharType="separate"/>
              </w:r>
              <w:r>
                <w:rPr>
                  <w:rFonts w:hint="eastAsia" w:ascii="华文楷体" w:hAnsi="华文楷体" w:eastAsia="华文楷体" w:cs="华文楷体"/>
                  <w:bCs/>
                  <w:sz w:val="28"/>
                  <w:szCs w:val="28"/>
                </w:rPr>
                <w:t>（五）绩效评价原则、评价方法</w:t>
              </w:r>
              <w:r>
                <w:rPr>
                  <w:sz w:val="28"/>
                  <w:szCs w:val="28"/>
                </w:rPr>
                <w:tab/>
              </w:r>
              <w:r>
                <w:rPr>
                  <w:sz w:val="28"/>
                  <w:szCs w:val="28"/>
                </w:rPr>
                <w:fldChar w:fldCharType="begin"/>
              </w:r>
              <w:r>
                <w:rPr>
                  <w:sz w:val="28"/>
                  <w:szCs w:val="28"/>
                </w:rPr>
                <w:instrText xml:space="preserve"> PAGEREF _Toc24243 \h </w:instrText>
              </w:r>
              <w:r>
                <w:rPr>
                  <w:sz w:val="28"/>
                  <w:szCs w:val="28"/>
                </w:rPr>
                <w:fldChar w:fldCharType="separate"/>
              </w:r>
              <w:r>
                <w:rPr>
                  <w:sz w:val="28"/>
                  <w:szCs w:val="28"/>
                </w:rPr>
                <w:t>8</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_Toc8127 </w:instrText>
              </w:r>
              <w:r>
                <w:rPr>
                  <w:rFonts w:hAnsi="宋体"/>
                  <w:bCs/>
                  <w:sz w:val="28"/>
                  <w:szCs w:val="28"/>
                </w:rPr>
                <w:fldChar w:fldCharType="separate"/>
              </w:r>
              <w:r>
                <w:rPr>
                  <w:rFonts w:hint="eastAsia" w:ascii="华文楷体" w:hAnsi="华文楷体" w:eastAsia="华文楷体" w:cs="华文楷体"/>
                  <w:bCs/>
                  <w:sz w:val="28"/>
                  <w:szCs w:val="28"/>
                </w:rPr>
                <w:t>（六）绩效评价工作过程</w:t>
              </w:r>
              <w:r>
                <w:rPr>
                  <w:sz w:val="28"/>
                  <w:szCs w:val="28"/>
                </w:rPr>
                <w:tab/>
              </w:r>
              <w:r>
                <w:rPr>
                  <w:sz w:val="28"/>
                  <w:szCs w:val="28"/>
                </w:rPr>
                <w:fldChar w:fldCharType="begin"/>
              </w:r>
              <w:r>
                <w:rPr>
                  <w:sz w:val="28"/>
                  <w:szCs w:val="28"/>
                </w:rPr>
                <w:instrText xml:space="preserve"> PAGEREF _Toc8127 \h </w:instrText>
              </w:r>
              <w:r>
                <w:rPr>
                  <w:sz w:val="28"/>
                  <w:szCs w:val="28"/>
                </w:rPr>
                <w:fldChar w:fldCharType="separate"/>
              </w:r>
              <w:r>
                <w:rPr>
                  <w:sz w:val="28"/>
                  <w:szCs w:val="28"/>
                </w:rPr>
                <w:t>9</w:t>
              </w:r>
              <w:r>
                <w:rPr>
                  <w:sz w:val="28"/>
                  <w:szCs w:val="28"/>
                </w:rPr>
                <w:fldChar w:fldCharType="end"/>
              </w:r>
              <w:r>
                <w:rPr>
                  <w:rFonts w:hAnsi="宋体"/>
                  <w:bCs/>
                  <w:color w:val="auto"/>
                  <w:sz w:val="28"/>
                  <w:szCs w:val="28"/>
                </w:rPr>
                <w:fldChar w:fldCharType="end"/>
              </w: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_Toc25590 </w:instrText>
              </w:r>
              <w:r>
                <w:rPr>
                  <w:rFonts w:hAnsi="宋体"/>
                  <w:bCs/>
                  <w:sz w:val="28"/>
                  <w:szCs w:val="28"/>
                </w:rPr>
                <w:fldChar w:fldCharType="separate"/>
              </w:r>
              <w:r>
                <w:rPr>
                  <w:rFonts w:hint="eastAsia" w:ascii="黑体" w:hAnsi="黑体" w:eastAsia="黑体" w:cs="黑体"/>
                  <w:bCs/>
                  <w:sz w:val="28"/>
                  <w:szCs w:val="28"/>
                </w:rPr>
                <w:t>四</w:t>
              </w:r>
              <w:r>
                <w:rPr>
                  <w:rFonts w:hint="eastAsia" w:ascii="黑体" w:hAnsi="黑体" w:eastAsia="黑体" w:cs="黑体"/>
                  <w:bCs/>
                  <w:sz w:val="28"/>
                  <w:szCs w:val="28"/>
                  <w:lang w:eastAsia="zh-CN"/>
                </w:rPr>
                <w:t>、</w:t>
              </w:r>
              <w:r>
                <w:rPr>
                  <w:rFonts w:hint="eastAsia" w:ascii="黑体" w:hAnsi="黑体" w:eastAsia="黑体" w:cs="黑体"/>
                  <w:bCs/>
                  <w:sz w:val="28"/>
                  <w:szCs w:val="28"/>
                </w:rPr>
                <w:t>项目绩效情况</w:t>
              </w:r>
              <w:r>
                <w:rPr>
                  <w:sz w:val="28"/>
                  <w:szCs w:val="28"/>
                </w:rPr>
                <w:tab/>
              </w:r>
              <w:r>
                <w:rPr>
                  <w:sz w:val="28"/>
                  <w:szCs w:val="28"/>
                </w:rPr>
                <w:fldChar w:fldCharType="begin"/>
              </w:r>
              <w:r>
                <w:rPr>
                  <w:sz w:val="28"/>
                  <w:szCs w:val="28"/>
                </w:rPr>
                <w:instrText xml:space="preserve"> PAGEREF _Toc25590 \h </w:instrText>
              </w:r>
              <w:r>
                <w:rPr>
                  <w:sz w:val="28"/>
                  <w:szCs w:val="28"/>
                </w:rPr>
                <w:fldChar w:fldCharType="separate"/>
              </w:r>
              <w:r>
                <w:rPr>
                  <w:sz w:val="28"/>
                  <w:szCs w:val="28"/>
                </w:rPr>
                <w:t>10</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_Toc19630 </w:instrText>
              </w:r>
              <w:r>
                <w:rPr>
                  <w:rFonts w:hAnsi="宋体"/>
                  <w:bCs/>
                  <w:sz w:val="28"/>
                  <w:szCs w:val="28"/>
                </w:rPr>
                <w:fldChar w:fldCharType="separate"/>
              </w:r>
              <w:r>
                <w:rPr>
                  <w:rFonts w:hint="eastAsia" w:ascii="华文楷体" w:hAnsi="华文楷体" w:eastAsia="华文楷体" w:cs="华文楷体"/>
                  <w:bCs/>
                  <w:sz w:val="28"/>
                  <w:szCs w:val="28"/>
                </w:rPr>
                <w:t>（一）项目产出</w:t>
              </w:r>
              <w:r>
                <w:rPr>
                  <w:sz w:val="28"/>
                  <w:szCs w:val="28"/>
                </w:rPr>
                <w:tab/>
              </w:r>
              <w:r>
                <w:rPr>
                  <w:sz w:val="28"/>
                  <w:szCs w:val="28"/>
                </w:rPr>
                <w:fldChar w:fldCharType="begin"/>
              </w:r>
              <w:r>
                <w:rPr>
                  <w:sz w:val="28"/>
                  <w:szCs w:val="28"/>
                </w:rPr>
                <w:instrText xml:space="preserve"> PAGEREF _Toc19630 \h </w:instrText>
              </w:r>
              <w:r>
                <w:rPr>
                  <w:sz w:val="28"/>
                  <w:szCs w:val="28"/>
                </w:rPr>
                <w:fldChar w:fldCharType="separate"/>
              </w:r>
              <w:r>
                <w:rPr>
                  <w:sz w:val="28"/>
                  <w:szCs w:val="28"/>
                </w:rPr>
                <w:t>10</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_Toc20514 </w:instrText>
              </w:r>
              <w:r>
                <w:rPr>
                  <w:rFonts w:hAnsi="宋体"/>
                  <w:bCs/>
                  <w:sz w:val="28"/>
                  <w:szCs w:val="28"/>
                </w:rPr>
                <w:fldChar w:fldCharType="separate"/>
              </w:r>
              <w:r>
                <w:rPr>
                  <w:rFonts w:hint="eastAsia" w:ascii="华文楷体" w:hAnsi="华文楷体" w:eastAsia="华文楷体" w:cs="华文楷体"/>
                  <w:bCs/>
                  <w:sz w:val="28"/>
                  <w:szCs w:val="28"/>
                </w:rPr>
                <w:t>（二）项目效益</w:t>
              </w:r>
              <w:r>
                <w:rPr>
                  <w:sz w:val="28"/>
                  <w:szCs w:val="28"/>
                </w:rPr>
                <w:tab/>
              </w:r>
              <w:r>
                <w:rPr>
                  <w:sz w:val="28"/>
                  <w:szCs w:val="28"/>
                </w:rPr>
                <w:fldChar w:fldCharType="begin"/>
              </w:r>
              <w:r>
                <w:rPr>
                  <w:sz w:val="28"/>
                  <w:szCs w:val="28"/>
                </w:rPr>
                <w:instrText xml:space="preserve"> PAGEREF _Toc20514 \h </w:instrText>
              </w:r>
              <w:r>
                <w:rPr>
                  <w:sz w:val="28"/>
                  <w:szCs w:val="28"/>
                </w:rPr>
                <w:fldChar w:fldCharType="separate"/>
              </w:r>
              <w:r>
                <w:rPr>
                  <w:sz w:val="28"/>
                  <w:szCs w:val="28"/>
                </w:rPr>
                <w:t>11</w:t>
              </w:r>
              <w:r>
                <w:rPr>
                  <w:sz w:val="28"/>
                  <w:szCs w:val="28"/>
                </w:rPr>
                <w:fldChar w:fldCharType="end"/>
              </w:r>
              <w:r>
                <w:rPr>
                  <w:rFonts w:hAnsi="宋体"/>
                  <w:bCs/>
                  <w:color w:val="auto"/>
                  <w:sz w:val="28"/>
                  <w:szCs w:val="28"/>
                </w:rPr>
                <w:fldChar w:fldCharType="end"/>
              </w: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_Toc13280 </w:instrText>
              </w:r>
              <w:r>
                <w:rPr>
                  <w:rFonts w:hAnsi="宋体"/>
                  <w:bCs/>
                  <w:sz w:val="28"/>
                  <w:szCs w:val="28"/>
                </w:rPr>
                <w:fldChar w:fldCharType="separate"/>
              </w:r>
              <w:r>
                <w:rPr>
                  <w:rFonts w:hint="eastAsia" w:ascii="黑体" w:hAnsi="黑体" w:eastAsia="黑体" w:cs="黑体"/>
                  <w:bCs/>
                  <w:sz w:val="28"/>
                  <w:szCs w:val="28"/>
                </w:rPr>
                <w:t>五</w:t>
              </w:r>
              <w:r>
                <w:rPr>
                  <w:rFonts w:hint="eastAsia" w:ascii="黑体" w:hAnsi="黑体" w:eastAsia="黑体" w:cs="黑体"/>
                  <w:bCs/>
                  <w:sz w:val="28"/>
                  <w:szCs w:val="28"/>
                  <w:lang w:eastAsia="zh-CN"/>
                </w:rPr>
                <w:t>、</w:t>
              </w:r>
              <w:r>
                <w:rPr>
                  <w:rFonts w:hint="eastAsia" w:ascii="黑体" w:hAnsi="黑体" w:eastAsia="黑体" w:cs="黑体"/>
                  <w:bCs/>
                  <w:sz w:val="28"/>
                  <w:szCs w:val="28"/>
                </w:rPr>
                <w:t>综合评价情况及评价结论</w:t>
              </w:r>
              <w:r>
                <w:rPr>
                  <w:sz w:val="28"/>
                  <w:szCs w:val="28"/>
                </w:rPr>
                <w:tab/>
              </w:r>
              <w:r>
                <w:rPr>
                  <w:sz w:val="28"/>
                  <w:szCs w:val="28"/>
                </w:rPr>
                <w:fldChar w:fldCharType="begin"/>
              </w:r>
              <w:r>
                <w:rPr>
                  <w:sz w:val="28"/>
                  <w:szCs w:val="28"/>
                </w:rPr>
                <w:instrText xml:space="preserve"> PAGEREF _Toc13280 \h </w:instrText>
              </w:r>
              <w:r>
                <w:rPr>
                  <w:sz w:val="28"/>
                  <w:szCs w:val="28"/>
                </w:rPr>
                <w:fldChar w:fldCharType="separate"/>
              </w:r>
              <w:r>
                <w:rPr>
                  <w:sz w:val="28"/>
                  <w:szCs w:val="28"/>
                </w:rPr>
                <w:t>11</w:t>
              </w:r>
              <w:r>
                <w:rPr>
                  <w:sz w:val="28"/>
                  <w:szCs w:val="28"/>
                </w:rPr>
                <w:fldChar w:fldCharType="end"/>
              </w:r>
              <w:r>
                <w:rPr>
                  <w:rFonts w:hAnsi="宋体"/>
                  <w:bCs/>
                  <w:color w:val="auto"/>
                  <w:sz w:val="28"/>
                  <w:szCs w:val="28"/>
                </w:rPr>
                <w:fldChar w:fldCharType="end"/>
              </w: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_Toc2443 </w:instrText>
              </w:r>
              <w:r>
                <w:rPr>
                  <w:rFonts w:hAnsi="宋体"/>
                  <w:bCs/>
                  <w:sz w:val="28"/>
                  <w:szCs w:val="28"/>
                </w:rPr>
                <w:fldChar w:fldCharType="separate"/>
              </w:r>
              <w:r>
                <w:rPr>
                  <w:rFonts w:hint="eastAsia" w:ascii="黑体" w:hAnsi="黑体" w:eastAsia="黑体" w:cs="黑体"/>
                  <w:bCs/>
                  <w:sz w:val="28"/>
                  <w:szCs w:val="28"/>
                </w:rPr>
                <w:t>六</w:t>
              </w:r>
              <w:r>
                <w:rPr>
                  <w:rFonts w:hint="eastAsia" w:ascii="黑体" w:hAnsi="黑体" w:eastAsia="黑体" w:cs="黑体"/>
                  <w:bCs/>
                  <w:sz w:val="28"/>
                  <w:szCs w:val="28"/>
                  <w:lang w:eastAsia="zh-CN"/>
                </w:rPr>
                <w:t>、</w:t>
              </w:r>
              <w:r>
                <w:rPr>
                  <w:rFonts w:hint="eastAsia" w:ascii="黑体" w:hAnsi="黑体" w:eastAsia="黑体" w:cs="黑体"/>
                  <w:bCs/>
                  <w:sz w:val="28"/>
                  <w:szCs w:val="28"/>
                </w:rPr>
                <w:t>存在的主要问题</w:t>
              </w:r>
              <w:r>
                <w:rPr>
                  <w:sz w:val="28"/>
                  <w:szCs w:val="28"/>
                </w:rPr>
                <w:tab/>
              </w:r>
              <w:r>
                <w:rPr>
                  <w:sz w:val="28"/>
                  <w:szCs w:val="28"/>
                </w:rPr>
                <w:fldChar w:fldCharType="begin"/>
              </w:r>
              <w:r>
                <w:rPr>
                  <w:sz w:val="28"/>
                  <w:szCs w:val="28"/>
                </w:rPr>
                <w:instrText xml:space="preserve"> PAGEREF _Toc2443 \h </w:instrText>
              </w:r>
              <w:r>
                <w:rPr>
                  <w:sz w:val="28"/>
                  <w:szCs w:val="28"/>
                </w:rPr>
                <w:fldChar w:fldCharType="separate"/>
              </w:r>
              <w:r>
                <w:rPr>
                  <w:sz w:val="28"/>
                  <w:szCs w:val="28"/>
                </w:rPr>
                <w:t>12</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_Toc25674 </w:instrText>
              </w:r>
              <w:r>
                <w:rPr>
                  <w:rFonts w:hAnsi="宋体"/>
                  <w:bCs/>
                  <w:sz w:val="28"/>
                  <w:szCs w:val="28"/>
                </w:rPr>
                <w:fldChar w:fldCharType="separate"/>
              </w:r>
              <w:r>
                <w:rPr>
                  <w:rFonts w:hint="eastAsia" w:ascii="华文楷体" w:hAnsi="华文楷体" w:eastAsia="华文楷体" w:cs="华文楷体"/>
                  <w:bCs/>
                  <w:sz w:val="28"/>
                  <w:szCs w:val="28"/>
                  <w:lang w:val="en-US" w:eastAsia="zh-CN"/>
                </w:rPr>
                <w:t>（一）物资管理不规范</w:t>
              </w:r>
              <w:r>
                <w:rPr>
                  <w:sz w:val="28"/>
                  <w:szCs w:val="28"/>
                </w:rPr>
                <w:tab/>
              </w:r>
              <w:r>
                <w:rPr>
                  <w:sz w:val="28"/>
                  <w:szCs w:val="28"/>
                </w:rPr>
                <w:fldChar w:fldCharType="begin"/>
              </w:r>
              <w:r>
                <w:rPr>
                  <w:sz w:val="28"/>
                  <w:szCs w:val="28"/>
                </w:rPr>
                <w:instrText xml:space="preserve"> PAGEREF _Toc25674 \h </w:instrText>
              </w:r>
              <w:r>
                <w:rPr>
                  <w:sz w:val="28"/>
                  <w:szCs w:val="28"/>
                </w:rPr>
                <w:fldChar w:fldCharType="separate"/>
              </w:r>
              <w:r>
                <w:rPr>
                  <w:sz w:val="28"/>
                  <w:szCs w:val="28"/>
                </w:rPr>
                <w:t>12</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_Toc25975 </w:instrText>
              </w:r>
              <w:r>
                <w:rPr>
                  <w:rFonts w:hAnsi="宋体"/>
                  <w:bCs/>
                  <w:sz w:val="28"/>
                  <w:szCs w:val="28"/>
                </w:rPr>
                <w:fldChar w:fldCharType="separate"/>
              </w:r>
              <w:r>
                <w:rPr>
                  <w:rFonts w:hint="eastAsia" w:ascii="华文楷体" w:hAnsi="华文楷体" w:eastAsia="华文楷体" w:cs="华文楷体"/>
                  <w:bCs/>
                  <w:sz w:val="28"/>
                  <w:szCs w:val="28"/>
                  <w:lang w:val="en-US" w:eastAsia="zh-CN"/>
                </w:rPr>
                <w:t>（二）产出质量不达标</w:t>
              </w:r>
              <w:r>
                <w:rPr>
                  <w:sz w:val="28"/>
                  <w:szCs w:val="28"/>
                </w:rPr>
                <w:tab/>
              </w:r>
              <w:r>
                <w:rPr>
                  <w:sz w:val="28"/>
                  <w:szCs w:val="28"/>
                </w:rPr>
                <w:fldChar w:fldCharType="begin"/>
              </w:r>
              <w:r>
                <w:rPr>
                  <w:sz w:val="28"/>
                  <w:szCs w:val="28"/>
                </w:rPr>
                <w:instrText xml:space="preserve"> PAGEREF _Toc25975 \h </w:instrText>
              </w:r>
              <w:r>
                <w:rPr>
                  <w:sz w:val="28"/>
                  <w:szCs w:val="28"/>
                </w:rPr>
                <w:fldChar w:fldCharType="separate"/>
              </w:r>
              <w:r>
                <w:rPr>
                  <w:sz w:val="28"/>
                  <w:szCs w:val="28"/>
                </w:rPr>
                <w:t>14</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_Toc32669 </w:instrText>
              </w:r>
              <w:r>
                <w:rPr>
                  <w:rFonts w:hAnsi="宋体"/>
                  <w:bCs/>
                  <w:sz w:val="28"/>
                  <w:szCs w:val="28"/>
                </w:rPr>
                <w:fldChar w:fldCharType="separate"/>
              </w:r>
              <w:r>
                <w:rPr>
                  <w:rFonts w:hint="eastAsia" w:ascii="华文楷体" w:hAnsi="华文楷体" w:eastAsia="华文楷体" w:cs="华文楷体"/>
                  <w:bCs/>
                  <w:sz w:val="28"/>
                  <w:szCs w:val="28"/>
                  <w:lang w:val="en-US" w:eastAsia="zh-CN"/>
                </w:rPr>
                <w:t>（三）账务管理不规范</w:t>
              </w:r>
              <w:r>
                <w:rPr>
                  <w:sz w:val="28"/>
                  <w:szCs w:val="28"/>
                </w:rPr>
                <w:tab/>
              </w:r>
              <w:r>
                <w:rPr>
                  <w:sz w:val="28"/>
                  <w:szCs w:val="28"/>
                </w:rPr>
                <w:fldChar w:fldCharType="begin"/>
              </w:r>
              <w:r>
                <w:rPr>
                  <w:sz w:val="28"/>
                  <w:szCs w:val="28"/>
                </w:rPr>
                <w:instrText xml:space="preserve"> PAGEREF _Toc32669 \h </w:instrText>
              </w:r>
              <w:r>
                <w:rPr>
                  <w:sz w:val="28"/>
                  <w:szCs w:val="28"/>
                </w:rPr>
                <w:fldChar w:fldCharType="separate"/>
              </w:r>
              <w:r>
                <w:rPr>
                  <w:sz w:val="28"/>
                  <w:szCs w:val="28"/>
                </w:rPr>
                <w:t>16</w:t>
              </w:r>
              <w:r>
                <w:rPr>
                  <w:sz w:val="28"/>
                  <w:szCs w:val="28"/>
                </w:rPr>
                <w:fldChar w:fldCharType="end"/>
              </w:r>
              <w:r>
                <w:rPr>
                  <w:rFonts w:hAnsi="宋体"/>
                  <w:bCs/>
                  <w:color w:val="auto"/>
                  <w:sz w:val="28"/>
                  <w:szCs w:val="28"/>
                </w:rPr>
                <w:fldChar w:fldCharType="end"/>
              </w:r>
            </w:p>
            <w:p>
              <w:pPr>
                <w:pStyle w:val="17"/>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rPr>
                  <w:sz w:val="28"/>
                  <w:szCs w:val="28"/>
                </w:rPr>
              </w:pPr>
              <w:r>
                <w:rPr>
                  <w:rFonts w:hAnsi="宋体"/>
                  <w:bCs/>
                  <w:color w:val="auto"/>
                  <w:sz w:val="28"/>
                  <w:szCs w:val="28"/>
                </w:rPr>
                <w:fldChar w:fldCharType="begin"/>
              </w:r>
              <w:r>
                <w:rPr>
                  <w:rFonts w:hAnsi="宋体"/>
                  <w:bCs/>
                  <w:sz w:val="28"/>
                  <w:szCs w:val="28"/>
                </w:rPr>
                <w:instrText xml:space="preserve"> HYPERLINK \l _Toc8790 </w:instrText>
              </w:r>
              <w:r>
                <w:rPr>
                  <w:rFonts w:hAnsi="宋体"/>
                  <w:bCs/>
                  <w:sz w:val="28"/>
                  <w:szCs w:val="28"/>
                </w:rPr>
                <w:fldChar w:fldCharType="separate"/>
              </w:r>
              <w:r>
                <w:rPr>
                  <w:rFonts w:hint="eastAsia" w:ascii="华文楷体" w:hAnsi="华文楷体" w:eastAsia="华文楷体" w:cs="华文楷体"/>
                  <w:bCs/>
                  <w:sz w:val="28"/>
                  <w:szCs w:val="28"/>
                  <w:lang w:val="zh-CN" w:eastAsia="zh-CN"/>
                </w:rPr>
                <w:t>（</w:t>
              </w:r>
              <w:r>
                <w:rPr>
                  <w:rFonts w:hint="eastAsia" w:ascii="华文楷体" w:hAnsi="华文楷体" w:eastAsia="华文楷体" w:cs="华文楷体"/>
                  <w:bCs/>
                  <w:sz w:val="28"/>
                  <w:szCs w:val="28"/>
                  <w:lang w:val="en-US" w:eastAsia="zh-CN"/>
                </w:rPr>
                <w:t>四</w:t>
              </w:r>
              <w:r>
                <w:rPr>
                  <w:rFonts w:hint="eastAsia" w:ascii="华文楷体" w:hAnsi="华文楷体" w:eastAsia="华文楷体" w:cs="华文楷体"/>
                  <w:bCs/>
                  <w:sz w:val="28"/>
                  <w:szCs w:val="28"/>
                  <w:lang w:val="zh-CN" w:eastAsia="zh-CN"/>
                </w:rPr>
                <w:t>）</w:t>
              </w:r>
              <w:r>
                <w:rPr>
                  <w:rFonts w:hint="eastAsia" w:ascii="华文楷体" w:hAnsi="华文楷体" w:eastAsia="华文楷体" w:cs="华文楷体"/>
                  <w:bCs/>
                  <w:sz w:val="28"/>
                  <w:szCs w:val="28"/>
                  <w:lang w:val="en-US" w:eastAsia="zh-CN"/>
                </w:rPr>
                <w:t>自评管理不到位</w:t>
              </w:r>
              <w:r>
                <w:rPr>
                  <w:sz w:val="28"/>
                  <w:szCs w:val="28"/>
                </w:rPr>
                <w:tab/>
              </w:r>
              <w:r>
                <w:rPr>
                  <w:sz w:val="28"/>
                  <w:szCs w:val="28"/>
                </w:rPr>
                <w:fldChar w:fldCharType="begin"/>
              </w:r>
              <w:r>
                <w:rPr>
                  <w:sz w:val="28"/>
                  <w:szCs w:val="28"/>
                </w:rPr>
                <w:instrText xml:space="preserve"> PAGEREF _Toc8790 \h </w:instrText>
              </w:r>
              <w:r>
                <w:rPr>
                  <w:sz w:val="28"/>
                  <w:szCs w:val="28"/>
                </w:rPr>
                <w:fldChar w:fldCharType="separate"/>
              </w:r>
              <w:r>
                <w:rPr>
                  <w:sz w:val="28"/>
                  <w:szCs w:val="28"/>
                </w:rPr>
                <w:t>17</w:t>
              </w:r>
              <w:r>
                <w:rPr>
                  <w:sz w:val="28"/>
                  <w:szCs w:val="28"/>
                </w:rPr>
                <w:fldChar w:fldCharType="end"/>
              </w:r>
              <w:r>
                <w:rPr>
                  <w:rFonts w:hAnsi="宋体"/>
                  <w:bCs/>
                  <w:color w:val="auto"/>
                  <w:sz w:val="28"/>
                  <w:szCs w:val="28"/>
                </w:rPr>
                <w:fldChar w:fldCharType="end"/>
              </w:r>
            </w:p>
            <w:p>
              <w:pPr>
                <w:pStyle w:val="15"/>
                <w:keepNext w:val="0"/>
                <w:keepLines w:val="0"/>
                <w:pageBreakBefore w:val="0"/>
                <w:widowControl/>
                <w:tabs>
                  <w:tab w:val="right" w:leader="dot" w:pos="8845"/>
                </w:tabs>
                <w:kinsoku/>
                <w:wordWrap/>
                <w:overflowPunct/>
                <w:topLinePunct w:val="0"/>
                <w:autoSpaceDE/>
                <w:autoSpaceDN/>
                <w:bidi w:val="0"/>
                <w:adjustRightInd/>
                <w:snapToGrid/>
                <w:spacing w:after="0" w:line="520" w:lineRule="exact"/>
                <w:textAlignment w:val="auto"/>
              </w:pPr>
              <w:r>
                <w:rPr>
                  <w:rFonts w:hAnsi="宋体"/>
                  <w:bCs/>
                  <w:color w:val="auto"/>
                  <w:sz w:val="28"/>
                  <w:szCs w:val="28"/>
                </w:rPr>
                <w:fldChar w:fldCharType="begin"/>
              </w:r>
              <w:r>
                <w:rPr>
                  <w:rFonts w:hAnsi="宋体"/>
                  <w:bCs/>
                  <w:sz w:val="28"/>
                  <w:szCs w:val="28"/>
                </w:rPr>
                <w:instrText xml:space="preserve"> HYPERLINK \l _Toc18463 </w:instrText>
              </w:r>
              <w:r>
                <w:rPr>
                  <w:rFonts w:hAnsi="宋体"/>
                  <w:bCs/>
                  <w:sz w:val="28"/>
                  <w:szCs w:val="28"/>
                </w:rPr>
                <w:fldChar w:fldCharType="separate"/>
              </w:r>
              <w:r>
                <w:rPr>
                  <w:rFonts w:hint="eastAsia" w:ascii="黑体" w:hAnsi="黑体" w:eastAsia="黑体" w:cs="黑体"/>
                  <w:bCs/>
                  <w:sz w:val="28"/>
                  <w:szCs w:val="28"/>
                </w:rPr>
                <w:t>七</w:t>
              </w:r>
              <w:r>
                <w:rPr>
                  <w:rFonts w:hint="eastAsia" w:ascii="黑体" w:hAnsi="黑体" w:eastAsia="黑体" w:cs="黑体"/>
                  <w:bCs/>
                  <w:sz w:val="28"/>
                  <w:szCs w:val="28"/>
                  <w:lang w:eastAsia="zh-CN"/>
                </w:rPr>
                <w:t>、</w:t>
              </w:r>
              <w:r>
                <w:rPr>
                  <w:rFonts w:hint="eastAsia" w:ascii="黑体" w:hAnsi="黑体" w:eastAsia="黑体" w:cs="黑体"/>
                  <w:bCs/>
                  <w:sz w:val="28"/>
                  <w:szCs w:val="28"/>
                </w:rPr>
                <w:t>意见建议</w:t>
              </w:r>
              <w:r>
                <w:rPr>
                  <w:sz w:val="28"/>
                  <w:szCs w:val="28"/>
                </w:rPr>
                <w:tab/>
              </w:r>
              <w:r>
                <w:rPr>
                  <w:sz w:val="28"/>
                  <w:szCs w:val="28"/>
                </w:rPr>
                <w:fldChar w:fldCharType="begin"/>
              </w:r>
              <w:r>
                <w:rPr>
                  <w:sz w:val="28"/>
                  <w:szCs w:val="28"/>
                </w:rPr>
                <w:instrText xml:space="preserve"> PAGEREF _Toc18463 \h </w:instrText>
              </w:r>
              <w:r>
                <w:rPr>
                  <w:sz w:val="28"/>
                  <w:szCs w:val="28"/>
                </w:rPr>
                <w:fldChar w:fldCharType="separate"/>
              </w:r>
              <w:r>
                <w:rPr>
                  <w:sz w:val="28"/>
                  <w:szCs w:val="28"/>
                </w:rPr>
                <w:t>17</w:t>
              </w:r>
              <w:r>
                <w:rPr>
                  <w:sz w:val="28"/>
                  <w:szCs w:val="28"/>
                </w:rPr>
                <w:fldChar w:fldCharType="end"/>
              </w:r>
              <w:r>
                <w:rPr>
                  <w:rFonts w:hAnsi="宋体"/>
                  <w:bCs/>
                  <w:color w:val="auto"/>
                  <w:sz w:val="28"/>
                  <w:szCs w:val="28"/>
                </w:rPr>
                <w:fldChar w:fldCharType="end"/>
              </w:r>
            </w:p>
            <w:p>
              <w:pPr>
                <w:spacing w:line="360" w:lineRule="auto"/>
                <w:jc w:val="center"/>
                <w:rPr>
                  <w:rFonts w:asciiTheme="majorEastAsia" w:hAnsiTheme="majorEastAsia" w:eastAsiaTheme="majorEastAsia"/>
                  <w:b/>
                  <w:color w:val="auto"/>
                  <w:sz w:val="36"/>
                  <w:szCs w:val="36"/>
                </w:rPr>
                <w:sectPr>
                  <w:headerReference r:id="rId3" w:type="default"/>
                  <w:footerReference r:id="rId4" w:type="default"/>
                  <w:pgSz w:w="11907" w:h="16840"/>
                  <w:pgMar w:top="1440" w:right="1474" w:bottom="1440" w:left="1588" w:header="851" w:footer="992" w:gutter="0"/>
                  <w:cols w:space="720" w:num="1"/>
                </w:sectPr>
              </w:pPr>
              <w:r>
                <w:rPr>
                  <w:rFonts w:hAnsi="宋体"/>
                  <w:bCs/>
                  <w:color w:val="auto"/>
                  <w:szCs w:val="44"/>
                </w:rPr>
                <w:fldChar w:fldCharType="end"/>
              </w:r>
            </w:p>
          </w:sdtContent>
        </w:sdt>
      </w:sdtContent>
    </w:sdt>
    <w:p>
      <w:pPr>
        <w:pStyle w:val="38"/>
        <w:bidi w:val="0"/>
        <w:rPr>
          <w:rFonts w:hint="default"/>
          <w:lang w:val="en-US" w:eastAsia="zh-CN"/>
        </w:rPr>
      </w:pPr>
      <w:bookmarkStart w:id="2" w:name="_Toc57373818"/>
      <w:bookmarkEnd w:id="2"/>
      <w:r>
        <w:rPr>
          <w:rFonts w:hint="eastAsia"/>
          <w:lang w:eastAsia="zh-CN"/>
        </w:rPr>
        <w:t>遵化市环境卫生管理中心</w:t>
      </w:r>
      <w:r>
        <w:rPr>
          <w:rFonts w:hint="eastAsia"/>
          <w:lang w:val="en-US" w:eastAsia="zh-CN"/>
        </w:rPr>
        <w:t>2022年</w:t>
      </w:r>
    </w:p>
    <w:p>
      <w:pPr>
        <w:pStyle w:val="38"/>
        <w:bidi w:val="0"/>
        <w:rPr>
          <w:rFonts w:hint="eastAsia"/>
          <w:lang w:eastAsia="zh-CN"/>
        </w:rPr>
      </w:pPr>
      <w:r>
        <w:rPr>
          <w:rFonts w:hint="eastAsia"/>
          <w:lang w:eastAsia="zh-CN"/>
        </w:rPr>
        <w:t>公厕清掏等费用及车辆保险项目</w:t>
      </w:r>
    </w:p>
    <w:p>
      <w:pPr>
        <w:pStyle w:val="38"/>
        <w:bidi w:val="0"/>
        <w:rPr>
          <w:rFonts w:ascii="方正小标宋简体" w:hAnsi="方正小标宋简体" w:eastAsia="方正小标宋简体" w:cs="方正小标宋简体"/>
          <w:bCs/>
          <w:color w:val="auto"/>
          <w:szCs w:val="36"/>
        </w:rPr>
      </w:pPr>
      <w:bookmarkStart w:id="3" w:name="_Toc57373823"/>
      <w:r>
        <w:rPr>
          <w:rFonts w:hint="eastAsia"/>
        </w:rPr>
        <w:t>绩效评价报告</w:t>
      </w:r>
      <w:bookmarkEnd w:id="3"/>
    </w:p>
    <w:p>
      <w:pPr>
        <w:pStyle w:val="40"/>
        <w:bidi w:val="0"/>
        <w:rPr>
          <w:rFonts w:ascii="黑体" w:hAnsi="黑体" w:eastAsia="黑体" w:cs="黑体"/>
          <w:bCs/>
          <w:color w:val="auto"/>
          <w:szCs w:val="30"/>
        </w:rPr>
      </w:pPr>
      <w:bookmarkStart w:id="4" w:name="_Toc29302676"/>
      <w:bookmarkStart w:id="5" w:name="_Toc4918"/>
      <w:r>
        <w:rPr>
          <w:rFonts w:hint="eastAsia"/>
        </w:rPr>
        <w:t>一</w:t>
      </w:r>
      <w:r>
        <w:rPr>
          <w:rFonts w:hint="eastAsia"/>
          <w:lang w:eastAsia="zh-CN"/>
        </w:rPr>
        <w:t>、</w:t>
      </w:r>
      <w:r>
        <w:rPr>
          <w:rFonts w:hint="eastAsia"/>
        </w:rPr>
        <w:t>项目基本情况</w:t>
      </w:r>
      <w:bookmarkEnd w:id="4"/>
      <w:bookmarkEnd w:id="5"/>
    </w:p>
    <w:p>
      <w:pPr>
        <w:pStyle w:val="39"/>
        <w:bidi w:val="0"/>
      </w:pPr>
      <w:bookmarkStart w:id="6" w:name="_Toc29302677"/>
      <w:bookmarkStart w:id="7" w:name="_Toc12892"/>
      <w:r>
        <w:rPr>
          <w:rFonts w:hint="eastAsia"/>
        </w:rPr>
        <w:t>（一）项目概况</w:t>
      </w:r>
      <w:bookmarkEnd w:id="6"/>
      <w:bookmarkEnd w:id="7"/>
    </w:p>
    <w:p>
      <w:pPr>
        <w:pStyle w:val="41"/>
        <w:bidi w:val="0"/>
        <w:rPr>
          <w:rFonts w:hint="default"/>
          <w:lang w:val="en-US"/>
        </w:rPr>
      </w:pPr>
      <w:r>
        <w:rPr>
          <w:rFonts w:hint="eastAsia"/>
          <w:lang w:val="zh-CN"/>
        </w:rPr>
        <w:t>遵化市环境卫生管理中心（</w:t>
      </w:r>
      <w:r>
        <w:rPr>
          <w:rFonts w:hint="eastAsia"/>
          <w:lang w:val="en-US"/>
        </w:rPr>
        <w:t>以下简称“环卫中心”</w:t>
      </w:r>
      <w:r>
        <w:rPr>
          <w:rFonts w:hint="eastAsia"/>
          <w:lang w:val="zh-CN"/>
        </w:rPr>
        <w:t>）公厕清掏等费用及车辆保险项目（</w:t>
      </w:r>
      <w:r>
        <w:rPr>
          <w:rFonts w:hint="eastAsia"/>
          <w:lang w:val="en-US"/>
        </w:rPr>
        <w:t>以下简称“项目”或“该项目”</w:t>
      </w:r>
      <w:r>
        <w:rPr>
          <w:rFonts w:hint="eastAsia"/>
          <w:lang w:val="zh-CN"/>
        </w:rPr>
        <w:t>）</w:t>
      </w:r>
      <w:r>
        <w:rPr>
          <w:rFonts w:hint="eastAsia"/>
          <w:lang w:val="en-US"/>
        </w:rPr>
        <w:t>为让城区公厕更加干净整洁、经遵化市财政局《关于拨付2022年度城区公厕清掏费用及车辆保险请示答复》（遵财答复﹝2022﹞32号）同意，2022年城区公厕清掏相关费用及车辆保险资金安排214.00万元，在2022年年初预算资金中列支，主要用于城区公厕及公厕消杀、专用材料、车辆维修、材料等费用及车辆保险费用工作正常运转。</w:t>
      </w:r>
    </w:p>
    <w:p>
      <w:pPr>
        <w:pStyle w:val="39"/>
        <w:bidi w:val="0"/>
        <w:rPr>
          <w:rFonts w:ascii="华文楷体" w:hAnsi="华文楷体" w:eastAsia="华文楷体" w:cs="华文楷体"/>
          <w:bCs/>
          <w:color w:val="auto"/>
          <w:szCs w:val="30"/>
        </w:rPr>
      </w:pPr>
      <w:bookmarkStart w:id="8" w:name="_Toc5211"/>
      <w:bookmarkStart w:id="9" w:name="_Toc29302678"/>
      <w:r>
        <w:rPr>
          <w:rFonts w:hint="eastAsia"/>
        </w:rPr>
        <w:t>（二）项目绩效目标</w:t>
      </w:r>
      <w:bookmarkEnd w:id="8"/>
      <w:bookmarkEnd w:id="9"/>
    </w:p>
    <w:p>
      <w:pPr>
        <w:pStyle w:val="41"/>
        <w:bidi w:val="0"/>
        <w:rPr>
          <w:rFonts w:hint="eastAsia"/>
          <w:lang w:val="zh-CN"/>
        </w:rPr>
      </w:pPr>
      <w:bookmarkStart w:id="10" w:name="_Toc29302679"/>
      <w:r>
        <w:rPr>
          <w:rFonts w:hint="eastAsia"/>
          <w:lang w:val="zh-CN"/>
        </w:rPr>
        <w:t>遵化市环境卫生管理中心</w:t>
      </w:r>
      <w:r>
        <w:rPr>
          <w:rFonts w:hint="eastAsia"/>
          <w:lang w:val="en-US"/>
        </w:rPr>
        <w:t>2022年公厕清掏等费用及车辆保险项目计划保证遵化市区公厕清掏，环卫设施正常运行，提升城区环境整洁度，节约城市生态环境管理成本。</w:t>
      </w:r>
    </w:p>
    <w:p>
      <w:pPr>
        <w:pStyle w:val="40"/>
        <w:bidi w:val="0"/>
        <w:rPr>
          <w:rFonts w:hint="eastAsia"/>
        </w:rPr>
      </w:pPr>
      <w:bookmarkStart w:id="11" w:name="_Toc22711"/>
      <w:r>
        <w:rPr>
          <w:rFonts w:hint="eastAsia"/>
        </w:rPr>
        <w:t>二</w:t>
      </w:r>
      <w:r>
        <w:rPr>
          <w:rFonts w:hint="eastAsia"/>
          <w:lang w:eastAsia="zh-CN"/>
        </w:rPr>
        <w:t>、</w:t>
      </w:r>
      <w:r>
        <w:rPr>
          <w:rFonts w:hint="eastAsia"/>
        </w:rPr>
        <w:t>项目实施情况</w:t>
      </w:r>
      <w:bookmarkEnd w:id="11"/>
    </w:p>
    <w:p>
      <w:pPr>
        <w:pStyle w:val="39"/>
        <w:bidi w:val="0"/>
        <w:rPr>
          <w:rFonts w:hint="eastAsia"/>
        </w:rPr>
      </w:pPr>
      <w:bookmarkStart w:id="12" w:name="_Toc4745"/>
      <w:r>
        <w:rPr>
          <w:rFonts w:hint="eastAsia"/>
        </w:rPr>
        <w:t>（一）项目资金</w:t>
      </w:r>
      <w:r>
        <w:rPr>
          <w:rFonts w:hint="eastAsia"/>
          <w:lang w:val="en-US" w:eastAsia="zh-CN"/>
        </w:rPr>
        <w:t>到位、</w:t>
      </w:r>
      <w:r>
        <w:rPr>
          <w:rFonts w:hint="eastAsia"/>
        </w:rPr>
        <w:t>使用及管理情况</w:t>
      </w:r>
      <w:bookmarkEnd w:id="12"/>
    </w:p>
    <w:p>
      <w:pPr>
        <w:pStyle w:val="41"/>
        <w:bidi w:val="0"/>
        <w:rPr>
          <w:rFonts w:hint="eastAsia"/>
          <w:lang w:val="en-US"/>
        </w:rPr>
      </w:pPr>
      <w:r>
        <w:rPr>
          <w:rFonts w:hint="eastAsia"/>
          <w:lang w:val="en-US"/>
        </w:rPr>
        <w:t>1</w:t>
      </w:r>
      <w:r>
        <w:rPr>
          <w:rFonts w:hint="eastAsia"/>
          <w:lang w:val="en-US" w:eastAsia="zh-CN"/>
        </w:rPr>
        <w:t>.</w:t>
      </w:r>
      <w:r>
        <w:rPr>
          <w:rFonts w:hint="eastAsia"/>
          <w:lang w:val="en-US"/>
        </w:rPr>
        <w:t>资金到位情况</w:t>
      </w:r>
    </w:p>
    <w:p>
      <w:pPr>
        <w:pStyle w:val="41"/>
        <w:bidi w:val="0"/>
        <w:rPr>
          <w:rFonts w:hint="eastAsia"/>
          <w:lang w:val="en-US"/>
        </w:rPr>
      </w:pPr>
      <w:r>
        <w:rPr>
          <w:rFonts w:hint="eastAsia"/>
          <w:lang w:val="en-US"/>
        </w:rPr>
        <w:t>根据《关于拨付2022年度城区公厕清掏费用及车辆保险请示答复》（遵财答复﹝2022﹞32号）</w:t>
      </w:r>
      <w:r>
        <w:rPr>
          <w:rFonts w:hint="eastAsia"/>
          <w:lang w:val="zh-CN"/>
        </w:rPr>
        <w:t>、</w:t>
      </w:r>
      <w:r>
        <w:rPr>
          <w:rFonts w:hint="eastAsia"/>
          <w:lang w:val="en-US"/>
        </w:rPr>
        <w:t>部门预算等文件，2022年公厕清掏等费用及车辆保险项目</w:t>
      </w:r>
      <w:r>
        <w:rPr>
          <w:rFonts w:hint="eastAsia"/>
          <w:lang w:val="zh-CN"/>
        </w:rPr>
        <w:t>经批准</w:t>
      </w:r>
      <w:r>
        <w:rPr>
          <w:rFonts w:hint="eastAsia"/>
          <w:lang w:val="en-US"/>
        </w:rPr>
        <w:t>预算资金214.00</w:t>
      </w:r>
      <w:r>
        <w:rPr>
          <w:rFonts w:hint="eastAsia"/>
          <w:lang w:val="zh-CN"/>
        </w:rPr>
        <w:t>万元，</w:t>
      </w:r>
      <w:r>
        <w:rPr>
          <w:rFonts w:hint="eastAsia"/>
          <w:lang w:val="en-US"/>
        </w:rPr>
        <w:t>截至202</w:t>
      </w:r>
      <w:r>
        <w:rPr>
          <w:rFonts w:hint="eastAsia"/>
          <w:lang w:val="en-US" w:eastAsia="zh-CN"/>
        </w:rPr>
        <w:t>2</w:t>
      </w:r>
      <w:r>
        <w:rPr>
          <w:rFonts w:hint="eastAsia"/>
          <w:lang w:val="en-US"/>
        </w:rPr>
        <w:t>年</w:t>
      </w:r>
      <w:r>
        <w:rPr>
          <w:rFonts w:hint="eastAsia"/>
          <w:lang w:val="en-US" w:eastAsia="zh-CN"/>
        </w:rPr>
        <w:t>底</w:t>
      </w:r>
      <w:r>
        <w:rPr>
          <w:rFonts w:hint="eastAsia"/>
          <w:lang w:val="en-US"/>
        </w:rPr>
        <w:t>，资金到位</w:t>
      </w:r>
      <w:r>
        <w:rPr>
          <w:rFonts w:hint="eastAsia"/>
          <w:lang w:val="en-US" w:eastAsia="zh-CN"/>
        </w:rPr>
        <w:t>155.34万元</w:t>
      </w:r>
      <w:r>
        <w:rPr>
          <w:rFonts w:hint="eastAsia"/>
          <w:lang w:val="en-US"/>
        </w:rPr>
        <w:t>。资金到位率</w:t>
      </w:r>
      <w:r>
        <w:rPr>
          <w:rFonts w:hint="eastAsia"/>
          <w:lang w:val="en-US" w:eastAsia="zh-CN"/>
        </w:rPr>
        <w:t>72.59</w:t>
      </w:r>
      <w:r>
        <w:rPr>
          <w:rFonts w:hint="eastAsia"/>
          <w:lang w:val="en-US"/>
        </w:rPr>
        <w:t>%。</w:t>
      </w:r>
    </w:p>
    <w:p>
      <w:pPr>
        <w:pStyle w:val="41"/>
        <w:bidi w:val="0"/>
        <w:rPr>
          <w:rFonts w:hint="eastAsia"/>
          <w:lang w:val="en-US"/>
        </w:rPr>
      </w:pPr>
      <w:r>
        <w:rPr>
          <w:rFonts w:hint="eastAsia"/>
          <w:lang w:val="en-US"/>
        </w:rPr>
        <w:t>2</w:t>
      </w:r>
      <w:r>
        <w:rPr>
          <w:rFonts w:hint="eastAsia"/>
          <w:lang w:val="en-US" w:eastAsia="zh-CN"/>
        </w:rPr>
        <w:t>.</w:t>
      </w:r>
      <w:r>
        <w:rPr>
          <w:rFonts w:hint="eastAsia"/>
          <w:lang w:val="en-US"/>
        </w:rPr>
        <w:t>资金使用情况</w:t>
      </w:r>
    </w:p>
    <w:p>
      <w:pPr>
        <w:pStyle w:val="41"/>
        <w:bidi w:val="0"/>
        <w:rPr>
          <w:rFonts w:hint="eastAsia"/>
          <w:lang w:val="en-US"/>
        </w:rPr>
      </w:pPr>
      <w:r>
        <w:rPr>
          <w:rFonts w:hint="eastAsia"/>
          <w:lang w:val="en-US" w:eastAsia="zh-CN"/>
        </w:rPr>
        <w:t>根据环卫中心提供的《公厕清掏等费用及车辆保险项目实施过程情况介绍》，截至2022年底，环卫中心支付2022年公厕清掏等费用及车辆保险项目费用155.34万元，预算执行率100.00%，支出明细如下：</w:t>
      </w:r>
    </w:p>
    <w:p>
      <w:pPr>
        <w:pStyle w:val="37"/>
        <w:bidi w:val="0"/>
        <w:rPr>
          <w:rFonts w:hint="eastAsia"/>
          <w:lang w:val="en-US" w:eastAsia="zh-CN"/>
        </w:rPr>
      </w:pPr>
      <w:r>
        <w:rPr>
          <w:rFonts w:hint="eastAsia"/>
          <w:lang w:val="en-US" w:eastAsia="zh-CN"/>
        </w:rPr>
        <w:t>费用支出明细表</w:t>
      </w:r>
    </w:p>
    <w:p>
      <w:pPr>
        <w:spacing w:line="480" w:lineRule="exact"/>
        <w:jc w:val="right"/>
        <w:textAlignment w:val="baseline"/>
        <w:rPr>
          <w:rFonts w:hint="default" w:ascii="仿宋" w:hAnsi="仿宋" w:eastAsia="仿宋" w:cs="宋体"/>
          <w:b/>
          <w:color w:val="auto"/>
          <w:sz w:val="24"/>
          <w:szCs w:val="24"/>
          <w:lang w:val="en-US" w:eastAsia="zh-CN"/>
        </w:rPr>
      </w:pPr>
      <w:r>
        <w:rPr>
          <w:rFonts w:hint="eastAsia" w:ascii="仿宋" w:hAnsi="仿宋" w:eastAsia="仿宋" w:cs="宋体"/>
          <w:b/>
          <w:color w:val="auto"/>
          <w:sz w:val="24"/>
          <w:szCs w:val="24"/>
          <w:lang w:val="en-US" w:eastAsia="zh-CN"/>
        </w:rPr>
        <w:t>单位：元</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36"/>
        <w:gridCol w:w="3931"/>
        <w:gridCol w:w="3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序号</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费用类别</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专用材料支出</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812,189.00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防疫物资</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5,570.00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配件维修支出</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215,282.50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车辆保险支出</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66,511.16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燃料费支出</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162,936.50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公厕电费支出</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200,523.81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项目绩效咨询费</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10,000.00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装配式公厕零星施工费</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13,750.00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公厕取暖费</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31,636.10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90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30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小型吸粪车</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20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1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1,553,399.07 </w:t>
            </w:r>
          </w:p>
        </w:tc>
      </w:tr>
    </w:tbl>
    <w:p>
      <w:pPr>
        <w:pStyle w:val="8"/>
        <w:spacing w:line="360" w:lineRule="auto"/>
        <w:ind w:firstLine="600" w:firstLineChars="200"/>
        <w:rPr>
          <w:rFonts w:hint="eastAsia" w:ascii="仿宋" w:hAnsi="仿宋" w:eastAsia="仿宋" w:cs="仿宋_GB2312"/>
          <w:color w:val="auto"/>
          <w:sz w:val="30"/>
          <w:szCs w:val="30"/>
          <w:lang w:val="en-US" w:eastAsia="zh-CN" w:bidi="zh-CN"/>
        </w:rPr>
      </w:pPr>
    </w:p>
    <w:p>
      <w:pPr>
        <w:pStyle w:val="41"/>
        <w:bidi w:val="0"/>
        <w:rPr>
          <w:rFonts w:hint="eastAsia"/>
          <w:lang w:val="en-US"/>
        </w:rPr>
      </w:pPr>
      <w:r>
        <w:rPr>
          <w:rFonts w:hint="eastAsia"/>
          <w:lang w:val="en-US"/>
        </w:rPr>
        <w:t>3</w:t>
      </w:r>
      <w:r>
        <w:rPr>
          <w:rFonts w:hint="eastAsia"/>
          <w:lang w:val="en-US" w:eastAsia="zh-CN"/>
        </w:rPr>
        <w:t>.</w:t>
      </w:r>
      <w:r>
        <w:rPr>
          <w:rFonts w:hint="eastAsia"/>
          <w:lang w:val="en-US"/>
        </w:rPr>
        <w:t>资金管理情况</w:t>
      </w:r>
    </w:p>
    <w:p>
      <w:pPr>
        <w:pStyle w:val="41"/>
        <w:bidi w:val="0"/>
        <w:rPr>
          <w:rFonts w:hint="eastAsia"/>
          <w:lang w:val="en-US"/>
        </w:rPr>
      </w:pPr>
      <w:r>
        <w:rPr>
          <w:rFonts w:hint="eastAsia"/>
          <w:lang w:val="en-US"/>
        </w:rPr>
        <w:t>为加强财务管理和监督，合理、有效、规范使用项目资金，强化绩效和责任意识，有效提高资金使用效率，</w:t>
      </w:r>
      <w:r>
        <w:rPr>
          <w:rFonts w:hint="eastAsia"/>
          <w:lang w:val="en-US" w:eastAsia="zh-CN"/>
        </w:rPr>
        <w:t>环卫中心</w:t>
      </w:r>
      <w:r>
        <w:rPr>
          <w:rFonts w:hint="eastAsia"/>
          <w:lang w:val="en-US"/>
        </w:rPr>
        <w:t>按照相关会计制度规定申请财政资金，未出现违规使用资金行为。</w:t>
      </w:r>
    </w:p>
    <w:p>
      <w:pPr>
        <w:pStyle w:val="39"/>
        <w:bidi w:val="0"/>
        <w:rPr>
          <w:rFonts w:hint="eastAsia" w:ascii="华文楷体" w:hAnsi="华文楷体" w:eastAsia="华文楷体" w:cs="华文楷体"/>
          <w:bCs/>
          <w:color w:val="auto"/>
          <w:szCs w:val="30"/>
        </w:rPr>
      </w:pPr>
      <w:bookmarkStart w:id="13" w:name="_Toc16018"/>
      <w:r>
        <w:rPr>
          <w:rFonts w:hint="eastAsia"/>
        </w:rPr>
        <w:t>（二）项目组织实施管理情况</w:t>
      </w:r>
      <w:bookmarkEnd w:id="13"/>
    </w:p>
    <w:p>
      <w:pPr>
        <w:pStyle w:val="41"/>
        <w:bidi w:val="0"/>
        <w:rPr>
          <w:rFonts w:hint="default"/>
          <w:lang w:val="en-US" w:eastAsia="zh-CN"/>
        </w:rPr>
      </w:pPr>
      <w:r>
        <w:rPr>
          <w:rFonts w:hint="eastAsia"/>
          <w:lang w:val="en-US" w:eastAsia="zh-CN"/>
        </w:rPr>
        <w:t>2021年10月29日，环卫中心《关于2022年预算项目的情况说明》申请公厕清掏费用201.00万元，用于公厕消杀、专用材料、电费、车辆维修及燃料费，2022年车辆保险费13.00万元在项目中列支。</w:t>
      </w:r>
    </w:p>
    <w:p>
      <w:pPr>
        <w:pStyle w:val="41"/>
        <w:bidi w:val="0"/>
        <w:rPr>
          <w:rFonts w:hint="eastAsia"/>
          <w:lang w:val="en-US" w:eastAsia="zh-CN"/>
        </w:rPr>
      </w:pPr>
      <w:r>
        <w:rPr>
          <w:rFonts w:hint="eastAsia"/>
          <w:lang w:val="en-US" w:eastAsia="zh-CN"/>
        </w:rPr>
        <w:t>2022年2月9日，环卫中心提交《关于拨付公厕清掏及车辆保险等所需费用的请示》，为保证环卫车辆及相关设施的正常运行，申请资金214.00万元。</w:t>
      </w:r>
    </w:p>
    <w:p>
      <w:pPr>
        <w:pStyle w:val="41"/>
        <w:bidi w:val="0"/>
        <w:rPr>
          <w:rFonts w:hint="eastAsia"/>
          <w:lang w:val="en-US" w:eastAsia="zh-CN"/>
        </w:rPr>
      </w:pPr>
      <w:r>
        <w:rPr>
          <w:rFonts w:hint="eastAsia"/>
          <w:lang w:val="en-US" w:eastAsia="zh-CN"/>
        </w:rPr>
        <w:t>2022年3月3日，遵化市财政局《关于拨付公厕清掏及车辆保险等所需费用请示的答复》（遵财答复﹝2022﹞32号）同意批复项目资金214.00万元，按月拨付，资金由环卫中心年初预算公厕清掏等费用及车辆保险中列支。</w:t>
      </w:r>
    </w:p>
    <w:p>
      <w:pPr>
        <w:pStyle w:val="41"/>
        <w:bidi w:val="0"/>
        <w:rPr>
          <w:rFonts w:hint="eastAsia"/>
          <w:lang w:val="en-US" w:eastAsia="zh-CN"/>
        </w:rPr>
      </w:pPr>
      <w:r>
        <w:rPr>
          <w:rFonts w:hint="eastAsia"/>
          <w:lang w:val="en-US" w:eastAsia="zh-CN"/>
        </w:rPr>
        <w:t>2022年6月18日环卫中心提交《关于购买小型吸粪车的请示》，为解决现有吸粪车无法到达老居民区小胡同内的旱厕改造现场的问题，需购买小型农用车1辆，经询价金额为35,000.00元。</w:t>
      </w:r>
    </w:p>
    <w:p>
      <w:pPr>
        <w:pStyle w:val="41"/>
        <w:bidi w:val="0"/>
        <w:rPr>
          <w:rFonts w:hint="default"/>
          <w:lang w:val="en-US" w:eastAsia="zh-CN"/>
        </w:rPr>
      </w:pPr>
      <w:r>
        <w:rPr>
          <w:rFonts w:hint="eastAsia"/>
          <w:lang w:val="en-US" w:eastAsia="zh-CN"/>
        </w:rPr>
        <w:t>2022年7月25日遵化市财政局《关于购买小型吸粪车请示的答复》（遵财答复﹝2022﹞961号）同意安排3.50万元购买小型吸粪车，资金在公厕清掏等费用及车辆保险中列支。</w:t>
      </w:r>
    </w:p>
    <w:p>
      <w:pPr>
        <w:pStyle w:val="41"/>
        <w:bidi w:val="0"/>
        <w:rPr>
          <w:rFonts w:hint="eastAsia"/>
          <w:lang w:val="en-US" w:eastAsia="zh-CN"/>
        </w:rPr>
      </w:pPr>
      <w:r>
        <w:rPr>
          <w:rFonts w:hint="eastAsia"/>
          <w:lang w:val="en-US" w:eastAsia="zh-CN"/>
        </w:rPr>
        <w:t>项目按照专用材料支出、防疫物资、配件维修支出、车辆保险支出、燃料费支出、公厕电费支出、项目绩效咨询费、装配式公厕零星施工费、公厕取暖费、小型吸粪车等方面实际支出情况，按月拨付相关资金，拨付明细如下：</w:t>
      </w:r>
    </w:p>
    <w:p>
      <w:pPr>
        <w:pStyle w:val="37"/>
        <w:bidi w:val="0"/>
        <w:rPr>
          <w:rFonts w:hint="eastAsia"/>
          <w:lang w:val="en-US" w:eastAsia="zh-CN"/>
        </w:rPr>
      </w:pPr>
      <w:r>
        <w:rPr>
          <w:rFonts w:hint="eastAsia"/>
          <w:lang w:val="en-US" w:eastAsia="zh-CN"/>
        </w:rPr>
        <w:t>资金拨付明细表</w:t>
      </w:r>
    </w:p>
    <w:p>
      <w:pPr>
        <w:spacing w:after="312" w:afterLines="100" w:line="360" w:lineRule="auto"/>
        <w:jc w:val="right"/>
        <w:textAlignment w:val="baseline"/>
        <w:rPr>
          <w:rFonts w:hint="default" w:ascii="仿宋" w:hAnsi="仿宋" w:eastAsia="仿宋" w:cs="宋体"/>
          <w:b/>
          <w:color w:val="auto"/>
          <w:sz w:val="24"/>
          <w:szCs w:val="24"/>
          <w:lang w:val="en-US" w:eastAsia="zh-CN"/>
        </w:rPr>
      </w:pPr>
      <w:r>
        <w:rPr>
          <w:rFonts w:hint="eastAsia" w:ascii="仿宋" w:hAnsi="仿宋" w:eastAsia="仿宋" w:cs="宋体"/>
          <w:b/>
          <w:color w:val="auto"/>
          <w:sz w:val="24"/>
          <w:szCs w:val="24"/>
          <w:lang w:val="en-US" w:eastAsia="zh-CN"/>
        </w:rPr>
        <w:t>单位：元</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3"/>
        <w:gridCol w:w="1794"/>
        <w:gridCol w:w="2681"/>
        <w:gridCol w:w="1796"/>
        <w:gridCol w:w="15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blHead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时间</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名称</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项目</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2022年1月19日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182,068.00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2022年2月22日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160,147.00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2022年3月21日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110,389.00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2022年4月19日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91,181.13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2022年5月19日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99,813.00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2022年6月6日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8,221.50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2022年7月7日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137,850.88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2022年7月27日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2022年8月8日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148,223.00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2022年9月5日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187,807.76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2022年10月10日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18,863.00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2022年11月5日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76,015.00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2022年11月5日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118,710.00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10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2022年12月5日</w:t>
            </w:r>
          </w:p>
        </w:tc>
        <w:tc>
          <w:tcPr>
            <w:tcW w:w="15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单位填报用款计划审批表</w:t>
            </w:r>
          </w:p>
        </w:tc>
        <w:tc>
          <w:tcPr>
            <w:tcW w:w="10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公厕清掏等费用</w:t>
            </w:r>
          </w:p>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及车辆保险</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79,241.00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07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   计</w:t>
            </w:r>
          </w:p>
        </w:tc>
        <w:tc>
          <w:tcPr>
            <w:tcW w:w="9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1,453,530.27 </w:t>
            </w:r>
          </w:p>
        </w:tc>
      </w:tr>
    </w:tbl>
    <w:p>
      <w:pPr>
        <w:pStyle w:val="40"/>
        <w:bidi w:val="0"/>
        <w:rPr>
          <w:rFonts w:hint="eastAsia" w:ascii="黑体" w:hAnsi="黑体" w:eastAsia="黑体" w:cs="黑体"/>
          <w:bCs/>
          <w:color w:val="auto"/>
          <w:szCs w:val="30"/>
        </w:rPr>
      </w:pPr>
      <w:bookmarkStart w:id="14" w:name="_Toc9066"/>
      <w:r>
        <w:rPr>
          <w:rFonts w:hint="eastAsia"/>
        </w:rPr>
        <w:t>三</w:t>
      </w:r>
      <w:r>
        <w:rPr>
          <w:rFonts w:hint="eastAsia"/>
          <w:lang w:eastAsia="zh-CN"/>
        </w:rPr>
        <w:t>、</w:t>
      </w:r>
      <w:r>
        <w:rPr>
          <w:rFonts w:hint="eastAsia"/>
        </w:rPr>
        <w:t>绩效评价工作情况</w:t>
      </w:r>
      <w:bookmarkEnd w:id="10"/>
      <w:bookmarkEnd w:id="14"/>
    </w:p>
    <w:p>
      <w:pPr>
        <w:pStyle w:val="39"/>
        <w:bidi w:val="0"/>
        <w:rPr>
          <w:rFonts w:hint="eastAsia"/>
        </w:rPr>
      </w:pPr>
      <w:bookmarkStart w:id="15" w:name="_Toc6582"/>
      <w:bookmarkStart w:id="16" w:name="_Toc29302680"/>
      <w:r>
        <w:rPr>
          <w:rFonts w:hint="eastAsia"/>
        </w:rPr>
        <w:t>（一）绩效评价目的</w:t>
      </w:r>
      <w:bookmarkEnd w:id="15"/>
      <w:bookmarkEnd w:id="16"/>
    </w:p>
    <w:p>
      <w:pPr>
        <w:pStyle w:val="41"/>
        <w:bidi w:val="0"/>
        <w:rPr>
          <w:rFonts w:hint="eastAsia"/>
          <w:lang w:val="zh-CN"/>
        </w:rPr>
      </w:pPr>
      <w:bookmarkStart w:id="17" w:name="_Toc29302681"/>
      <w:r>
        <w:rPr>
          <w:rFonts w:hint="eastAsia"/>
          <w:lang w:val="zh-CN"/>
        </w:rPr>
        <w:t>1.通过对</w:t>
      </w:r>
      <w:r>
        <w:rPr>
          <w:rFonts w:hint="eastAsia"/>
          <w:lang w:val="en-US"/>
        </w:rPr>
        <w:t>遵化市环境卫生管理中心2022年公厕清掏等费用及车辆保险项目</w:t>
      </w:r>
      <w:r>
        <w:rPr>
          <w:rFonts w:hint="eastAsia"/>
          <w:lang w:val="zh-CN"/>
        </w:rPr>
        <w:t>的绩效评价，了解和掌握项目实施的具体情况，评价其项目资金安排的科学性、合理性、规范性和资金使用成效，及时总结项目管理经验，完善项目管理办法，提高项目管理水平和资金的使用效益。</w:t>
      </w:r>
    </w:p>
    <w:p>
      <w:pPr>
        <w:pStyle w:val="41"/>
        <w:bidi w:val="0"/>
        <w:rPr>
          <w:rFonts w:hint="eastAsia"/>
          <w:lang w:val="zh-CN"/>
        </w:rPr>
      </w:pPr>
      <w:r>
        <w:rPr>
          <w:rFonts w:hint="eastAsia"/>
          <w:lang w:val="zh-CN"/>
        </w:rPr>
        <w:t>2.促使项目单位根据绩效评价中发现的问题，认真加以整改，及时调整和完善单位的工作计划和绩效目标并加强项目管理，提高管理水平，同时为项目后续资金投入、分配和管理提供决策依据。</w:t>
      </w:r>
    </w:p>
    <w:p>
      <w:pPr>
        <w:pStyle w:val="39"/>
        <w:bidi w:val="0"/>
        <w:rPr>
          <w:rFonts w:hint="eastAsia"/>
        </w:rPr>
      </w:pPr>
      <w:bookmarkStart w:id="18" w:name="_Toc26951"/>
      <w:r>
        <w:rPr>
          <w:rFonts w:hint="eastAsia"/>
        </w:rPr>
        <w:t>（二）绩效评价依据</w:t>
      </w:r>
      <w:bookmarkEnd w:id="17"/>
      <w:bookmarkEnd w:id="18"/>
    </w:p>
    <w:p>
      <w:pPr>
        <w:pStyle w:val="41"/>
        <w:bidi w:val="0"/>
        <w:rPr>
          <w:rFonts w:hint="eastAsia"/>
          <w:lang w:val="zh-CN"/>
        </w:rPr>
      </w:pPr>
      <w:r>
        <w:rPr>
          <w:rFonts w:hint="eastAsia"/>
          <w:lang w:val="zh-CN"/>
        </w:rPr>
        <w:t>1.《中华人民共和国预算法》；</w:t>
      </w:r>
    </w:p>
    <w:p>
      <w:pPr>
        <w:pStyle w:val="41"/>
        <w:bidi w:val="0"/>
        <w:rPr>
          <w:rFonts w:hint="eastAsia"/>
          <w:lang w:val="zh-CN"/>
        </w:rPr>
      </w:pPr>
      <w:r>
        <w:rPr>
          <w:rFonts w:hint="eastAsia"/>
          <w:lang w:val="zh-CN"/>
        </w:rPr>
        <w:t>2.中共中央国务院《关于全面实施预算绩效管理的意见》(中发〔2018〕34号);</w:t>
      </w:r>
    </w:p>
    <w:p>
      <w:pPr>
        <w:pStyle w:val="41"/>
        <w:bidi w:val="0"/>
        <w:rPr>
          <w:rFonts w:hint="eastAsia"/>
          <w:lang w:val="zh-CN"/>
        </w:rPr>
      </w:pPr>
      <w:r>
        <w:rPr>
          <w:rFonts w:hint="eastAsia"/>
          <w:lang w:val="zh-CN"/>
        </w:rPr>
        <w:t>3.财政部《关于贯彻落实〈中共中央国务院关于全面实施预算绩效管理的意见〉的通知》(财预〔2018〕167 号);</w:t>
      </w:r>
    </w:p>
    <w:p>
      <w:pPr>
        <w:pStyle w:val="41"/>
        <w:bidi w:val="0"/>
        <w:rPr>
          <w:rFonts w:hint="eastAsia"/>
          <w:lang w:val="zh-CN"/>
        </w:rPr>
      </w:pPr>
      <w:r>
        <w:rPr>
          <w:rFonts w:hint="eastAsia"/>
          <w:lang w:val="zh-CN"/>
        </w:rPr>
        <w:t>4.财政部《关于印发〈项目支出绩效管理办法〉的通知》（财预〔2020〕10号）；</w:t>
      </w:r>
    </w:p>
    <w:p>
      <w:pPr>
        <w:pStyle w:val="41"/>
        <w:bidi w:val="0"/>
        <w:rPr>
          <w:rFonts w:hint="eastAsia"/>
          <w:lang w:val="zh-CN"/>
        </w:rPr>
      </w:pPr>
      <w:r>
        <w:rPr>
          <w:rFonts w:hint="eastAsia"/>
          <w:lang w:val="en-US"/>
        </w:rPr>
        <w:t>5.</w:t>
      </w:r>
      <w:r>
        <w:rPr>
          <w:rFonts w:hint="eastAsia"/>
          <w:lang w:val="zh-CN"/>
        </w:rPr>
        <w:t>唐山市财政局关于印发《唐山市市级项目支出绩效重点评价管理办法》的通知（唐财绩〔2020〕5号）；</w:t>
      </w:r>
    </w:p>
    <w:p>
      <w:pPr>
        <w:pStyle w:val="41"/>
        <w:bidi w:val="0"/>
        <w:rPr>
          <w:rFonts w:hint="eastAsia"/>
          <w:lang w:val="zh-CN"/>
        </w:rPr>
      </w:pPr>
      <w:r>
        <w:rPr>
          <w:rFonts w:hint="eastAsia"/>
          <w:lang w:val="en-US"/>
        </w:rPr>
        <w:t>6</w:t>
      </w:r>
      <w:r>
        <w:rPr>
          <w:rFonts w:hint="eastAsia"/>
          <w:lang w:val="zh-CN"/>
        </w:rPr>
        <w:t>.唐山市委、市政府印发《唐山市全面实施预算绩效管理的实施意见》(唐发〔2019〕22号);</w:t>
      </w:r>
    </w:p>
    <w:p>
      <w:pPr>
        <w:pStyle w:val="41"/>
        <w:bidi w:val="0"/>
        <w:rPr>
          <w:rFonts w:hint="eastAsia"/>
          <w:lang w:val="zh-CN"/>
        </w:rPr>
      </w:pPr>
      <w:r>
        <w:rPr>
          <w:rFonts w:hint="eastAsia"/>
          <w:lang w:val="en-US"/>
        </w:rPr>
        <w:t>7</w:t>
      </w:r>
      <w:r>
        <w:rPr>
          <w:rFonts w:hint="eastAsia"/>
          <w:lang w:val="zh-CN"/>
        </w:rPr>
        <w:t>.唐山市财政局《唐山市分行业分领域绩效指标和标准体系》；</w:t>
      </w:r>
    </w:p>
    <w:p>
      <w:pPr>
        <w:pStyle w:val="41"/>
        <w:bidi w:val="0"/>
        <w:rPr>
          <w:rFonts w:hint="eastAsia"/>
          <w:lang w:val="zh-CN"/>
        </w:rPr>
      </w:pPr>
      <w:r>
        <w:rPr>
          <w:rFonts w:hint="eastAsia"/>
          <w:lang w:val="en-US"/>
        </w:rPr>
        <w:t>8</w:t>
      </w:r>
      <w:r>
        <w:rPr>
          <w:rFonts w:hint="eastAsia"/>
          <w:lang w:val="zh-CN"/>
        </w:rPr>
        <w:t>.中国注册会计师协会《会计师事务所财政支出绩效评价业务指引》（会协〔2016〕10号）；</w:t>
      </w:r>
    </w:p>
    <w:p>
      <w:pPr>
        <w:pStyle w:val="41"/>
        <w:bidi w:val="0"/>
        <w:rPr>
          <w:rFonts w:hint="eastAsia"/>
          <w:lang w:val="zh-CN"/>
        </w:rPr>
      </w:pPr>
      <w:r>
        <w:rPr>
          <w:rFonts w:hint="eastAsia"/>
          <w:lang w:val="en-US"/>
        </w:rPr>
        <w:t>9</w:t>
      </w:r>
      <w:r>
        <w:rPr>
          <w:rFonts w:hint="eastAsia"/>
          <w:lang w:val="zh-CN"/>
        </w:rPr>
        <w:t>.其他相关依据。</w:t>
      </w:r>
      <w:bookmarkStart w:id="19" w:name="_bookmark13"/>
      <w:bookmarkEnd w:id="19"/>
      <w:bookmarkStart w:id="20" w:name="_bookmark11"/>
      <w:bookmarkEnd w:id="20"/>
      <w:bookmarkStart w:id="21" w:name="_bookmark12"/>
      <w:bookmarkEnd w:id="21"/>
    </w:p>
    <w:p>
      <w:pPr>
        <w:pStyle w:val="39"/>
        <w:bidi w:val="0"/>
        <w:rPr>
          <w:rFonts w:ascii="华文楷体" w:hAnsi="华文楷体" w:eastAsia="华文楷体" w:cs="华文楷体"/>
          <w:bCs/>
          <w:color w:val="auto"/>
          <w:szCs w:val="30"/>
        </w:rPr>
      </w:pPr>
      <w:bookmarkStart w:id="22" w:name="_Toc29302682"/>
      <w:bookmarkStart w:id="23" w:name="_Toc16483"/>
      <w:r>
        <w:rPr>
          <w:rFonts w:hint="eastAsia"/>
        </w:rPr>
        <w:t>（三）评价对象、范围</w:t>
      </w:r>
      <w:bookmarkEnd w:id="22"/>
      <w:r>
        <w:rPr>
          <w:rFonts w:hint="eastAsia"/>
        </w:rPr>
        <w:t>及内容</w:t>
      </w:r>
      <w:bookmarkEnd w:id="23"/>
    </w:p>
    <w:p>
      <w:pPr>
        <w:pStyle w:val="41"/>
        <w:bidi w:val="0"/>
        <w:rPr>
          <w:lang w:val="zh-CN"/>
        </w:rPr>
      </w:pPr>
      <w:r>
        <w:rPr>
          <w:rFonts w:hint="eastAsia"/>
          <w:lang w:val="zh-CN"/>
        </w:rPr>
        <w:t>1.</w:t>
      </w:r>
      <w:r>
        <w:rPr>
          <w:rFonts w:hint="eastAsia"/>
        </w:rPr>
        <w:t>绩效评价的对象</w:t>
      </w:r>
    </w:p>
    <w:p>
      <w:pPr>
        <w:pStyle w:val="41"/>
        <w:bidi w:val="0"/>
        <w:rPr>
          <w:lang w:val="zh-CN"/>
        </w:rPr>
      </w:pPr>
      <w:r>
        <w:rPr>
          <w:rFonts w:hint="eastAsia"/>
          <w:lang w:val="en-US"/>
        </w:rPr>
        <w:t>遵化市环境卫生管理中心2022年公厕清掏等费用及车辆保险项目</w:t>
      </w:r>
      <w:r>
        <w:rPr>
          <w:rFonts w:hint="eastAsia"/>
          <w:lang w:val="zh-CN"/>
        </w:rPr>
        <w:t>。</w:t>
      </w:r>
    </w:p>
    <w:p>
      <w:pPr>
        <w:pStyle w:val="41"/>
        <w:bidi w:val="0"/>
        <w:rPr>
          <w:lang w:val="zh-CN"/>
        </w:rPr>
      </w:pPr>
      <w:r>
        <w:rPr>
          <w:rFonts w:hint="eastAsia"/>
          <w:lang w:val="zh-CN"/>
        </w:rPr>
        <w:t>2.绩效评价的范围</w:t>
      </w:r>
    </w:p>
    <w:p>
      <w:pPr>
        <w:pStyle w:val="41"/>
        <w:bidi w:val="0"/>
        <w:rPr>
          <w:rFonts w:hint="eastAsia"/>
          <w:lang w:val="zh-CN"/>
        </w:rPr>
      </w:pPr>
      <w:r>
        <w:rPr>
          <w:rFonts w:hint="eastAsia"/>
          <w:lang w:val="en-US"/>
        </w:rPr>
        <w:t>遵化市环境卫生管理中心2022年公厕清掏等费用及车辆保险项目</w:t>
      </w:r>
      <w:r>
        <w:rPr>
          <w:rFonts w:hint="eastAsia"/>
          <w:lang w:val="zh-CN"/>
        </w:rPr>
        <w:t>完成情况、</w:t>
      </w:r>
      <w:r>
        <w:rPr>
          <w:rFonts w:hint="eastAsia"/>
          <w:lang w:val="en-US"/>
        </w:rPr>
        <w:t>资金</w:t>
      </w:r>
      <w:r>
        <w:rPr>
          <w:rFonts w:hint="eastAsia"/>
          <w:lang w:val="zh-CN"/>
        </w:rPr>
        <w:t>投入的运行情况、项目实施后产生的绩效情况。</w:t>
      </w:r>
    </w:p>
    <w:p>
      <w:pPr>
        <w:pStyle w:val="41"/>
        <w:bidi w:val="0"/>
        <w:rPr>
          <w:lang w:val="zh-CN"/>
        </w:rPr>
      </w:pPr>
      <w:r>
        <w:rPr>
          <w:rFonts w:hint="eastAsia"/>
          <w:lang w:val="zh-CN"/>
        </w:rPr>
        <w:t>3.</w:t>
      </w:r>
      <w:r>
        <w:rPr>
          <w:rFonts w:hint="eastAsia"/>
        </w:rPr>
        <w:t>绩效评价的内容</w:t>
      </w:r>
    </w:p>
    <w:p>
      <w:pPr>
        <w:pStyle w:val="41"/>
        <w:bidi w:val="0"/>
        <w:rPr>
          <w:rFonts w:hint="eastAsia"/>
          <w:lang w:val="en-US"/>
        </w:rPr>
      </w:pPr>
      <w:bookmarkStart w:id="24" w:name="_Hlk79574200"/>
      <w:bookmarkStart w:id="25" w:name="_Toc29302683"/>
      <w:r>
        <w:rPr>
          <w:rFonts w:hint="eastAsia"/>
          <w:lang w:val="en-US"/>
        </w:rPr>
        <w:t>（1）绩效目标的设定情况。重点评价绩效目标设立的充分性、明确性、合理性以及细化程度。</w:t>
      </w:r>
    </w:p>
    <w:p>
      <w:pPr>
        <w:pStyle w:val="41"/>
        <w:bidi w:val="0"/>
        <w:rPr>
          <w:rFonts w:hint="eastAsia"/>
          <w:lang w:val="en-US"/>
        </w:rPr>
      </w:pPr>
      <w:r>
        <w:rPr>
          <w:rFonts w:hint="eastAsia"/>
          <w:lang w:val="en-US"/>
        </w:rPr>
        <w:t>（2）资金投入和使用情况。重点评价资金分配过程、投入方式、资金到位、预算执行和结果。</w:t>
      </w:r>
    </w:p>
    <w:p>
      <w:pPr>
        <w:pStyle w:val="41"/>
        <w:bidi w:val="0"/>
        <w:rPr>
          <w:rFonts w:hint="eastAsia"/>
          <w:lang w:val="en-US"/>
        </w:rPr>
      </w:pPr>
      <w:r>
        <w:rPr>
          <w:rFonts w:hint="eastAsia"/>
          <w:lang w:val="en-US"/>
        </w:rPr>
        <w:t>（3）为实现绩效目标制定的制度、采取的措施等，包括项目管理制度、财务管理制度和绩效跟踪管理措施等。</w:t>
      </w:r>
    </w:p>
    <w:p>
      <w:pPr>
        <w:pStyle w:val="41"/>
        <w:bidi w:val="0"/>
        <w:rPr>
          <w:rFonts w:hint="eastAsia"/>
          <w:lang w:val="zh-CN"/>
        </w:rPr>
      </w:pPr>
      <w:r>
        <w:rPr>
          <w:rFonts w:hint="eastAsia"/>
          <w:lang w:val="en-US"/>
        </w:rPr>
        <w:t>（4）绩效目标的实现程度和效果。</w:t>
      </w:r>
      <w:r>
        <w:rPr>
          <w:rFonts w:hint="eastAsia"/>
          <w:lang w:val="zh-CN"/>
        </w:rPr>
        <w:t>绩效目标的实现程度包括产出数量、产出质量、产出时效和产出成本。效益包括社会效益、</w:t>
      </w:r>
      <w:r>
        <w:rPr>
          <w:rFonts w:hint="eastAsia"/>
          <w:lang w:val="en-US"/>
        </w:rPr>
        <w:t>生态效益、可持续影响及满意度</w:t>
      </w:r>
      <w:r>
        <w:rPr>
          <w:rFonts w:hint="eastAsia"/>
          <w:lang w:val="zh-CN"/>
        </w:rPr>
        <w:t>。</w:t>
      </w:r>
    </w:p>
    <w:bookmarkEnd w:id="24"/>
    <w:p>
      <w:pPr>
        <w:pStyle w:val="41"/>
        <w:bidi w:val="0"/>
        <w:rPr>
          <w:rFonts w:hint="eastAsia"/>
          <w:lang w:val="zh-CN"/>
        </w:rPr>
      </w:pPr>
      <w:r>
        <w:rPr>
          <w:rFonts w:hint="eastAsia"/>
          <w:lang w:val="zh-CN"/>
        </w:rPr>
        <w:t>（5）其他相关内容。</w:t>
      </w:r>
    </w:p>
    <w:p>
      <w:pPr>
        <w:pStyle w:val="39"/>
        <w:bidi w:val="0"/>
        <w:rPr>
          <w:rFonts w:hint="eastAsia"/>
        </w:rPr>
      </w:pPr>
      <w:bookmarkStart w:id="26" w:name="_Toc4625"/>
      <w:r>
        <w:rPr>
          <w:rFonts w:hint="eastAsia"/>
        </w:rPr>
        <w:t>（四）绩效评价指标体系</w:t>
      </w:r>
      <w:bookmarkEnd w:id="25"/>
      <w:bookmarkEnd w:id="26"/>
    </w:p>
    <w:p>
      <w:pPr>
        <w:pStyle w:val="41"/>
        <w:bidi w:val="0"/>
        <w:rPr>
          <w:rFonts w:hint="eastAsia"/>
          <w:lang w:val="zh-CN"/>
        </w:rPr>
      </w:pPr>
      <w:r>
        <w:rPr>
          <w:rFonts w:hint="eastAsia"/>
          <w:lang w:val="zh-CN"/>
        </w:rPr>
        <w:t>依据财政部关于印发《项目支出绩效管理办法》的通知（财预〔2020〕10号）等政策法规，针对项目情况，我们建立了规范的评价指标体系并确定评分标准，评价指标体系共设定“</w:t>
      </w:r>
      <w:r>
        <w:rPr>
          <w:rFonts w:hint="eastAsia"/>
          <w:lang w:val="en-US"/>
        </w:rPr>
        <w:t>决策</w:t>
      </w:r>
      <w:r>
        <w:rPr>
          <w:rFonts w:hint="eastAsia"/>
          <w:lang w:val="zh-CN"/>
        </w:rPr>
        <w:t>指标”“过程指标”“产出指标”“效益指标”4个一级评价指标、10个二级评价指标、1</w:t>
      </w:r>
      <w:r>
        <w:rPr>
          <w:rFonts w:hint="eastAsia"/>
          <w:lang w:val="en-US"/>
        </w:rPr>
        <w:t>9</w:t>
      </w:r>
      <w:r>
        <w:rPr>
          <w:rFonts w:hint="eastAsia"/>
          <w:lang w:val="zh-CN"/>
        </w:rPr>
        <w:t>个三级指标。绩效评价结果实施百分制和四级分类。四个级别分别是：优（90分（含）—100分）、良（80分（含）—90分）、中（60分（含）—80分）、差（60分以下）。指标设置和评分标准力求可行性、客观性、科学性与简明性。</w:t>
      </w:r>
    </w:p>
    <w:p>
      <w:pPr>
        <w:pStyle w:val="41"/>
        <w:bidi w:val="0"/>
        <w:rPr>
          <w:rFonts w:hint="eastAsia"/>
          <w:lang w:val="ru-RU"/>
        </w:rPr>
      </w:pPr>
      <w:r>
        <w:rPr>
          <w:rFonts w:hint="eastAsia"/>
          <w:lang w:val="ru-RU"/>
        </w:rPr>
        <w:t>1</w:t>
      </w:r>
      <w:r>
        <w:rPr>
          <w:rFonts w:hint="eastAsia"/>
          <w:lang w:val="ru-RU" w:eastAsia="zh-CN"/>
        </w:rPr>
        <w:t>.</w:t>
      </w:r>
      <w:r>
        <w:rPr>
          <w:rFonts w:hint="eastAsia"/>
          <w:lang w:val="ru-RU"/>
        </w:rPr>
        <w:t>决策指标：包含项目立项、绩效目标和资金投入，主要考核项目立项依据充分性、程序规范性，绩效目标合理性、指标明确性，同时考核项目资金落实情况。</w:t>
      </w:r>
    </w:p>
    <w:p>
      <w:pPr>
        <w:pStyle w:val="41"/>
        <w:bidi w:val="0"/>
        <w:rPr>
          <w:rFonts w:hint="eastAsia"/>
          <w:lang w:val="en-US"/>
        </w:rPr>
      </w:pPr>
      <w:r>
        <w:rPr>
          <w:rFonts w:hint="eastAsia"/>
          <w:lang w:val="en-US"/>
        </w:rPr>
        <w:t>2</w:t>
      </w:r>
      <w:r>
        <w:rPr>
          <w:rFonts w:hint="eastAsia"/>
          <w:lang w:val="en-US" w:eastAsia="zh-CN"/>
        </w:rPr>
        <w:t>.</w:t>
      </w:r>
      <w:r>
        <w:rPr>
          <w:rFonts w:hint="eastAsia"/>
          <w:lang w:val="en-US"/>
        </w:rPr>
        <w:t>过程指标：包含资金管理和组织实施，主要考核项目资金到位率、预算执行率、资金使用合规性以及制度建设的健全性、执行的有效性以及程序实施的规范性等。</w:t>
      </w:r>
    </w:p>
    <w:p>
      <w:pPr>
        <w:pStyle w:val="41"/>
        <w:bidi w:val="0"/>
        <w:rPr>
          <w:rFonts w:hint="eastAsia"/>
          <w:lang w:val="en-US"/>
        </w:rPr>
      </w:pPr>
      <w:r>
        <w:rPr>
          <w:rFonts w:hint="eastAsia"/>
          <w:lang w:val="en-US"/>
        </w:rPr>
        <w:t>3</w:t>
      </w:r>
      <w:r>
        <w:rPr>
          <w:rFonts w:hint="eastAsia"/>
          <w:lang w:val="en-US" w:eastAsia="zh-CN"/>
        </w:rPr>
        <w:t>.</w:t>
      </w:r>
      <w:r>
        <w:rPr>
          <w:rFonts w:hint="eastAsia"/>
          <w:lang w:val="en-US"/>
        </w:rPr>
        <w:t>产出指标：包含产出数量、产出质量、产出时效和产出成本，对各项具体指标完成情况进行定性及定量分析评价。</w:t>
      </w:r>
    </w:p>
    <w:p>
      <w:pPr>
        <w:pStyle w:val="41"/>
        <w:bidi w:val="0"/>
        <w:rPr>
          <w:rFonts w:hint="eastAsia"/>
          <w:lang w:val="zh-CN"/>
        </w:rPr>
      </w:pPr>
      <w:r>
        <w:rPr>
          <w:rFonts w:hint="eastAsia"/>
          <w:lang w:val="en-US"/>
        </w:rPr>
        <w:t>4</w:t>
      </w:r>
      <w:r>
        <w:rPr>
          <w:rFonts w:hint="eastAsia"/>
          <w:lang w:val="en-US" w:eastAsia="zh-CN"/>
        </w:rPr>
        <w:t>.</w:t>
      </w:r>
      <w:r>
        <w:rPr>
          <w:rFonts w:hint="eastAsia"/>
          <w:lang w:val="en-US"/>
        </w:rPr>
        <w:t>效益指标：</w:t>
      </w:r>
      <w:r>
        <w:rPr>
          <w:rFonts w:hint="eastAsia"/>
          <w:lang w:val="zh-CN"/>
        </w:rPr>
        <w:t>包含社会效益、</w:t>
      </w:r>
      <w:r>
        <w:rPr>
          <w:rFonts w:hint="eastAsia"/>
          <w:lang w:val="en-US"/>
        </w:rPr>
        <w:t>生态效益、可持续影响及满意度</w:t>
      </w:r>
      <w:r>
        <w:rPr>
          <w:rFonts w:hint="eastAsia"/>
          <w:lang w:val="zh-CN"/>
        </w:rPr>
        <w:t>，主要反映和考核项目实施所产生的效益</w:t>
      </w:r>
      <w:r>
        <w:rPr>
          <w:rFonts w:hint="eastAsia"/>
          <w:lang w:val="en-US"/>
        </w:rPr>
        <w:t>及受益对象满意情况</w:t>
      </w:r>
      <w:r>
        <w:rPr>
          <w:rFonts w:hint="eastAsia"/>
          <w:lang w:val="zh-CN"/>
        </w:rPr>
        <w:t>。</w:t>
      </w:r>
    </w:p>
    <w:p>
      <w:pPr>
        <w:pStyle w:val="41"/>
        <w:bidi w:val="0"/>
        <w:rPr>
          <w:rFonts w:hint="eastAsia"/>
          <w:lang w:val="zh-CN"/>
        </w:rPr>
      </w:pPr>
      <w:r>
        <w:rPr>
          <w:rFonts w:hint="eastAsia"/>
          <w:lang w:val="zh-CN"/>
        </w:rPr>
        <w:t>指标体系和评分标准参见附表2《</w:t>
      </w:r>
      <w:r>
        <w:rPr>
          <w:rFonts w:hint="eastAsia"/>
          <w:lang w:val="en-US"/>
        </w:rPr>
        <w:t>遵化市环境卫生管理中心2022年公厕清掏等费用及车辆保险项目</w:t>
      </w:r>
      <w:r>
        <w:rPr>
          <w:rFonts w:hint="eastAsia"/>
          <w:lang w:val="zh-CN"/>
        </w:rPr>
        <w:t>绩效评价指标表》。</w:t>
      </w:r>
    </w:p>
    <w:p>
      <w:pPr>
        <w:pStyle w:val="39"/>
        <w:bidi w:val="0"/>
        <w:rPr>
          <w:rFonts w:hint="eastAsia"/>
        </w:rPr>
      </w:pPr>
      <w:bookmarkStart w:id="27" w:name="_Toc24243"/>
      <w:bookmarkStart w:id="28" w:name="_Toc29302684"/>
      <w:bookmarkStart w:id="29" w:name="_Toc29302685"/>
      <w:r>
        <w:rPr>
          <w:rFonts w:hint="eastAsia"/>
        </w:rPr>
        <w:t>（五）绩效评价原则、评价方法</w:t>
      </w:r>
      <w:bookmarkEnd w:id="27"/>
      <w:bookmarkEnd w:id="28"/>
    </w:p>
    <w:p>
      <w:pPr>
        <w:pStyle w:val="41"/>
        <w:bidi w:val="0"/>
        <w:rPr>
          <w:lang w:val="zh-CN"/>
        </w:rPr>
      </w:pPr>
      <w:r>
        <w:rPr>
          <w:rFonts w:hint="eastAsia"/>
          <w:lang w:val="zh-CN"/>
        </w:rPr>
        <w:t>1.绩效评价原则</w:t>
      </w:r>
    </w:p>
    <w:p>
      <w:pPr>
        <w:pStyle w:val="41"/>
        <w:bidi w:val="0"/>
        <w:rPr>
          <w:rFonts w:hint="eastAsia"/>
          <w:lang w:val="en-US"/>
        </w:rPr>
      </w:pPr>
      <w:r>
        <w:rPr>
          <w:rFonts w:hint="eastAsia"/>
          <w:lang w:val="en-US"/>
        </w:rPr>
        <w:t>科学规范：绩效评价注重财政资金支出的经济性、效率性和有效性，严格执行规定的程序，采用定量与定性分析相结合的方法。</w:t>
      </w:r>
    </w:p>
    <w:p>
      <w:pPr>
        <w:pStyle w:val="41"/>
        <w:bidi w:val="0"/>
        <w:rPr>
          <w:rFonts w:hint="eastAsia"/>
          <w:lang w:val="en-US"/>
        </w:rPr>
      </w:pPr>
      <w:r>
        <w:rPr>
          <w:rFonts w:hint="eastAsia"/>
          <w:lang w:val="en-US"/>
        </w:rPr>
        <w:t>公正公开：绩效评价客观、公正，标准统一、资料可靠，依法公开并接受监督。</w:t>
      </w:r>
    </w:p>
    <w:p>
      <w:pPr>
        <w:pStyle w:val="41"/>
        <w:bidi w:val="0"/>
      </w:pPr>
      <w:r>
        <w:rPr>
          <w:rFonts w:hint="eastAsia"/>
          <w:lang w:val="en-US"/>
        </w:rPr>
        <w:t>绩效相关：绩效评价针对具体支出及其产出绩效进行</w:t>
      </w:r>
      <w:r>
        <w:rPr>
          <w:rFonts w:hint="eastAsia"/>
          <w:lang w:val="en-US" w:eastAsia="zh-CN"/>
        </w:rPr>
        <w:t>，</w:t>
      </w:r>
      <w:r>
        <w:rPr>
          <w:rFonts w:hint="eastAsia"/>
          <w:lang w:val="en-US"/>
        </w:rPr>
        <w:t>评价结果清晰反映支出和产出绩效之间的紧密对应关系。</w:t>
      </w:r>
    </w:p>
    <w:p>
      <w:pPr>
        <w:pStyle w:val="41"/>
        <w:bidi w:val="0"/>
        <w:rPr>
          <w:lang w:val="zh-CN"/>
        </w:rPr>
      </w:pPr>
      <w:r>
        <w:rPr>
          <w:rFonts w:hint="eastAsia"/>
          <w:lang w:val="zh-CN"/>
        </w:rPr>
        <w:t>2.绩效评价方法</w:t>
      </w:r>
    </w:p>
    <w:p>
      <w:pPr>
        <w:pStyle w:val="41"/>
        <w:bidi w:val="0"/>
        <w:rPr>
          <w:rFonts w:hint="eastAsia"/>
          <w:lang w:val="en-US"/>
        </w:rPr>
      </w:pPr>
      <w:r>
        <w:rPr>
          <w:rFonts w:hint="eastAsia"/>
          <w:lang w:val="en-US"/>
        </w:rPr>
        <w:t>成本效益分析法：在绩效评价指标分析过程中，将项目实施投入的资金、人员及技术力量等与项目产出、效益进行关联性分析，以判断项目投入与产出是否成比例。</w:t>
      </w:r>
    </w:p>
    <w:p>
      <w:pPr>
        <w:pStyle w:val="41"/>
        <w:bidi w:val="0"/>
        <w:rPr>
          <w:rFonts w:hint="eastAsia"/>
          <w:lang w:val="en-US"/>
        </w:rPr>
      </w:pPr>
      <w:bookmarkStart w:id="30" w:name="_bookmark14"/>
      <w:bookmarkEnd w:id="30"/>
      <w:r>
        <w:rPr>
          <w:rFonts w:hint="eastAsia"/>
          <w:lang w:val="en-US"/>
        </w:rPr>
        <w:t>比较分析法：通过对项目的实际产出和取得效益与计 划标准及设定目标进行对比，判断项目的绩效产出和效益的实现程度。</w:t>
      </w:r>
    </w:p>
    <w:p>
      <w:pPr>
        <w:pStyle w:val="41"/>
        <w:bidi w:val="0"/>
        <w:rPr>
          <w:rFonts w:hint="eastAsia"/>
          <w:lang w:val="en-US"/>
        </w:rPr>
      </w:pPr>
      <w:r>
        <w:rPr>
          <w:rFonts w:hint="eastAsia"/>
          <w:lang w:val="en-US"/>
        </w:rPr>
        <w:t>因素分析法：在对共性指标的评价时，主要通过对设置考察点进行因素分析，来确定对应指标的实现程度和存在问题。</w:t>
      </w:r>
    </w:p>
    <w:p>
      <w:pPr>
        <w:pStyle w:val="41"/>
        <w:bidi w:val="0"/>
        <w:rPr>
          <w:rFonts w:hint="eastAsia"/>
          <w:lang w:val="en-US"/>
        </w:rPr>
      </w:pPr>
      <w:r>
        <w:rPr>
          <w:rFonts w:hint="eastAsia"/>
          <w:lang w:val="en-US"/>
        </w:rPr>
        <w:t>案卷分析法：通过对收集的项目资料进行梳理研究，统计汇总出关键数据和信息，用于指标评价和分析，为绩效评价结果的形成提供依据和支撑。</w:t>
      </w:r>
    </w:p>
    <w:p>
      <w:pPr>
        <w:pStyle w:val="41"/>
        <w:bidi w:val="0"/>
        <w:rPr>
          <w:rFonts w:hint="eastAsia"/>
          <w:lang w:val="en-US"/>
        </w:rPr>
      </w:pPr>
      <w:r>
        <w:rPr>
          <w:rFonts w:hint="eastAsia"/>
          <w:lang w:val="en-US"/>
        </w:rPr>
        <w:t>问卷调查法：绩效评价工作组在现场调研时，通过发放、填写项目受益群众满意度调查问卷，并回收问卷进行统计分析，了解受益群众对项目实施情况的知晓度和认知度，为满意度指标的评价提供数据支持。</w:t>
      </w:r>
    </w:p>
    <w:p>
      <w:pPr>
        <w:pStyle w:val="39"/>
        <w:bidi w:val="0"/>
        <w:rPr>
          <w:rFonts w:hint="eastAsia"/>
        </w:rPr>
      </w:pPr>
      <w:bookmarkStart w:id="31" w:name="_Toc8127"/>
      <w:r>
        <w:rPr>
          <w:rFonts w:hint="eastAsia"/>
        </w:rPr>
        <w:t>（六）绩效评价工作过程</w:t>
      </w:r>
      <w:bookmarkEnd w:id="29"/>
      <w:bookmarkEnd w:id="31"/>
    </w:p>
    <w:p>
      <w:pPr>
        <w:pStyle w:val="41"/>
        <w:bidi w:val="0"/>
        <w:rPr>
          <w:lang w:val="zh-CN"/>
        </w:rPr>
      </w:pPr>
      <w:bookmarkStart w:id="32" w:name="_Toc35502614"/>
      <w:bookmarkStart w:id="33" w:name="_Toc56500100"/>
      <w:bookmarkStart w:id="34" w:name="_Toc29302686"/>
      <w:r>
        <w:rPr>
          <w:rFonts w:hint="eastAsia"/>
          <w:lang w:val="zh-CN"/>
        </w:rPr>
        <w:t>1.评价前期准备阶段</w:t>
      </w:r>
      <w:bookmarkEnd w:id="32"/>
      <w:bookmarkEnd w:id="33"/>
    </w:p>
    <w:p>
      <w:pPr>
        <w:pStyle w:val="41"/>
        <w:bidi w:val="0"/>
        <w:rPr>
          <w:rFonts w:hint="eastAsia"/>
          <w:lang w:val="zh-CN"/>
        </w:rPr>
      </w:pPr>
      <w:r>
        <w:rPr>
          <w:rFonts w:hint="eastAsia"/>
          <w:lang w:val="zh-CN"/>
        </w:rPr>
        <w:t>（1）财政局召开三方会议并介绍绩效评价相关情况，向</w:t>
      </w:r>
      <w:r>
        <w:rPr>
          <w:rFonts w:hint="eastAsia"/>
          <w:lang w:val="en-US"/>
        </w:rPr>
        <w:t>环卫中心</w:t>
      </w:r>
      <w:r>
        <w:rPr>
          <w:rFonts w:hint="eastAsia"/>
          <w:lang w:val="zh-CN"/>
        </w:rPr>
        <w:t>下达《绩效评价通知书》，事务所向</w:t>
      </w:r>
      <w:r>
        <w:rPr>
          <w:rFonts w:hint="eastAsia"/>
          <w:lang w:val="en-US"/>
        </w:rPr>
        <w:t>环卫中心</w:t>
      </w:r>
      <w:r>
        <w:rPr>
          <w:rFonts w:hint="eastAsia"/>
          <w:lang w:val="zh-CN"/>
        </w:rPr>
        <w:t>发放《绩效评价资料清单》并确定资料提交时间。</w:t>
      </w:r>
    </w:p>
    <w:p>
      <w:pPr>
        <w:pStyle w:val="41"/>
        <w:bidi w:val="0"/>
        <w:rPr>
          <w:rFonts w:hint="eastAsia"/>
          <w:lang w:val="zh-CN"/>
        </w:rPr>
      </w:pPr>
      <w:r>
        <w:rPr>
          <w:rFonts w:hint="eastAsia"/>
          <w:lang w:val="zh-CN"/>
        </w:rPr>
        <w:t>（2）成立评价组，明确工作范围和职责，提出本次绩效评价的要求，初步确定评价的总体时间安排。</w:t>
      </w:r>
    </w:p>
    <w:p>
      <w:pPr>
        <w:pStyle w:val="41"/>
        <w:bidi w:val="0"/>
        <w:rPr>
          <w:rFonts w:hint="eastAsia"/>
          <w:lang w:val="zh-CN"/>
        </w:rPr>
      </w:pPr>
      <w:r>
        <w:rPr>
          <w:rFonts w:hint="eastAsia"/>
          <w:lang w:val="zh-CN"/>
        </w:rPr>
        <w:t>（3）组织评价组人员学习财政支出绩效评价和项目管理方面的政策及有关项目实施依据、实施方案、专项资金管理等文件精神，在各参评人员对项目情况有了进一步了解的基础上，明确评价工作程序及要求，解析评价指标体系。</w:t>
      </w:r>
    </w:p>
    <w:p>
      <w:pPr>
        <w:pStyle w:val="41"/>
        <w:bidi w:val="0"/>
        <w:rPr>
          <w:lang w:val="zh-CN"/>
        </w:rPr>
      </w:pPr>
      <w:bookmarkStart w:id="35" w:name="_Toc35502615"/>
      <w:bookmarkStart w:id="36" w:name="_Toc56500101"/>
      <w:r>
        <w:rPr>
          <w:rFonts w:hint="eastAsia"/>
          <w:lang w:val="zh-CN"/>
        </w:rPr>
        <w:t>2.评价指标体系设计阶段</w:t>
      </w:r>
      <w:bookmarkEnd w:id="35"/>
      <w:bookmarkEnd w:id="36"/>
    </w:p>
    <w:p>
      <w:pPr>
        <w:pStyle w:val="41"/>
        <w:bidi w:val="0"/>
        <w:rPr>
          <w:rFonts w:hint="eastAsia"/>
          <w:lang w:val="en-US"/>
        </w:rPr>
      </w:pPr>
      <w:bookmarkStart w:id="37" w:name="_Toc56500102"/>
      <w:bookmarkStart w:id="38" w:name="_Toc35502616"/>
      <w:r>
        <w:rPr>
          <w:rFonts w:hint="eastAsia"/>
          <w:lang w:val="en-US"/>
        </w:rPr>
        <w:t>（1）通过对项目基础资料深入了解，对评价指标体系深入剖析，充分考虑本项目特点，拟定绩效评价指标（详见附表2）。</w:t>
      </w:r>
    </w:p>
    <w:p>
      <w:pPr>
        <w:pStyle w:val="41"/>
        <w:bidi w:val="0"/>
        <w:rPr>
          <w:rFonts w:hint="eastAsia"/>
          <w:lang w:val="en-US"/>
        </w:rPr>
      </w:pPr>
      <w:r>
        <w:rPr>
          <w:rFonts w:hint="eastAsia"/>
          <w:lang w:val="en-US"/>
        </w:rPr>
        <w:t>（2）拟定的指标体系，在征求项目单位意见后进行补充和完善。</w:t>
      </w:r>
    </w:p>
    <w:p>
      <w:pPr>
        <w:pStyle w:val="41"/>
        <w:bidi w:val="0"/>
        <w:rPr>
          <w:lang w:val="zh-CN"/>
        </w:rPr>
      </w:pPr>
      <w:r>
        <w:rPr>
          <w:rFonts w:hint="eastAsia"/>
          <w:lang w:val="zh-CN"/>
        </w:rPr>
        <w:t>3.评价实施阶段</w:t>
      </w:r>
      <w:bookmarkEnd w:id="37"/>
      <w:bookmarkEnd w:id="38"/>
    </w:p>
    <w:p>
      <w:pPr>
        <w:pStyle w:val="41"/>
        <w:bidi w:val="0"/>
        <w:rPr>
          <w:rFonts w:hint="eastAsia"/>
          <w:lang w:val="en-US"/>
        </w:rPr>
      </w:pPr>
      <w:r>
        <w:rPr>
          <w:rFonts w:hint="eastAsia"/>
          <w:lang w:val="en-US"/>
        </w:rPr>
        <w:t>（1）对项目单位提交的项目资料进行汇总、整理，检查、核实项目资料中的数据后，确定检查重点和疑点问题、检查方法及具体时间安排等。</w:t>
      </w:r>
    </w:p>
    <w:p>
      <w:pPr>
        <w:pStyle w:val="41"/>
        <w:bidi w:val="0"/>
        <w:rPr>
          <w:rFonts w:hint="eastAsia"/>
          <w:lang w:val="zh-CN"/>
        </w:rPr>
      </w:pPr>
      <w:r>
        <w:rPr>
          <w:rFonts w:hint="eastAsia"/>
          <w:lang w:val="en-US"/>
        </w:rPr>
        <w:t>（2）对项目实施情况进行检查，在听取项目单位对项目实施情况汇报基础上，核实相关资料的真实性、合理性，对项目资料中反映或分析中发现的问题进行重点检查。</w:t>
      </w:r>
    </w:p>
    <w:p>
      <w:pPr>
        <w:pStyle w:val="41"/>
        <w:bidi w:val="0"/>
        <w:rPr>
          <w:rFonts w:hint="eastAsia"/>
          <w:lang w:val="zh-CN"/>
        </w:rPr>
      </w:pPr>
      <w:r>
        <w:rPr>
          <w:rFonts w:hint="eastAsia"/>
          <w:lang w:val="zh-CN"/>
        </w:rPr>
        <w:t>（3）在全面分析整理被检查项目的相关数据资料的基础上，总结检查情况，对照评价指标和标准，进行综合评议与打分，得出评价结论，撰写评价报告。</w:t>
      </w:r>
    </w:p>
    <w:p>
      <w:pPr>
        <w:pStyle w:val="41"/>
        <w:bidi w:val="0"/>
        <w:rPr>
          <w:lang w:val="zh-CN"/>
        </w:rPr>
      </w:pPr>
      <w:bookmarkStart w:id="39" w:name="_Toc56500103"/>
      <w:bookmarkStart w:id="40" w:name="_Toc35502617"/>
      <w:r>
        <w:rPr>
          <w:rFonts w:hint="eastAsia"/>
          <w:lang w:val="zh-CN"/>
        </w:rPr>
        <w:t>4.评价报告阶段</w:t>
      </w:r>
      <w:bookmarkEnd w:id="39"/>
      <w:bookmarkEnd w:id="40"/>
    </w:p>
    <w:p>
      <w:pPr>
        <w:pStyle w:val="41"/>
        <w:bidi w:val="0"/>
        <w:rPr>
          <w:rFonts w:hint="eastAsia"/>
          <w:lang w:val="zh-CN"/>
        </w:rPr>
      </w:pPr>
      <w:r>
        <w:rPr>
          <w:rFonts w:hint="eastAsia"/>
          <w:lang w:val="zh-CN"/>
        </w:rPr>
        <w:t>（1）对项目的相关资料进行分析汇总。</w:t>
      </w:r>
    </w:p>
    <w:p>
      <w:pPr>
        <w:pStyle w:val="41"/>
        <w:bidi w:val="0"/>
        <w:rPr>
          <w:rFonts w:ascii="仿宋" w:hAnsi="仿宋" w:eastAsia="仿宋" w:cs="仿宋_GB2312"/>
          <w:color w:val="auto"/>
          <w:szCs w:val="32"/>
          <w:lang w:val="zh-CN" w:bidi="zh-CN"/>
        </w:rPr>
      </w:pPr>
      <w:r>
        <w:rPr>
          <w:rFonts w:hint="eastAsia"/>
          <w:lang w:val="zh-CN"/>
        </w:rPr>
        <w:t>（2）形成绩效评价报告初稿，</w:t>
      </w:r>
      <w:r>
        <w:rPr>
          <w:rFonts w:hint="eastAsia"/>
          <w:lang w:val="en-US"/>
        </w:rPr>
        <w:t>征求项目单位意见</w:t>
      </w:r>
      <w:r>
        <w:rPr>
          <w:rFonts w:hint="eastAsia"/>
          <w:lang w:val="zh-CN"/>
        </w:rPr>
        <w:t>，补充完善评价报告；形成</w:t>
      </w:r>
      <w:r>
        <w:rPr>
          <w:rFonts w:hint="eastAsia"/>
          <w:lang w:val="en-US"/>
        </w:rPr>
        <w:t>遵化市环境卫生管理中心2022年公厕清掏等费用及车辆保险项目</w:t>
      </w:r>
      <w:r>
        <w:rPr>
          <w:rFonts w:hint="eastAsia"/>
          <w:lang w:val="zh-CN"/>
        </w:rPr>
        <w:t xml:space="preserve">绩效评价报告（包括文字和表格部分）。 </w:t>
      </w:r>
      <w:r>
        <w:rPr>
          <w:rFonts w:hint="eastAsia" w:ascii="仿宋" w:hAnsi="仿宋" w:eastAsia="仿宋" w:cs="仿宋_GB2312"/>
          <w:color w:val="auto"/>
          <w:szCs w:val="32"/>
          <w:lang w:val="zh-CN" w:bidi="zh-CN"/>
        </w:rPr>
        <w:t xml:space="preserve">  </w:t>
      </w:r>
    </w:p>
    <w:p>
      <w:pPr>
        <w:pStyle w:val="40"/>
        <w:bidi w:val="0"/>
        <w:rPr>
          <w:rFonts w:hint="eastAsia" w:ascii="黑体" w:hAnsi="黑体" w:eastAsia="黑体" w:cs="黑体"/>
          <w:bCs/>
          <w:color w:val="auto"/>
          <w:szCs w:val="30"/>
        </w:rPr>
      </w:pPr>
      <w:bookmarkStart w:id="41" w:name="_Toc25590"/>
      <w:r>
        <w:rPr>
          <w:rFonts w:hint="eastAsia"/>
        </w:rPr>
        <w:t>四</w:t>
      </w:r>
      <w:bookmarkEnd w:id="34"/>
      <w:r>
        <w:rPr>
          <w:rFonts w:hint="eastAsia"/>
          <w:lang w:eastAsia="zh-CN"/>
        </w:rPr>
        <w:t>、</w:t>
      </w:r>
      <w:r>
        <w:rPr>
          <w:rFonts w:hint="eastAsia"/>
        </w:rPr>
        <w:t>项目绩效情况</w:t>
      </w:r>
      <w:bookmarkEnd w:id="41"/>
    </w:p>
    <w:p>
      <w:pPr>
        <w:pStyle w:val="39"/>
        <w:bidi w:val="0"/>
        <w:rPr>
          <w:rFonts w:hint="eastAsia"/>
        </w:rPr>
      </w:pPr>
      <w:bookmarkStart w:id="42" w:name="_Toc19630"/>
      <w:r>
        <w:rPr>
          <w:rFonts w:hint="eastAsia"/>
        </w:rPr>
        <w:t>（一）项目产出</w:t>
      </w:r>
      <w:bookmarkEnd w:id="42"/>
    </w:p>
    <w:p>
      <w:pPr>
        <w:pStyle w:val="41"/>
        <w:bidi w:val="0"/>
        <w:rPr>
          <w:rFonts w:hint="default"/>
          <w:lang w:val="en-US" w:eastAsia="zh-CN"/>
        </w:rPr>
      </w:pPr>
      <w:r>
        <w:rPr>
          <w:rFonts w:hint="eastAsia"/>
          <w:lang w:val="en-US" w:eastAsia="zh-CN"/>
        </w:rPr>
        <w:t>项目在预算范围内完成了城区覆盖内84座公厕的清掏工作，公厕环境干净整洁；对公厕零星水管件、清洁用品、消杀用品、公厕标志牌等专用材料的支出，保证了公厕设施的正常运行；将11座城区旱厕改造为了装配式公厕（泡沫/水冲）；改装了小型吸粪车用于老居民小区胡同旱厕改造，保证项目顺利进行。</w:t>
      </w:r>
    </w:p>
    <w:p>
      <w:pPr>
        <w:pStyle w:val="39"/>
        <w:bidi w:val="0"/>
        <w:rPr>
          <w:rFonts w:hint="eastAsia"/>
        </w:rPr>
      </w:pPr>
      <w:bookmarkStart w:id="43" w:name="_Toc20514"/>
      <w:r>
        <w:rPr>
          <w:rFonts w:hint="eastAsia"/>
        </w:rPr>
        <w:t>（二）项目效益</w:t>
      </w:r>
      <w:bookmarkEnd w:id="43"/>
    </w:p>
    <w:p>
      <w:pPr>
        <w:pStyle w:val="41"/>
        <w:bidi w:val="0"/>
        <w:rPr>
          <w:rFonts w:hint="eastAsia"/>
          <w:lang w:val="en-US" w:eastAsia="zh-CN"/>
        </w:rPr>
      </w:pPr>
      <w:r>
        <w:rPr>
          <w:rFonts w:hint="eastAsia"/>
          <w:lang w:val="en-US" w:eastAsia="zh-CN"/>
        </w:rPr>
        <w:t>2022年公厕清掏等费用及车辆保险项目有效清除堵塞物、污染物和臭味，保持了公厕的清洁和舒适，提供了良好的使用环境，有助于提高公共卫生水平，改善了城区环境卫生，有效防范了传染疫情发生，有效促进了城市发展，提高了环卫中心运行效率，保证了旱厕项目的正常进行，促进了群众形成良好的卫厕习惯，改善了公厕的外观，提升了城市形象。</w:t>
      </w:r>
    </w:p>
    <w:p>
      <w:pPr>
        <w:pStyle w:val="40"/>
        <w:bidi w:val="0"/>
        <w:rPr>
          <w:rFonts w:hint="eastAsia" w:ascii="黑体" w:hAnsi="黑体" w:eastAsia="黑体" w:cs="黑体"/>
          <w:bCs/>
          <w:color w:val="auto"/>
          <w:szCs w:val="30"/>
        </w:rPr>
      </w:pPr>
      <w:bookmarkStart w:id="44" w:name="_Toc13280"/>
      <w:r>
        <w:rPr>
          <w:rFonts w:hint="eastAsia"/>
        </w:rPr>
        <w:t>五</w:t>
      </w:r>
      <w:r>
        <w:rPr>
          <w:rFonts w:hint="eastAsia"/>
          <w:lang w:eastAsia="zh-CN"/>
        </w:rPr>
        <w:t>、</w:t>
      </w:r>
      <w:r>
        <w:rPr>
          <w:rFonts w:hint="eastAsia"/>
        </w:rPr>
        <w:t>综合评价情况及评价结论</w:t>
      </w:r>
      <w:bookmarkEnd w:id="44"/>
    </w:p>
    <w:p>
      <w:pPr>
        <w:autoSpaceDE/>
        <w:autoSpaceDN/>
        <w:adjustRightInd/>
        <w:jc w:val="both"/>
        <w:rPr>
          <w:rFonts w:ascii="Calibri" w:hAnsi="Calibri"/>
          <w:color w:val="auto"/>
          <w:kern w:val="2"/>
          <w:sz w:val="21"/>
          <w:szCs w:val="22"/>
        </w:rPr>
      </w:pPr>
    </w:p>
    <w:p>
      <w:pPr>
        <w:pStyle w:val="41"/>
        <w:bidi w:val="0"/>
        <w:rPr>
          <w:rFonts w:hint="eastAsia"/>
          <w:lang w:val="en-US"/>
        </w:rPr>
      </w:pPr>
      <w:r>
        <w:rPr>
          <w:rFonts w:hint="eastAsia"/>
          <w:lang w:val="zh-CN"/>
        </w:rPr>
        <w:t>依据</w:t>
      </w:r>
      <w:r>
        <w:rPr>
          <w:rFonts w:hint="eastAsia"/>
          <w:lang w:val="en-US"/>
        </w:rPr>
        <w:t>遵化市环境卫生管理中心2022年公厕清掏等费用及车辆保险项目</w:t>
      </w:r>
      <w:r>
        <w:rPr>
          <w:rFonts w:hint="eastAsia"/>
          <w:lang w:val="zh-CN"/>
        </w:rPr>
        <w:t>绩效评价指标和相关数据，对照评分标准和绩效分值，通过对决策、过程、产出与效益四个方面的逐项分析评价，</w:t>
      </w:r>
      <w:r>
        <w:rPr>
          <w:rFonts w:hint="eastAsia"/>
          <w:lang w:val="en-US"/>
        </w:rPr>
        <w:t>遵化市环境卫生管理中心2022年公厕清掏等费用及车辆保险项目</w:t>
      </w:r>
      <w:r>
        <w:rPr>
          <w:rFonts w:hint="eastAsia"/>
          <w:lang w:val="zh-CN"/>
        </w:rPr>
        <w:t>绩效评价得分</w:t>
      </w:r>
      <w:r>
        <w:rPr>
          <w:rFonts w:hint="eastAsia"/>
          <w:lang w:val="en-US"/>
        </w:rPr>
        <w:t>80.68</w:t>
      </w:r>
      <w:r>
        <w:rPr>
          <w:rFonts w:hint="eastAsia"/>
          <w:lang w:val="zh-CN"/>
        </w:rPr>
        <w:t>分，综合评价等级为“</w:t>
      </w:r>
      <w:r>
        <w:rPr>
          <w:rFonts w:hint="eastAsia"/>
          <w:lang w:val="en-US"/>
        </w:rPr>
        <w:t>良</w:t>
      </w:r>
      <w:r>
        <w:rPr>
          <w:rFonts w:hint="eastAsia"/>
          <w:lang w:val="zh-CN"/>
        </w:rPr>
        <w:t>”。具体情况如下：</w:t>
      </w:r>
    </w:p>
    <w:p>
      <w:pPr>
        <w:pStyle w:val="37"/>
        <w:bidi w:val="0"/>
      </w:pPr>
      <w:r>
        <w:rPr>
          <w:rFonts w:hint="eastAsia"/>
          <w:lang w:val="zh-CN"/>
        </w:rPr>
        <w:t>遵化市</w:t>
      </w:r>
      <w:r>
        <w:rPr>
          <w:rFonts w:hint="eastAsia"/>
          <w:lang w:val="en-US" w:eastAsia="zh-CN"/>
        </w:rPr>
        <w:t>环境卫生管理中心</w:t>
      </w:r>
      <w:r>
        <w:rPr>
          <w:rFonts w:hint="eastAsia"/>
          <w:lang w:val="zh-CN"/>
        </w:rPr>
        <w:t>2022年公厕清掏等费用及车辆保险项目</w:t>
      </w:r>
    </w:p>
    <w:p>
      <w:pPr>
        <w:pStyle w:val="37"/>
        <w:bidi w:val="0"/>
      </w:pPr>
      <w:r>
        <w:rPr>
          <w:rFonts w:hint="eastAsia"/>
        </w:rPr>
        <w:t>绩效评价得分情况简表：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一级指标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满分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得分</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
                <w:color w:val="auto"/>
                <w:sz w:val="24"/>
                <w:szCs w:val="24"/>
              </w:rPr>
            </w:pPr>
            <w:r>
              <w:rPr>
                <w:rFonts w:hint="eastAsia" w:ascii="仿宋" w:hAnsi="仿宋" w:eastAsia="仿宋" w:cs="宋体"/>
                <w:b/>
                <w:color w:val="auto"/>
                <w:sz w:val="24"/>
                <w:szCs w:val="24"/>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决策指标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11.00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11.00</w:t>
            </w:r>
          </w:p>
        </w:tc>
        <w:tc>
          <w:tcPr>
            <w:tcW w:w="21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eastAsia="zh-CN" w:bidi="zh-CN"/>
              </w:rPr>
            </w:pPr>
            <w:r>
              <w:rPr>
                <w:rFonts w:hint="eastAsia" w:ascii="仿宋" w:hAnsi="仿宋" w:eastAsia="仿宋" w:cs="仿宋_GB2312"/>
                <w:color w:val="auto"/>
                <w:sz w:val="24"/>
                <w:szCs w:val="24"/>
                <w:lang w:val="en-US" w:eastAsia="zh-CN" w:bidi="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过程指标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29.00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25.18</w:t>
            </w:r>
          </w:p>
        </w:tc>
        <w:tc>
          <w:tcPr>
            <w:tcW w:w="21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eastAsia="zh-CN" w:bidi="zh-CN"/>
              </w:rPr>
            </w:pPr>
            <w:r>
              <w:rPr>
                <w:rFonts w:hint="eastAsia" w:ascii="仿宋" w:hAnsi="仿宋" w:eastAsia="仿宋" w:cs="仿宋_GB2312"/>
                <w:color w:val="auto"/>
                <w:sz w:val="24"/>
                <w:szCs w:val="24"/>
                <w:lang w:val="en-US" w:eastAsia="zh-CN" w:bidi="zh-CN"/>
              </w:rPr>
              <w:t>86.83%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产出指标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36.00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26.00</w:t>
            </w:r>
          </w:p>
        </w:tc>
        <w:tc>
          <w:tcPr>
            <w:tcW w:w="21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eastAsia="zh-CN" w:bidi="zh-CN"/>
              </w:rPr>
            </w:pPr>
            <w:r>
              <w:rPr>
                <w:rFonts w:hint="eastAsia" w:ascii="仿宋" w:hAnsi="仿宋" w:eastAsia="仿宋" w:cs="仿宋_GB2312"/>
                <w:color w:val="auto"/>
                <w:sz w:val="24"/>
                <w:szCs w:val="24"/>
                <w:lang w:val="en-US" w:eastAsia="zh-CN" w:bidi="zh-CN"/>
              </w:rPr>
              <w:t>72.22%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效益指标</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仿宋_GB2312"/>
                <w:color w:val="auto"/>
                <w:sz w:val="24"/>
                <w:szCs w:val="24"/>
                <w:lang w:bidi="zh-CN"/>
              </w:rPr>
            </w:pPr>
            <w:r>
              <w:rPr>
                <w:rFonts w:hint="eastAsia" w:ascii="仿宋" w:hAnsi="仿宋" w:eastAsia="仿宋" w:cs="仿宋_GB2312"/>
                <w:color w:val="auto"/>
                <w:sz w:val="24"/>
                <w:szCs w:val="24"/>
                <w:lang w:bidi="zh-CN"/>
              </w:rPr>
              <w:t>24.00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bidi="zh-CN"/>
              </w:rPr>
            </w:pPr>
            <w:r>
              <w:rPr>
                <w:rFonts w:hint="eastAsia" w:ascii="仿宋" w:hAnsi="仿宋" w:eastAsia="仿宋" w:cs="仿宋_GB2312"/>
                <w:color w:val="auto"/>
                <w:sz w:val="24"/>
                <w:szCs w:val="24"/>
                <w:lang w:val="en-US" w:bidi="zh-CN"/>
              </w:rPr>
              <w:t>18.50</w:t>
            </w:r>
          </w:p>
        </w:tc>
        <w:tc>
          <w:tcPr>
            <w:tcW w:w="21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仿宋_GB2312"/>
                <w:color w:val="auto"/>
                <w:sz w:val="24"/>
                <w:szCs w:val="24"/>
                <w:lang w:val="en-US" w:eastAsia="zh-CN" w:bidi="zh-CN"/>
              </w:rPr>
            </w:pPr>
            <w:r>
              <w:rPr>
                <w:rFonts w:hint="eastAsia" w:ascii="仿宋" w:hAnsi="仿宋" w:eastAsia="仿宋" w:cs="仿宋_GB2312"/>
                <w:color w:val="auto"/>
                <w:sz w:val="24"/>
                <w:szCs w:val="24"/>
                <w:lang w:val="en-US" w:eastAsia="zh-CN" w:bidi="zh-CN"/>
              </w:rPr>
              <w:t>77.08%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宋体"/>
                <w:bCs/>
                <w:color w:val="auto"/>
                <w:sz w:val="24"/>
                <w:szCs w:val="24"/>
              </w:rPr>
              <w:t>综合绩效</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hint="eastAsia" w:ascii="仿宋" w:hAnsi="仿宋" w:eastAsia="仿宋" w:cs="仿宋_GB2312"/>
                <w:color w:val="auto"/>
                <w:sz w:val="24"/>
                <w:szCs w:val="24"/>
                <w:lang w:bidi="zh-CN"/>
              </w:rPr>
              <w:t>100.00</w:t>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ascii="仿宋" w:hAnsi="仿宋" w:eastAsia="仿宋" w:cs="宋体"/>
                <w:bCs/>
                <w:color w:val="auto"/>
                <w:sz w:val="24"/>
                <w:szCs w:val="24"/>
              </w:rPr>
            </w:pPr>
            <w:r>
              <w:rPr>
                <w:rFonts w:ascii="仿宋" w:hAnsi="仿宋" w:eastAsia="仿宋" w:cs="宋体"/>
                <w:bCs/>
                <w:color w:val="auto"/>
                <w:sz w:val="24"/>
                <w:szCs w:val="24"/>
              </w:rPr>
              <w:fldChar w:fldCharType="begin"/>
            </w:r>
            <w:r>
              <w:rPr>
                <w:rFonts w:ascii="仿宋" w:hAnsi="仿宋" w:eastAsia="仿宋" w:cs="宋体"/>
                <w:bCs/>
                <w:color w:val="auto"/>
                <w:sz w:val="24"/>
                <w:szCs w:val="24"/>
              </w:rPr>
              <w:instrText xml:space="preserve"> = sum(C2:C5) \* MERGEFORMAT </w:instrText>
            </w:r>
            <w:r>
              <w:rPr>
                <w:rFonts w:ascii="仿宋" w:hAnsi="仿宋" w:eastAsia="仿宋" w:cs="宋体"/>
                <w:bCs/>
                <w:color w:val="auto"/>
                <w:sz w:val="24"/>
                <w:szCs w:val="24"/>
              </w:rPr>
              <w:fldChar w:fldCharType="separate"/>
            </w:r>
            <w:r>
              <w:rPr>
                <w:rFonts w:ascii="仿宋" w:hAnsi="仿宋" w:eastAsia="仿宋" w:cs="宋体"/>
                <w:bCs/>
                <w:color w:val="auto"/>
                <w:sz w:val="24"/>
                <w:szCs w:val="24"/>
              </w:rPr>
              <w:t>80.68</w:t>
            </w:r>
            <w:r>
              <w:rPr>
                <w:rFonts w:ascii="仿宋" w:hAnsi="仿宋" w:eastAsia="仿宋" w:cs="宋体"/>
                <w:bCs/>
                <w:color w:val="auto"/>
                <w:sz w:val="24"/>
                <w:szCs w:val="24"/>
              </w:rPr>
              <w:fldChar w:fldCharType="end"/>
            </w:r>
          </w:p>
        </w:tc>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textAlignment w:val="baseline"/>
              <w:rPr>
                <w:rFonts w:hint="default" w:ascii="仿宋" w:hAnsi="仿宋" w:eastAsia="仿宋" w:cs="宋体"/>
                <w:bCs/>
                <w:color w:val="auto"/>
                <w:sz w:val="24"/>
                <w:szCs w:val="24"/>
                <w:lang w:val="en-US" w:eastAsia="zh-CN"/>
              </w:rPr>
            </w:pPr>
            <w:r>
              <w:rPr>
                <w:rFonts w:hint="eastAsia" w:ascii="仿宋" w:hAnsi="仿宋" w:eastAsia="仿宋" w:cs="宋体"/>
                <w:bCs/>
                <w:color w:val="auto"/>
                <w:sz w:val="24"/>
                <w:szCs w:val="24"/>
                <w:lang w:val="en-US" w:eastAsia="zh-CN"/>
              </w:rPr>
              <w:t>80.68%</w:t>
            </w:r>
          </w:p>
        </w:tc>
      </w:tr>
    </w:tbl>
    <w:p>
      <w:pPr>
        <w:autoSpaceDE/>
        <w:autoSpaceDN/>
        <w:adjustRightInd/>
        <w:jc w:val="both"/>
        <w:rPr>
          <w:rFonts w:ascii="Calibri" w:hAnsi="Calibri"/>
          <w:color w:val="auto"/>
          <w:kern w:val="2"/>
          <w:sz w:val="21"/>
          <w:szCs w:val="22"/>
        </w:rPr>
      </w:pPr>
    </w:p>
    <w:p>
      <w:pPr>
        <w:pStyle w:val="40"/>
        <w:bidi w:val="0"/>
        <w:rPr>
          <w:rFonts w:hint="eastAsia" w:ascii="黑体" w:hAnsi="黑体" w:eastAsia="黑体" w:cs="黑体"/>
          <w:bCs/>
          <w:color w:val="auto"/>
          <w:szCs w:val="30"/>
        </w:rPr>
      </w:pPr>
      <w:bookmarkStart w:id="45" w:name="_Toc2443"/>
      <w:r>
        <w:rPr>
          <w:rFonts w:hint="eastAsia"/>
        </w:rPr>
        <w:t>六</w:t>
      </w:r>
      <w:r>
        <w:rPr>
          <w:rFonts w:hint="eastAsia"/>
          <w:lang w:eastAsia="zh-CN"/>
        </w:rPr>
        <w:t>、</w:t>
      </w:r>
      <w:r>
        <w:rPr>
          <w:rFonts w:hint="eastAsia"/>
        </w:rPr>
        <w:t>存在的主要问题</w:t>
      </w:r>
      <w:bookmarkEnd w:id="45"/>
    </w:p>
    <w:p>
      <w:pPr>
        <w:pStyle w:val="39"/>
        <w:bidi w:val="0"/>
        <w:rPr>
          <w:rFonts w:hint="default"/>
          <w:lang w:val="en-US" w:eastAsia="zh-CN"/>
        </w:rPr>
      </w:pPr>
      <w:bookmarkStart w:id="46" w:name="_Toc25674"/>
      <w:r>
        <w:rPr>
          <w:rFonts w:hint="eastAsia"/>
          <w:lang w:val="en-US" w:eastAsia="zh-CN"/>
        </w:rPr>
        <w:t>（一）物资管理不规范</w:t>
      </w:r>
      <w:bookmarkEnd w:id="46"/>
    </w:p>
    <w:p>
      <w:pPr>
        <w:pStyle w:val="41"/>
        <w:bidi w:val="0"/>
        <w:rPr>
          <w:rFonts w:hint="eastAsia"/>
          <w:lang w:val="en-US" w:eastAsia="zh-CN"/>
        </w:rPr>
      </w:pPr>
      <w:r>
        <w:rPr>
          <w:rFonts w:hint="eastAsia"/>
          <w:lang w:val="en-US" w:eastAsia="zh-CN"/>
        </w:rPr>
        <w:t>1.经查看相关资料，环卫中心</w:t>
      </w:r>
      <w:r>
        <w:rPr>
          <w:rFonts w:hint="eastAsia"/>
          <w:lang w:val="en-US"/>
        </w:rPr>
        <w:t>支付2022年公厕清掏等费用及车辆保险项目费用中专用材料支出81.22万元，</w:t>
      </w:r>
      <w:r>
        <w:rPr>
          <w:rFonts w:hint="eastAsia"/>
          <w:lang w:val="en-US" w:eastAsia="zh-CN"/>
        </w:rPr>
        <w:t>包括</w:t>
      </w:r>
      <w:r>
        <w:rPr>
          <w:rFonts w:hint="default"/>
          <w:lang w:val="en-US" w:eastAsia="zh-CN"/>
        </w:rPr>
        <w:t>公厕零星水管件、清洁用品、消杀用品、公厕标志牌等</w:t>
      </w:r>
      <w:r>
        <w:rPr>
          <w:rFonts w:hint="eastAsia"/>
          <w:lang w:val="en-US" w:eastAsia="zh-CN"/>
        </w:rPr>
        <w:t>支出，其中线缆、水暖件等配件支出24.72万元，日杂用品支出42.62万元，采购明细如下：</w:t>
      </w:r>
    </w:p>
    <w:p>
      <w:pPr>
        <w:spacing w:after="312" w:afterLines="100" w:line="360" w:lineRule="auto"/>
        <w:jc w:val="center"/>
        <w:textAlignment w:val="baseline"/>
        <w:rPr>
          <w:rFonts w:hint="eastAsia" w:ascii="仿宋" w:hAnsi="仿宋" w:eastAsia="仿宋" w:cs="宋体"/>
          <w:b/>
          <w:color w:val="auto"/>
          <w:sz w:val="24"/>
          <w:szCs w:val="24"/>
          <w:lang w:val="en-US" w:eastAsia="zh-CN"/>
        </w:rPr>
      </w:pPr>
      <w:r>
        <w:rPr>
          <w:rFonts w:hint="eastAsia" w:ascii="仿宋" w:hAnsi="仿宋" w:eastAsia="仿宋" w:cs="宋体"/>
          <w:b/>
          <w:color w:val="auto"/>
          <w:sz w:val="24"/>
          <w:szCs w:val="24"/>
          <w:lang w:val="en-US" w:eastAsia="zh-CN"/>
        </w:rPr>
        <w:t>配件采购明细表</w:t>
      </w:r>
    </w:p>
    <w:p>
      <w:pPr>
        <w:pStyle w:val="2"/>
        <w:jc w:val="right"/>
        <w:rPr>
          <w:rFonts w:hint="default"/>
          <w:color w:val="auto"/>
          <w:lang w:val="en-US" w:eastAsia="zh-CN"/>
        </w:rPr>
      </w:pPr>
      <w:r>
        <w:rPr>
          <w:rFonts w:hint="eastAsia" w:ascii="仿宋" w:hAnsi="仿宋" w:eastAsia="仿宋" w:cs="宋体"/>
          <w:b/>
          <w:color w:val="auto"/>
          <w:sz w:val="24"/>
          <w:szCs w:val="24"/>
          <w:lang w:val="en-US" w:eastAsia="zh-CN"/>
        </w:rPr>
        <w:t>单位：元</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2"/>
        <w:gridCol w:w="1032"/>
        <w:gridCol w:w="1734"/>
        <w:gridCol w:w="1342"/>
        <w:gridCol w:w="1485"/>
        <w:gridCol w:w="18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blHeader/>
        </w:trPr>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记账</w:t>
            </w:r>
          </w:p>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月份</w:t>
            </w:r>
          </w:p>
        </w:tc>
        <w:tc>
          <w:tcPr>
            <w:tcW w:w="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凭证号</w:t>
            </w:r>
          </w:p>
        </w:tc>
        <w:tc>
          <w:tcPr>
            <w:tcW w:w="10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摘要</w:t>
            </w:r>
          </w:p>
        </w:tc>
        <w:tc>
          <w:tcPr>
            <w:tcW w:w="7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金额</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采购内容</w:t>
            </w: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采购单位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25,869.00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12,732.00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18,710.00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记账-23</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16,415.00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配件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18,803.00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20,650.00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记账-17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900.00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钢丝管</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22,219.00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记账-7</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建筑垃圾场防汛（专用材料）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15,380.00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钢丝管、水带、线缆、钢丝绳</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遵化市贸易城天海水泵经销处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记账-14</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17,790.00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记账-21</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13,380.00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线缆</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遵化市贸易城天海水泵经销处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记账-42</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专用材料款</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22,583.00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记账-9</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18,163.00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05" w:type="pc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记账-20</w:t>
            </w:r>
          </w:p>
        </w:tc>
        <w:tc>
          <w:tcPr>
            <w:tcW w:w="10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23,558.00</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水暖件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遵化市东环南路兴达建材水暖商店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22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247,152.00</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u w:val="none"/>
              </w:rPr>
            </w:pPr>
          </w:p>
        </w:tc>
        <w:tc>
          <w:tcPr>
            <w:tcW w:w="11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u w:val="none"/>
              </w:rPr>
            </w:pP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600" w:firstLineChars="200"/>
        <w:jc w:val="both"/>
        <w:textAlignment w:val="baseline"/>
        <w:rPr>
          <w:rFonts w:hint="eastAsia" w:ascii="仿宋" w:hAnsi="仿宋" w:eastAsia="仿宋" w:cs="仿宋_GB2312"/>
          <w:color w:val="auto"/>
          <w:sz w:val="30"/>
          <w:szCs w:val="30"/>
          <w:lang w:val="en-US" w:eastAsia="zh-CN" w:bidi="zh-CN"/>
        </w:rPr>
      </w:pPr>
    </w:p>
    <w:p>
      <w:pPr>
        <w:pStyle w:val="41"/>
        <w:bidi w:val="0"/>
        <w:rPr>
          <w:rFonts w:hint="default"/>
          <w:lang w:val="en-US" w:eastAsia="zh-CN"/>
        </w:rPr>
      </w:pPr>
      <w:r>
        <w:rPr>
          <w:rFonts w:hint="eastAsia"/>
          <w:lang w:val="en-US" w:eastAsia="zh-CN"/>
        </w:rPr>
        <w:t>配件采购方式为每次根据实际维修需要到采购点直接领用，并由采购点登记，月度统一结账，但采购点无法提供登记台账，环卫中心未建立管理台账，无法确定开票明细及金额的准确性。</w:t>
      </w:r>
    </w:p>
    <w:p>
      <w:pPr>
        <w:spacing w:after="312" w:afterLines="100" w:line="360" w:lineRule="auto"/>
        <w:jc w:val="center"/>
        <w:textAlignment w:val="baseline"/>
        <w:rPr>
          <w:rFonts w:hint="eastAsia" w:ascii="仿宋" w:hAnsi="仿宋" w:eastAsia="仿宋" w:cs="宋体"/>
          <w:b/>
          <w:color w:val="auto"/>
          <w:sz w:val="24"/>
          <w:szCs w:val="24"/>
          <w:lang w:val="en-US" w:eastAsia="zh-CN"/>
        </w:rPr>
      </w:pPr>
    </w:p>
    <w:p>
      <w:pPr>
        <w:pStyle w:val="37"/>
        <w:bidi w:val="0"/>
        <w:rPr>
          <w:rFonts w:hint="eastAsia" w:ascii="仿宋" w:hAnsi="仿宋" w:eastAsia="仿宋" w:cs="宋体"/>
          <w:b/>
          <w:color w:val="auto"/>
          <w:szCs w:val="24"/>
          <w:lang w:val="en-US" w:eastAsia="zh-CN"/>
        </w:rPr>
      </w:pPr>
      <w:r>
        <w:rPr>
          <w:rFonts w:hint="eastAsia"/>
          <w:lang w:val="en-US" w:eastAsia="zh-CN"/>
        </w:rPr>
        <w:t>日用杂品采购明细表</w:t>
      </w:r>
    </w:p>
    <w:p>
      <w:pPr>
        <w:spacing w:line="480" w:lineRule="exact"/>
        <w:jc w:val="right"/>
        <w:textAlignment w:val="baseline"/>
        <w:rPr>
          <w:rFonts w:hint="default" w:ascii="仿宋" w:hAnsi="仿宋" w:eastAsia="仿宋" w:cs="宋体"/>
          <w:b/>
          <w:color w:val="auto"/>
          <w:sz w:val="24"/>
          <w:szCs w:val="24"/>
          <w:lang w:val="en-US" w:eastAsia="zh-CN"/>
        </w:rPr>
      </w:pPr>
      <w:r>
        <w:rPr>
          <w:rFonts w:hint="eastAsia" w:ascii="仿宋" w:hAnsi="仿宋" w:eastAsia="仿宋" w:cs="宋体"/>
          <w:b/>
          <w:color w:val="auto"/>
          <w:sz w:val="24"/>
          <w:szCs w:val="24"/>
          <w:lang w:val="en-US" w:eastAsia="zh-CN"/>
        </w:rPr>
        <w:t>单位：元</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02"/>
        <w:gridCol w:w="1110"/>
        <w:gridCol w:w="1458"/>
        <w:gridCol w:w="1637"/>
        <w:gridCol w:w="1373"/>
        <w:gridCol w:w="15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blHeader/>
        </w:trPr>
        <w:tc>
          <w:tcPr>
            <w:tcW w:w="8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记账月份</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凭证号</w:t>
            </w:r>
          </w:p>
        </w:tc>
        <w:tc>
          <w:tcPr>
            <w:tcW w:w="8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摘要</w:t>
            </w:r>
          </w:p>
        </w:tc>
        <w:tc>
          <w:tcPr>
            <w:tcW w:w="9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金额</w:t>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内容</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采购单位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记账-53</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41,020.00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32,210.00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33,970.00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36,629.00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遵化市贸易城</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永盛商店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记账-25</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38,690.00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39,980.00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遵化市贸易城</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永盛商店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7</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记账-25</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38,990.00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8</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记账-16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43,955.00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遵化市贸易城</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永盛商店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记账-55</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1,200.00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遵化市贸易城</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永盛商店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9</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记账-56</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21,765.00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记账-43</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专用材料款</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32,560.00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遵化市贸易城</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永盛商店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记账-10</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29,696.00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记账-21</w:t>
            </w:r>
          </w:p>
        </w:tc>
        <w:tc>
          <w:tcPr>
            <w:tcW w:w="8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专用材料</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35,561.00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日用杂品</w:t>
            </w:r>
          </w:p>
        </w:tc>
        <w:tc>
          <w:tcPr>
            <w:tcW w:w="9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刘俊奎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32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   计</w:t>
            </w:r>
          </w:p>
        </w:tc>
        <w:tc>
          <w:tcPr>
            <w:tcW w:w="9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426,226.00</w:t>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u w:val="none"/>
              </w:rPr>
            </w:pP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18"/>
                <w:szCs w:val="18"/>
                <w:u w:val="none"/>
              </w:rPr>
            </w:pPr>
          </w:p>
        </w:tc>
      </w:tr>
    </w:tbl>
    <w:p>
      <w:pPr>
        <w:pStyle w:val="2"/>
        <w:rPr>
          <w:rFonts w:hint="eastAsia"/>
          <w:color w:val="auto"/>
          <w:lang w:val="en-US" w:eastAsia="zh-CN"/>
        </w:rPr>
      </w:pPr>
    </w:p>
    <w:p>
      <w:pPr>
        <w:pStyle w:val="41"/>
        <w:bidi w:val="0"/>
        <w:rPr>
          <w:rFonts w:hint="default"/>
          <w:lang w:val="en-US" w:eastAsia="zh-CN"/>
        </w:rPr>
      </w:pPr>
      <w:r>
        <w:rPr>
          <w:rFonts w:hint="eastAsia"/>
          <w:lang w:val="en-US" w:eastAsia="zh-CN"/>
        </w:rPr>
        <w:t>日用杂品无入库、验收、出库、领用等相关记录，无法与开票信息进行核对；且环卫中心所有人员均可领用相关物资，公厕清掏工作人员使用情况无法确定，物资管理不到位。</w:t>
      </w:r>
    </w:p>
    <w:p>
      <w:pPr>
        <w:pStyle w:val="41"/>
        <w:bidi w:val="0"/>
        <w:rPr>
          <w:rFonts w:hint="eastAsia"/>
          <w:lang w:val="en-US" w:eastAsia="zh-CN"/>
        </w:rPr>
      </w:pPr>
      <w:r>
        <w:rPr>
          <w:rFonts w:hint="eastAsia"/>
          <w:lang w:val="en-US" w:eastAsia="zh-CN"/>
        </w:rPr>
        <w:t>2.物资采购未经过相关采购程序、集体决策，未签订相关协议，物资采购价格合理性待规范。</w:t>
      </w:r>
    </w:p>
    <w:p>
      <w:pPr>
        <w:pStyle w:val="39"/>
        <w:bidi w:val="0"/>
        <w:rPr>
          <w:rFonts w:hint="eastAsia"/>
          <w:lang w:val="en-US" w:eastAsia="zh-CN"/>
        </w:rPr>
      </w:pPr>
      <w:bookmarkStart w:id="47" w:name="_Toc25975"/>
      <w:r>
        <w:rPr>
          <w:rFonts w:hint="eastAsia"/>
          <w:lang w:val="en-US" w:eastAsia="zh-CN"/>
        </w:rPr>
        <w:t>（二）产出质量不达标</w:t>
      </w:r>
      <w:bookmarkEnd w:id="47"/>
    </w:p>
    <w:p>
      <w:pPr>
        <w:spacing w:line="360" w:lineRule="auto"/>
        <w:ind w:firstLine="640" w:firstLineChars="200"/>
        <w:jc w:val="both"/>
        <w:textAlignment w:val="baseline"/>
        <w:rPr>
          <w:rFonts w:hint="eastAsia" w:ascii="仿宋" w:hAnsi="仿宋" w:eastAsia="仿宋" w:cs="仿宋_GB2312"/>
          <w:color w:val="auto"/>
          <w:sz w:val="30"/>
          <w:szCs w:val="30"/>
          <w:lang w:val="en-US" w:eastAsia="zh-CN" w:bidi="zh-CN"/>
        </w:rPr>
      </w:pPr>
      <w:r>
        <w:rPr>
          <w:rStyle w:val="64"/>
          <w:rFonts w:hint="eastAsia"/>
          <w:lang w:val="en-US" w:eastAsia="zh-CN"/>
        </w:rPr>
        <w:t>经现场问卷及实地察看，遵化市城区公共厕所存在消杀不及时、装配式厕所未供水等情况，项目产出质量有待提高。</w:t>
      </w:r>
      <w:r>
        <w:rPr>
          <w:rFonts w:hint="eastAsia" w:ascii="仿宋" w:hAnsi="仿宋" w:eastAsia="仿宋" w:cs="仿宋_GB2312"/>
          <w:color w:val="auto"/>
          <w:sz w:val="30"/>
          <w:szCs w:val="30"/>
          <w:lang w:val="en-US" w:eastAsia="zh-CN" w:bidi="zh-CN"/>
        </w:rPr>
        <w:drawing>
          <wp:inline distT="0" distB="0" distL="114300" distR="114300">
            <wp:extent cx="5266690" cy="7022465"/>
            <wp:effectExtent l="0" t="0" r="6350" b="3175"/>
            <wp:docPr id="2" name="图片 2" descr="06975ad87584154702e3f8386e3dc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6975ad87584154702e3f8386e3dc077"/>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hint="eastAsia" w:ascii="仿宋" w:hAnsi="仿宋" w:eastAsia="仿宋" w:cs="仿宋_GB2312"/>
          <w:color w:val="auto"/>
          <w:sz w:val="30"/>
          <w:szCs w:val="30"/>
          <w:lang w:val="en-US" w:eastAsia="zh-CN" w:bidi="zh-CN"/>
        </w:rPr>
        <w:drawing>
          <wp:inline distT="0" distB="0" distL="114300" distR="114300">
            <wp:extent cx="5266690" cy="7022465"/>
            <wp:effectExtent l="0" t="0" r="6350" b="3175"/>
            <wp:docPr id="4" name="图片 4" descr="ec197c71c29c058ecd01da5c49ea6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197c71c29c058ecd01da5c49ea6dd1"/>
                    <pic:cNvPicPr>
                      <a:picLocks noChangeAspect="1"/>
                    </pic:cNvPicPr>
                  </pic:nvPicPr>
                  <pic:blipFill>
                    <a:blip r:embed="rId9"/>
                    <a:stretch>
                      <a:fillRect/>
                    </a:stretch>
                  </pic:blipFill>
                  <pic:spPr>
                    <a:xfrm>
                      <a:off x="0" y="0"/>
                      <a:ext cx="5266690" cy="7022465"/>
                    </a:xfrm>
                    <a:prstGeom prst="rect">
                      <a:avLst/>
                    </a:prstGeom>
                  </pic:spPr>
                </pic:pic>
              </a:graphicData>
            </a:graphic>
          </wp:inline>
        </w:drawing>
      </w:r>
    </w:p>
    <w:p>
      <w:pPr>
        <w:pStyle w:val="2"/>
        <w:rPr>
          <w:rFonts w:hint="default"/>
          <w:color w:val="auto"/>
          <w:lang w:val="en-US" w:eastAsia="zh-CN"/>
        </w:rPr>
      </w:pPr>
    </w:p>
    <w:p>
      <w:pPr>
        <w:pStyle w:val="39"/>
        <w:bidi w:val="0"/>
        <w:rPr>
          <w:rFonts w:hint="eastAsia"/>
          <w:lang w:val="en-US" w:eastAsia="zh-CN"/>
        </w:rPr>
      </w:pPr>
      <w:bookmarkStart w:id="48" w:name="_Toc32669"/>
      <w:r>
        <w:rPr>
          <w:rFonts w:hint="eastAsia"/>
          <w:lang w:val="en-US" w:eastAsia="zh-CN"/>
        </w:rPr>
        <w:t>（三）账务管理不规范</w:t>
      </w:r>
      <w:bookmarkEnd w:id="48"/>
    </w:p>
    <w:p>
      <w:pPr>
        <w:pStyle w:val="41"/>
        <w:bidi w:val="0"/>
      </w:pPr>
      <w:r>
        <w:rPr>
          <w:rFonts w:hint="eastAsia"/>
          <w:lang w:val="en-US" w:eastAsia="zh-CN"/>
        </w:rPr>
        <w:t>经资料查看、现场访谈等审计程序，环卫中心公厕清掏等费用及车辆保险项目未实行专账管理，各项支出与其他项目同时列支，账务核算待规范。</w:t>
      </w:r>
    </w:p>
    <w:p>
      <w:pPr>
        <w:pStyle w:val="39"/>
        <w:bidi w:val="0"/>
        <w:rPr>
          <w:rFonts w:hint="default"/>
          <w:lang w:val="en-US" w:eastAsia="zh-CN"/>
        </w:rPr>
      </w:pPr>
      <w:bookmarkStart w:id="49" w:name="_Toc8790"/>
      <w:r>
        <w:rPr>
          <w:rFonts w:hint="eastAsia"/>
          <w:lang w:val="zh-CN" w:eastAsia="zh-CN"/>
        </w:rPr>
        <w:t>（</w:t>
      </w:r>
      <w:r>
        <w:rPr>
          <w:rFonts w:hint="eastAsia"/>
          <w:lang w:val="en-US" w:eastAsia="zh-CN"/>
        </w:rPr>
        <w:t>四</w:t>
      </w:r>
      <w:r>
        <w:rPr>
          <w:rFonts w:hint="eastAsia"/>
          <w:lang w:val="zh-CN" w:eastAsia="zh-CN"/>
        </w:rPr>
        <w:t>）</w:t>
      </w:r>
      <w:r>
        <w:rPr>
          <w:rFonts w:hint="eastAsia"/>
          <w:lang w:val="en-US" w:eastAsia="zh-CN"/>
        </w:rPr>
        <w:t>自评管理不到位</w:t>
      </w:r>
      <w:bookmarkEnd w:id="49"/>
    </w:p>
    <w:p>
      <w:pPr>
        <w:pStyle w:val="41"/>
        <w:bidi w:val="0"/>
        <w:rPr>
          <w:rFonts w:hint="default"/>
          <w:lang w:val="en-US"/>
        </w:rPr>
      </w:pPr>
      <w:r>
        <w:rPr>
          <w:rFonts w:hint="eastAsia"/>
          <w:lang w:val="en-US"/>
        </w:rPr>
        <w:t>环卫中心《2022年公厕清掏等费用及车辆保险项目绩效自评报告》第三部分得分简表中满意度指标得分10.00分，预算执行率指标得分9.00分，综合得分99.00，得分率96.30%；第四部分（四）满意度指标得分9.00分，（五）预算执行率“满分10分，评价得分10.00分。 得分率72.59%”；附表2评价指标表中满意度得分9.00分，预算执行率得分7.30分，综合得分96.30分。自评报告不同位置分值不一致，自评管理待规范。</w:t>
      </w:r>
    </w:p>
    <w:p>
      <w:pPr>
        <w:pStyle w:val="40"/>
        <w:bidi w:val="0"/>
        <w:rPr>
          <w:rFonts w:hint="eastAsia"/>
          <w:lang w:val="zh-CN"/>
        </w:rPr>
      </w:pPr>
      <w:bookmarkStart w:id="50" w:name="_Toc18463"/>
      <w:r>
        <w:rPr>
          <w:rFonts w:hint="eastAsia"/>
        </w:rPr>
        <w:t>七</w:t>
      </w:r>
      <w:r>
        <w:rPr>
          <w:rFonts w:hint="eastAsia"/>
          <w:lang w:eastAsia="zh-CN"/>
        </w:rPr>
        <w:t>、</w:t>
      </w:r>
      <w:r>
        <w:rPr>
          <w:rFonts w:hint="eastAsia"/>
        </w:rPr>
        <w:t>意见建议</w:t>
      </w:r>
      <w:bookmarkEnd w:id="50"/>
    </w:p>
    <w:p>
      <w:pPr>
        <w:pStyle w:val="41"/>
        <w:bidi w:val="0"/>
        <w:rPr>
          <w:rFonts w:hint="eastAsia"/>
          <w:lang w:val="en-US"/>
        </w:rPr>
      </w:pPr>
      <w:r>
        <w:rPr>
          <w:rFonts w:hint="eastAsia"/>
          <w:lang w:val="en-US"/>
        </w:rPr>
        <w:t>1.规范资金管理，对项目进行专账核算，确保专款专用，保证资金使用效率。</w:t>
      </w:r>
    </w:p>
    <w:p>
      <w:pPr>
        <w:pStyle w:val="41"/>
        <w:bidi w:val="0"/>
        <w:rPr>
          <w:rFonts w:hint="eastAsia"/>
          <w:lang w:val="en-US"/>
        </w:rPr>
      </w:pPr>
      <w:r>
        <w:rPr>
          <w:rFonts w:hint="eastAsia"/>
          <w:lang w:val="en-US"/>
        </w:rPr>
        <w:t>2.规范物资管理，规范物资采购程序，</w:t>
      </w:r>
      <w:r>
        <w:rPr>
          <w:rFonts w:hint="eastAsia"/>
          <w:lang w:val="zh-CN"/>
        </w:rPr>
        <w:t>对采购形式、采购审批和验收等环节作为重点内容进行明确；</w:t>
      </w:r>
      <w:r>
        <w:rPr>
          <w:rFonts w:hint="eastAsia"/>
          <w:lang w:val="en-US"/>
        </w:rPr>
        <w:t>加强物资验收及出入库管理，避免造成物资浪费。</w:t>
      </w:r>
    </w:p>
    <w:p>
      <w:pPr>
        <w:pStyle w:val="2"/>
        <w:rPr>
          <w:rFonts w:hint="eastAsia" w:ascii="仿宋" w:hAnsi="仿宋" w:eastAsia="仿宋" w:cs="仿宋_GB2312"/>
          <w:b/>
          <w:bCs/>
          <w:color w:val="auto"/>
          <w:sz w:val="30"/>
          <w:szCs w:val="30"/>
          <w:lang w:val="zh-CN" w:bidi="zh-CN"/>
        </w:rPr>
      </w:pPr>
    </w:p>
    <w:p>
      <w:pPr>
        <w:rPr>
          <w:rFonts w:hint="eastAsia"/>
          <w:lang w:val="zh-CN"/>
        </w:rPr>
      </w:pPr>
    </w:p>
    <w:p>
      <w:pPr>
        <w:spacing w:line="360" w:lineRule="auto"/>
        <w:ind w:firstLine="602" w:firstLineChars="200"/>
        <w:jc w:val="both"/>
        <w:textAlignment w:val="baseline"/>
        <w:rPr>
          <w:rFonts w:hint="eastAsia" w:ascii="仿宋" w:hAnsi="仿宋" w:eastAsia="仿宋" w:cs="仿宋_GB2312"/>
          <w:b/>
          <w:bCs/>
          <w:color w:val="auto"/>
          <w:sz w:val="30"/>
          <w:szCs w:val="30"/>
          <w:lang w:val="zh-CN" w:bidi="zh-CN"/>
        </w:rPr>
      </w:pPr>
    </w:p>
    <w:p>
      <w:pPr>
        <w:pStyle w:val="2"/>
        <w:rPr>
          <w:rFonts w:hint="eastAsia" w:ascii="仿宋" w:hAnsi="仿宋" w:eastAsia="仿宋" w:cs="仿宋_GB2312"/>
          <w:b/>
          <w:bCs/>
          <w:color w:val="auto"/>
          <w:sz w:val="30"/>
          <w:szCs w:val="30"/>
          <w:lang w:val="zh-CN" w:bidi="zh-CN"/>
        </w:rPr>
      </w:pPr>
    </w:p>
    <w:p>
      <w:pPr>
        <w:rPr>
          <w:rFonts w:hint="eastAsia" w:ascii="仿宋" w:hAnsi="仿宋" w:eastAsia="仿宋" w:cs="仿宋_GB2312"/>
          <w:b/>
          <w:bCs/>
          <w:color w:val="auto"/>
          <w:sz w:val="30"/>
          <w:szCs w:val="30"/>
          <w:lang w:val="zh-CN" w:bidi="zh-CN"/>
        </w:rPr>
      </w:pPr>
    </w:p>
    <w:p>
      <w:pPr>
        <w:pStyle w:val="2"/>
        <w:rPr>
          <w:rFonts w:hint="eastAsia"/>
          <w:lang w:val="zh-CN"/>
        </w:rPr>
      </w:pPr>
    </w:p>
    <w:p>
      <w:pPr>
        <w:spacing w:line="360" w:lineRule="auto"/>
        <w:ind w:firstLine="602" w:firstLineChars="200"/>
        <w:jc w:val="both"/>
        <w:textAlignment w:val="baseline"/>
        <w:rPr>
          <w:rFonts w:hint="eastAsia" w:ascii="仿宋" w:hAnsi="仿宋" w:eastAsia="仿宋" w:cs="仿宋_GB2312"/>
          <w:b/>
          <w:bCs/>
          <w:color w:val="auto"/>
          <w:sz w:val="30"/>
          <w:szCs w:val="30"/>
          <w:lang w:val="zh-CN" w:bidi="zh-CN"/>
        </w:rPr>
      </w:pPr>
    </w:p>
    <w:p>
      <w:pPr>
        <w:spacing w:line="360" w:lineRule="auto"/>
        <w:ind w:firstLine="640" w:firstLineChars="200"/>
        <w:jc w:val="both"/>
        <w:textAlignment w:val="baseline"/>
        <w:rPr>
          <w:rStyle w:val="63"/>
          <w:rFonts w:hint="eastAsia"/>
          <w:lang w:val="zh-CN"/>
        </w:rPr>
      </w:pPr>
    </w:p>
    <w:p>
      <w:pPr>
        <w:spacing w:line="360" w:lineRule="auto"/>
        <w:ind w:firstLine="640" w:firstLineChars="200"/>
        <w:jc w:val="both"/>
        <w:textAlignment w:val="baseline"/>
        <w:rPr>
          <w:rFonts w:ascii="仿宋" w:hAnsi="仿宋" w:eastAsia="仿宋" w:cs="仿宋_GB2312"/>
          <w:b/>
          <w:bCs/>
          <w:color w:val="auto"/>
          <w:sz w:val="30"/>
          <w:szCs w:val="30"/>
          <w:lang w:val="zh-CN" w:bidi="zh-CN"/>
        </w:rPr>
      </w:pPr>
      <w:bookmarkStart w:id="51" w:name="_GoBack"/>
      <w:bookmarkEnd w:id="51"/>
      <w:r>
        <w:rPr>
          <w:rStyle w:val="63"/>
          <w:rFonts w:hint="eastAsia"/>
          <w:lang w:val="zh-CN"/>
        </w:rPr>
        <w:t>附表：</w:t>
      </w:r>
      <w:r>
        <w:rPr>
          <w:rFonts w:hint="eastAsia" w:ascii="仿宋" w:hAnsi="仿宋" w:eastAsia="仿宋" w:cs="仿宋_GB2312"/>
          <w:b/>
          <w:bCs/>
          <w:color w:val="auto"/>
          <w:sz w:val="30"/>
          <w:szCs w:val="30"/>
          <w:lang w:val="zh-CN" w:bidi="zh-CN"/>
        </w:rPr>
        <w:t xml:space="preserve"> </w:t>
      </w:r>
    </w:p>
    <w:p>
      <w:pPr>
        <w:pStyle w:val="41"/>
        <w:bidi w:val="0"/>
        <w:rPr>
          <w:rFonts w:hint="eastAsia"/>
          <w:lang w:val="zh-CN"/>
        </w:rPr>
      </w:pPr>
      <w:r>
        <w:rPr>
          <w:rFonts w:hint="eastAsia"/>
          <w:lang w:val="zh-CN"/>
        </w:rPr>
        <w:t>1</w:t>
      </w:r>
      <w:r>
        <w:rPr>
          <w:rFonts w:hint="eastAsia"/>
          <w:lang w:val="en-US"/>
        </w:rPr>
        <w:t>.遵化市环境卫生管理中心2022年公厕清掏等费用及车辆保险项目</w:t>
      </w:r>
      <w:r>
        <w:rPr>
          <w:rFonts w:hint="eastAsia"/>
          <w:lang w:val="zh-CN"/>
        </w:rPr>
        <w:t>绩效评价得分情况表</w:t>
      </w:r>
    </w:p>
    <w:p>
      <w:pPr>
        <w:pStyle w:val="41"/>
        <w:bidi w:val="0"/>
        <w:rPr>
          <w:rFonts w:hint="eastAsia"/>
          <w:lang w:val="zh-CN"/>
        </w:rPr>
      </w:pPr>
      <w:r>
        <w:rPr>
          <w:rFonts w:hint="eastAsia"/>
          <w:lang w:val="zh-CN"/>
        </w:rPr>
        <w:t>2</w:t>
      </w:r>
      <w:r>
        <w:rPr>
          <w:rFonts w:hint="eastAsia"/>
          <w:lang w:val="en-US"/>
        </w:rPr>
        <w:t>.遵化市环境卫生管理中心2022年公厕清掏等费用及车辆保险项目</w:t>
      </w:r>
      <w:r>
        <w:rPr>
          <w:rFonts w:hint="eastAsia"/>
          <w:lang w:val="zh-CN"/>
        </w:rPr>
        <w:t>绩效评价指标表</w:t>
      </w:r>
    </w:p>
    <w:p>
      <w:pPr>
        <w:pStyle w:val="41"/>
        <w:bidi w:val="0"/>
        <w:rPr>
          <w:rFonts w:hint="eastAsia"/>
          <w:lang w:val="zh-CN"/>
        </w:rPr>
      </w:pPr>
      <w:r>
        <w:rPr>
          <w:rFonts w:hint="eastAsia"/>
          <w:lang w:val="en-US"/>
        </w:rPr>
        <w:t>3.</w:t>
      </w:r>
      <w:r>
        <w:rPr>
          <w:rFonts w:hint="eastAsia"/>
          <w:lang w:val="zh-CN"/>
        </w:rPr>
        <w:t>遵化市</w:t>
      </w:r>
      <w:r>
        <w:rPr>
          <w:rFonts w:hint="eastAsia"/>
          <w:lang w:val="en-US"/>
        </w:rPr>
        <w:t>环境卫生管理中心</w:t>
      </w:r>
      <w:r>
        <w:rPr>
          <w:rFonts w:hint="eastAsia"/>
          <w:lang w:val="zh-CN"/>
        </w:rPr>
        <w:t>2022年公厕清掏等费用及车辆保险项目社会调查问卷汇总表</w:t>
      </w:r>
    </w:p>
    <w:p>
      <w:pPr>
        <w:pStyle w:val="41"/>
        <w:bidi w:val="0"/>
        <w:rPr>
          <w:rFonts w:hint="eastAsia"/>
          <w:lang w:val="zh-CN"/>
        </w:rPr>
      </w:pPr>
      <w:r>
        <w:rPr>
          <w:rFonts w:hint="eastAsia"/>
          <w:lang w:val="en-US"/>
        </w:rPr>
        <w:t>4.</w:t>
      </w:r>
      <w:r>
        <w:rPr>
          <w:rFonts w:hint="eastAsia"/>
          <w:lang w:val="zh-CN"/>
        </w:rPr>
        <w:t>遵化市</w:t>
      </w:r>
      <w:r>
        <w:rPr>
          <w:rFonts w:hint="eastAsia"/>
          <w:lang w:val="en-US"/>
        </w:rPr>
        <w:t>环境卫生管理中心</w:t>
      </w:r>
      <w:r>
        <w:rPr>
          <w:rFonts w:hint="eastAsia"/>
          <w:lang w:val="zh-CN"/>
        </w:rPr>
        <w:t>2022年公厕清掏等费用及车辆保险项目社会调查问卷统计表</w:t>
      </w:r>
    </w:p>
    <w:sectPr>
      <w:headerReference r:id="rId5" w:type="default"/>
      <w:footerReference r:id="rId6" w:type="default"/>
      <w:pgSz w:w="11906" w:h="16838"/>
      <w:pgMar w:top="1440" w:right="1797" w:bottom="1440" w:left="1797" w:header="680" w:footer="454" w:gutter="0"/>
      <w:pgNumType w:fmt="decimal"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B3724BF-6A94-4DE0-96CB-38882D178C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3529E7A-7A4C-4E32-B9C0-CEEDDEF12368}"/>
  </w:font>
  <w:font w:name="仿宋">
    <w:panose1 w:val="02010609060101010101"/>
    <w:charset w:val="86"/>
    <w:family w:val="modern"/>
    <w:pitch w:val="default"/>
    <w:sig w:usb0="800002BF" w:usb1="38CF7CFA" w:usb2="00000016" w:usb3="00000000" w:csb0="00040001" w:csb1="00000000"/>
    <w:embedRegular r:id="rId3" w:fontKey="{A2DE49EA-D5D4-42D5-9162-115771810CC4}"/>
  </w:font>
  <w:font w:name="方正小标宋简体">
    <w:panose1 w:val="02000000000000000000"/>
    <w:charset w:val="86"/>
    <w:family w:val="auto"/>
    <w:pitch w:val="default"/>
    <w:sig w:usb0="00000001" w:usb1="08000000" w:usb2="00000000" w:usb3="00000000" w:csb0="00040000" w:csb1="00000000"/>
    <w:embedRegular r:id="rId4" w:fontKey="{E69DBDF9-612D-455B-B0F8-17CEEFF42CFF}"/>
  </w:font>
  <w:font w:name="方正楷体_GB231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5" w:fontKey="{6478D7F1-7A06-44E5-B8A5-0AA65CF7FED2}"/>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仿宋_GB2312">
    <w:altName w:val="仿宋"/>
    <w:panose1 w:val="02010609030101010101"/>
    <w:charset w:val="86"/>
    <w:family w:val="auto"/>
    <w:pitch w:val="default"/>
    <w:sig w:usb0="00000000" w:usb1="00000000" w:usb2="00000000" w:usb3="00000000" w:csb0="00040000" w:csb1="00000000"/>
    <w:embedRegular r:id="rId6" w:fontKey="{F9A3D637-ED7B-45D2-B794-6FB5DC5C82D7}"/>
  </w:font>
  <w:font w:name="新宋体">
    <w:panose1 w:val="02010609030101010101"/>
    <w:charset w:val="86"/>
    <w:family w:val="modern"/>
    <w:pitch w:val="default"/>
    <w:sig w:usb0="00000283" w:usb1="288F0000" w:usb2="00000006" w:usb3="00000000" w:csb0="00040001" w:csb1="00000000"/>
    <w:embedRegular r:id="rId7" w:fontKey="{282B96C6-5985-4141-BB48-5B37393A5781}"/>
  </w:font>
  <w:font w:name="华文楷体">
    <w:panose1 w:val="02010600040101010101"/>
    <w:charset w:val="86"/>
    <w:family w:val="auto"/>
    <w:pitch w:val="default"/>
    <w:sig w:usb0="00000287" w:usb1="080F0000" w:usb2="00000000" w:usb3="00000000" w:csb0="0004009F" w:csb1="DFD70000"/>
    <w:embedRegular r:id="rId8" w:fontKey="{1B11CCB2-B48C-4CF8-B66B-AFA178589DEB}"/>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left w:val="none" w:color="auto" w:sz="0" w:space="4"/>
        <w:bottom w:val="none" w:color="auto" w:sz="0" w:space="1"/>
        <w:right w:val="none" w:color="auto" w:sz="0" w:space="4"/>
      </w:pBdr>
      <w:jc w:val="both"/>
    </w:pPr>
    <w:r>
      <w:rPr>
        <w:sz w:val="18"/>
      </w:rPr>
      <mc:AlternateContent>
        <mc:Choice Requires="wps">
          <w:drawing>
            <wp:anchor distT="0" distB="0" distL="114300" distR="114300" simplePos="0" relativeHeight="251661312" behindDoc="0" locked="0" layoutInCell="1" allowOverlap="1">
              <wp:simplePos x="0" y="0"/>
              <wp:positionH relativeFrom="margin">
                <wp:posOffset>2178685</wp:posOffset>
              </wp:positionH>
              <wp:positionV relativeFrom="paragraph">
                <wp:posOffset>203200</wp:posOffset>
              </wp:positionV>
              <wp:extent cx="1828800" cy="2730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27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71.55pt;margin-top:16pt;height:21.5pt;width:144pt;mso-position-horizontal-relative:margin;mso-wrap-style:none;z-index:251661312;mso-width-relative:page;mso-height-relative:page;" filled="f" stroked="f" coordsize="21600,21600" o:gfxdata="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WDBGtkAAAAJAQAADwAAAAAAAAABACAAAAAiAAAAZHJzL2Rvd25yZXYu&#10;eG1sUEsBAhQAFAAAAAgAh07iQNUo8S0zAgAAYAQAAA4AAAAAAAAAAQAgAAAAKAEAAGRycy9lMm9E&#10;b2MueG1sUEsFBgAAAAAGAAYAWQEAAM0FAAAAAA==&#10;">
              <v:fill on="f" focussize="0,0"/>
              <v:stroke on="f" weight="0.5pt"/>
              <v:imagedata o:title=""/>
              <o:lock v:ext="edit" aspectratio="f"/>
              <v:textbox inset="0mm,0mm,0mm,0mm">
                <w:txbxContent>
                  <w:p>
                    <w:pPr>
                      <w:pStyle w:val="13"/>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hAnsi="宋体" w:cs="宋体"/>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3"/>
                    </w:pPr>
                  </w:p>
                </w:txbxContent>
              </v:textbox>
            </v:shape>
          </w:pict>
        </mc:Fallback>
      </mc:AlternateContent>
    </w:r>
    <w:r>
      <w:rPr>
        <w:rFonts w:hint="eastAsia" w:hAnsi="宋体" w:cs="宋体"/>
        <w:kern w:val="2"/>
        <w:sz w:val="18"/>
        <w:szCs w:val="18"/>
        <w:lang w:bidi="ar"/>
      </w:rPr>
      <w:t xml:space="preserve">地址：河北省唐山市路北区光明路48-3              </w:t>
    </w:r>
    <w:r>
      <w:rPr>
        <w:rFonts w:hint="eastAsia" w:ascii="Calibri" w:hAnsi="Calibri"/>
        <w:kern w:val="2"/>
        <w:sz w:val="21"/>
        <w:szCs w:val="22"/>
        <w:lang w:bidi="ar"/>
      </w:rPr>
      <w:t xml:space="preserve">                    </w:t>
    </w:r>
    <w:r>
      <w:rPr>
        <w:rFonts w:hint="eastAsia" w:hAnsi="宋体" w:cs="宋体"/>
        <w:kern w:val="2"/>
        <w:sz w:val="18"/>
        <w:szCs w:val="18"/>
        <w:lang w:bidi="ar"/>
      </w:rPr>
      <w:t>电话：0315-5757564</w:t>
    </w:r>
    <w:r>
      <w:rPr>
        <w:rFonts w:ascii="Calibri" w:hAnsi="Calibri"/>
        <w:kern w:val="2"/>
        <w:sz w:val="21"/>
        <w:szCs w:val="22"/>
        <w:lang w:bidi="ar"/>
      </w:rPr>
      <w:tab/>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4" w:space="1"/>
      </w:pBdr>
      <w:jc w:val="right"/>
    </w:pPr>
    <w:r>
      <w:rPr>
        <w:rFonts w:hint="eastAsia"/>
      </w:rPr>
      <w:t xml:space="preserve">                               </w:t>
    </w:r>
    <w:r>
      <w:rPr>
        <w:rFonts w:hint="eastAsia"/>
        <w:lang w:eastAsia="zh-CN"/>
      </w:rPr>
      <w:t>遵化市环境卫生管理中心</w:t>
    </w:r>
    <w:r>
      <w:rPr>
        <w:rFonts w:hint="eastAsia"/>
        <w:lang w:val="en-US" w:eastAsia="zh-CN"/>
      </w:rPr>
      <w:t>2022年</w:t>
    </w:r>
    <w:r>
      <w:rPr>
        <w:rFonts w:hint="eastAsia"/>
        <w:lang w:eastAsia="zh-CN"/>
      </w:rPr>
      <w:t>公厕清掏等费用及车辆保险项目</w:t>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wMTVlNDZlNWZkMTJmOGMxYjMyNjNiMTI5YWU3ZjQifQ=="/>
  </w:docVars>
  <w:rsids>
    <w:rsidRoot w:val="000B4CF0"/>
    <w:rsid w:val="00001BF6"/>
    <w:rsid w:val="00001D22"/>
    <w:rsid w:val="00003FFA"/>
    <w:rsid w:val="00004389"/>
    <w:rsid w:val="00010943"/>
    <w:rsid w:val="00013322"/>
    <w:rsid w:val="00015B3C"/>
    <w:rsid w:val="00016B1C"/>
    <w:rsid w:val="00017377"/>
    <w:rsid w:val="0002149B"/>
    <w:rsid w:val="000228FC"/>
    <w:rsid w:val="0002362C"/>
    <w:rsid w:val="00023AB7"/>
    <w:rsid w:val="00034A68"/>
    <w:rsid w:val="00035F1B"/>
    <w:rsid w:val="0003733D"/>
    <w:rsid w:val="00037CF3"/>
    <w:rsid w:val="00040260"/>
    <w:rsid w:val="00043A78"/>
    <w:rsid w:val="000447DD"/>
    <w:rsid w:val="0004583D"/>
    <w:rsid w:val="0004778B"/>
    <w:rsid w:val="00055A45"/>
    <w:rsid w:val="00055F85"/>
    <w:rsid w:val="00064AF1"/>
    <w:rsid w:val="00065B68"/>
    <w:rsid w:val="00066911"/>
    <w:rsid w:val="0007312A"/>
    <w:rsid w:val="00075105"/>
    <w:rsid w:val="0008205D"/>
    <w:rsid w:val="000824DE"/>
    <w:rsid w:val="00085814"/>
    <w:rsid w:val="000872F1"/>
    <w:rsid w:val="00087FE2"/>
    <w:rsid w:val="0009422B"/>
    <w:rsid w:val="00094FD3"/>
    <w:rsid w:val="000A63E0"/>
    <w:rsid w:val="000A6C79"/>
    <w:rsid w:val="000A6DD7"/>
    <w:rsid w:val="000A79FA"/>
    <w:rsid w:val="000B4CF0"/>
    <w:rsid w:val="000B7CCD"/>
    <w:rsid w:val="000C2F55"/>
    <w:rsid w:val="000D3304"/>
    <w:rsid w:val="000E0A6C"/>
    <w:rsid w:val="000E2D79"/>
    <w:rsid w:val="000E513C"/>
    <w:rsid w:val="000E6235"/>
    <w:rsid w:val="000F30E3"/>
    <w:rsid w:val="000F3F9F"/>
    <w:rsid w:val="000F639C"/>
    <w:rsid w:val="001023E1"/>
    <w:rsid w:val="00104E53"/>
    <w:rsid w:val="00105A10"/>
    <w:rsid w:val="0010631D"/>
    <w:rsid w:val="00110E50"/>
    <w:rsid w:val="00112713"/>
    <w:rsid w:val="00123BC4"/>
    <w:rsid w:val="00125287"/>
    <w:rsid w:val="001351FA"/>
    <w:rsid w:val="00136FAC"/>
    <w:rsid w:val="00137450"/>
    <w:rsid w:val="00141B24"/>
    <w:rsid w:val="001479B1"/>
    <w:rsid w:val="00152777"/>
    <w:rsid w:val="0015446D"/>
    <w:rsid w:val="001548EF"/>
    <w:rsid w:val="0015534A"/>
    <w:rsid w:val="001555B8"/>
    <w:rsid w:val="00157595"/>
    <w:rsid w:val="001609FA"/>
    <w:rsid w:val="0016234E"/>
    <w:rsid w:val="00163AE2"/>
    <w:rsid w:val="001652BF"/>
    <w:rsid w:val="00166280"/>
    <w:rsid w:val="0017338F"/>
    <w:rsid w:val="00184088"/>
    <w:rsid w:val="001916CC"/>
    <w:rsid w:val="001979A4"/>
    <w:rsid w:val="001A6D4F"/>
    <w:rsid w:val="001A7396"/>
    <w:rsid w:val="001B1F2A"/>
    <w:rsid w:val="001B212E"/>
    <w:rsid w:val="001B30A4"/>
    <w:rsid w:val="001B72A7"/>
    <w:rsid w:val="001C4027"/>
    <w:rsid w:val="001C4428"/>
    <w:rsid w:val="001C5871"/>
    <w:rsid w:val="001D4C35"/>
    <w:rsid w:val="001D4D88"/>
    <w:rsid w:val="001E0290"/>
    <w:rsid w:val="001E0DF2"/>
    <w:rsid w:val="001E5102"/>
    <w:rsid w:val="001E7297"/>
    <w:rsid w:val="001F499D"/>
    <w:rsid w:val="001F4CD0"/>
    <w:rsid w:val="00200224"/>
    <w:rsid w:val="00201447"/>
    <w:rsid w:val="00201AAA"/>
    <w:rsid w:val="00201C49"/>
    <w:rsid w:val="00201E98"/>
    <w:rsid w:val="00203925"/>
    <w:rsid w:val="00206534"/>
    <w:rsid w:val="00207C07"/>
    <w:rsid w:val="00210495"/>
    <w:rsid w:val="00211CC1"/>
    <w:rsid w:val="002151E0"/>
    <w:rsid w:val="00221743"/>
    <w:rsid w:val="00222415"/>
    <w:rsid w:val="00224910"/>
    <w:rsid w:val="00225399"/>
    <w:rsid w:val="00226039"/>
    <w:rsid w:val="00226F86"/>
    <w:rsid w:val="00230F12"/>
    <w:rsid w:val="002332DB"/>
    <w:rsid w:val="00233421"/>
    <w:rsid w:val="0023355A"/>
    <w:rsid w:val="0023516A"/>
    <w:rsid w:val="00235B47"/>
    <w:rsid w:val="002369C0"/>
    <w:rsid w:val="00240AFE"/>
    <w:rsid w:val="00241A08"/>
    <w:rsid w:val="00242FED"/>
    <w:rsid w:val="00247FFA"/>
    <w:rsid w:val="00250B61"/>
    <w:rsid w:val="00252077"/>
    <w:rsid w:val="002544F9"/>
    <w:rsid w:val="00262393"/>
    <w:rsid w:val="00263C6B"/>
    <w:rsid w:val="00275213"/>
    <w:rsid w:val="00276A1D"/>
    <w:rsid w:val="002803B6"/>
    <w:rsid w:val="0028325E"/>
    <w:rsid w:val="00285F24"/>
    <w:rsid w:val="00287736"/>
    <w:rsid w:val="00291EA0"/>
    <w:rsid w:val="002929BE"/>
    <w:rsid w:val="00292EBF"/>
    <w:rsid w:val="00295A59"/>
    <w:rsid w:val="00297375"/>
    <w:rsid w:val="00297730"/>
    <w:rsid w:val="002A0ADF"/>
    <w:rsid w:val="002A189B"/>
    <w:rsid w:val="002A4741"/>
    <w:rsid w:val="002B2773"/>
    <w:rsid w:val="002B49C0"/>
    <w:rsid w:val="002B75C5"/>
    <w:rsid w:val="002C0877"/>
    <w:rsid w:val="002C5C47"/>
    <w:rsid w:val="002C60CB"/>
    <w:rsid w:val="002D2059"/>
    <w:rsid w:val="002D3766"/>
    <w:rsid w:val="002E21D3"/>
    <w:rsid w:val="002F4135"/>
    <w:rsid w:val="002F4186"/>
    <w:rsid w:val="002F5A7E"/>
    <w:rsid w:val="0030012D"/>
    <w:rsid w:val="003006D7"/>
    <w:rsid w:val="00302B4E"/>
    <w:rsid w:val="00303388"/>
    <w:rsid w:val="00303CE0"/>
    <w:rsid w:val="00320F07"/>
    <w:rsid w:val="003240AC"/>
    <w:rsid w:val="00327DCB"/>
    <w:rsid w:val="0033050F"/>
    <w:rsid w:val="00331262"/>
    <w:rsid w:val="00331760"/>
    <w:rsid w:val="00334157"/>
    <w:rsid w:val="00334A93"/>
    <w:rsid w:val="00336E3C"/>
    <w:rsid w:val="00341433"/>
    <w:rsid w:val="003435FA"/>
    <w:rsid w:val="00343A17"/>
    <w:rsid w:val="00345677"/>
    <w:rsid w:val="00350A2E"/>
    <w:rsid w:val="003528AC"/>
    <w:rsid w:val="003579F7"/>
    <w:rsid w:val="0036155E"/>
    <w:rsid w:val="003616C5"/>
    <w:rsid w:val="00361956"/>
    <w:rsid w:val="00370016"/>
    <w:rsid w:val="003708D7"/>
    <w:rsid w:val="00370AF7"/>
    <w:rsid w:val="0037263E"/>
    <w:rsid w:val="00376087"/>
    <w:rsid w:val="00376A4A"/>
    <w:rsid w:val="003825C1"/>
    <w:rsid w:val="0038778D"/>
    <w:rsid w:val="0039117B"/>
    <w:rsid w:val="00391729"/>
    <w:rsid w:val="0039233B"/>
    <w:rsid w:val="00395306"/>
    <w:rsid w:val="003A03D7"/>
    <w:rsid w:val="003A0DCD"/>
    <w:rsid w:val="003A54AA"/>
    <w:rsid w:val="003A76DE"/>
    <w:rsid w:val="003B23E2"/>
    <w:rsid w:val="003B6EF7"/>
    <w:rsid w:val="003B71B4"/>
    <w:rsid w:val="003C204E"/>
    <w:rsid w:val="003C54DB"/>
    <w:rsid w:val="003E0182"/>
    <w:rsid w:val="003F0B86"/>
    <w:rsid w:val="003F77B5"/>
    <w:rsid w:val="00403071"/>
    <w:rsid w:val="00404681"/>
    <w:rsid w:val="00404BEC"/>
    <w:rsid w:val="004128E6"/>
    <w:rsid w:val="00412AA3"/>
    <w:rsid w:val="004135F0"/>
    <w:rsid w:val="004178C3"/>
    <w:rsid w:val="00422E47"/>
    <w:rsid w:val="00424006"/>
    <w:rsid w:val="00433F90"/>
    <w:rsid w:val="00434179"/>
    <w:rsid w:val="00436E55"/>
    <w:rsid w:val="004374E7"/>
    <w:rsid w:val="0044267F"/>
    <w:rsid w:val="00443B5B"/>
    <w:rsid w:val="00443C4B"/>
    <w:rsid w:val="00445A83"/>
    <w:rsid w:val="0044664F"/>
    <w:rsid w:val="004555A8"/>
    <w:rsid w:val="00462191"/>
    <w:rsid w:val="00462F11"/>
    <w:rsid w:val="00465691"/>
    <w:rsid w:val="004719A0"/>
    <w:rsid w:val="004758AB"/>
    <w:rsid w:val="00480422"/>
    <w:rsid w:val="00480B32"/>
    <w:rsid w:val="00483B80"/>
    <w:rsid w:val="0048556C"/>
    <w:rsid w:val="0048645B"/>
    <w:rsid w:val="00486837"/>
    <w:rsid w:val="004903C7"/>
    <w:rsid w:val="00493F26"/>
    <w:rsid w:val="00497344"/>
    <w:rsid w:val="004A0B55"/>
    <w:rsid w:val="004A6CAC"/>
    <w:rsid w:val="004B2649"/>
    <w:rsid w:val="004C2902"/>
    <w:rsid w:val="004C3A16"/>
    <w:rsid w:val="004C4D51"/>
    <w:rsid w:val="004C5196"/>
    <w:rsid w:val="004C56DB"/>
    <w:rsid w:val="004D0C41"/>
    <w:rsid w:val="004D3FEA"/>
    <w:rsid w:val="004D5AE7"/>
    <w:rsid w:val="004E0787"/>
    <w:rsid w:val="004E0BD7"/>
    <w:rsid w:val="004E458F"/>
    <w:rsid w:val="004F109C"/>
    <w:rsid w:val="004F246A"/>
    <w:rsid w:val="004F59DA"/>
    <w:rsid w:val="004F5E2A"/>
    <w:rsid w:val="004F737D"/>
    <w:rsid w:val="004F7D06"/>
    <w:rsid w:val="00503CE2"/>
    <w:rsid w:val="00505635"/>
    <w:rsid w:val="0050656F"/>
    <w:rsid w:val="00514A07"/>
    <w:rsid w:val="00516847"/>
    <w:rsid w:val="0052564C"/>
    <w:rsid w:val="00525A51"/>
    <w:rsid w:val="00525CFC"/>
    <w:rsid w:val="0053078E"/>
    <w:rsid w:val="0053144F"/>
    <w:rsid w:val="005324CC"/>
    <w:rsid w:val="00532DDE"/>
    <w:rsid w:val="0053318C"/>
    <w:rsid w:val="0053515E"/>
    <w:rsid w:val="0055342A"/>
    <w:rsid w:val="00553B22"/>
    <w:rsid w:val="00555B1D"/>
    <w:rsid w:val="0056384A"/>
    <w:rsid w:val="0056438A"/>
    <w:rsid w:val="00564ABE"/>
    <w:rsid w:val="00567424"/>
    <w:rsid w:val="005849D0"/>
    <w:rsid w:val="005870F0"/>
    <w:rsid w:val="005908BC"/>
    <w:rsid w:val="0059538C"/>
    <w:rsid w:val="005A35EA"/>
    <w:rsid w:val="005A7F03"/>
    <w:rsid w:val="005B2C40"/>
    <w:rsid w:val="005B54B6"/>
    <w:rsid w:val="005C1755"/>
    <w:rsid w:val="005C40BD"/>
    <w:rsid w:val="005C5DAF"/>
    <w:rsid w:val="005C7602"/>
    <w:rsid w:val="005D06DE"/>
    <w:rsid w:val="005D109B"/>
    <w:rsid w:val="005D1CE0"/>
    <w:rsid w:val="005D60FA"/>
    <w:rsid w:val="005D6435"/>
    <w:rsid w:val="005E014F"/>
    <w:rsid w:val="005E10E6"/>
    <w:rsid w:val="005E2C5E"/>
    <w:rsid w:val="005E4766"/>
    <w:rsid w:val="005E4C30"/>
    <w:rsid w:val="005F0B9C"/>
    <w:rsid w:val="005F310E"/>
    <w:rsid w:val="005F4122"/>
    <w:rsid w:val="005F4A98"/>
    <w:rsid w:val="005F612C"/>
    <w:rsid w:val="005F78F3"/>
    <w:rsid w:val="005F7F5B"/>
    <w:rsid w:val="005F7F90"/>
    <w:rsid w:val="0060414C"/>
    <w:rsid w:val="00604A43"/>
    <w:rsid w:val="006058EF"/>
    <w:rsid w:val="00605990"/>
    <w:rsid w:val="006076EF"/>
    <w:rsid w:val="0060781C"/>
    <w:rsid w:val="006132E4"/>
    <w:rsid w:val="00622BA6"/>
    <w:rsid w:val="00631B9F"/>
    <w:rsid w:val="006330C2"/>
    <w:rsid w:val="00634DF7"/>
    <w:rsid w:val="006362D8"/>
    <w:rsid w:val="00636E33"/>
    <w:rsid w:val="006417A1"/>
    <w:rsid w:val="006431CC"/>
    <w:rsid w:val="006475DB"/>
    <w:rsid w:val="006514C7"/>
    <w:rsid w:val="00653B75"/>
    <w:rsid w:val="006570E5"/>
    <w:rsid w:val="006574EF"/>
    <w:rsid w:val="006611CF"/>
    <w:rsid w:val="00663AAA"/>
    <w:rsid w:val="00664A21"/>
    <w:rsid w:val="00666DFD"/>
    <w:rsid w:val="00675233"/>
    <w:rsid w:val="0067527C"/>
    <w:rsid w:val="00676A56"/>
    <w:rsid w:val="00682355"/>
    <w:rsid w:val="006916C5"/>
    <w:rsid w:val="00691FD7"/>
    <w:rsid w:val="006940B1"/>
    <w:rsid w:val="00694C61"/>
    <w:rsid w:val="00697E9B"/>
    <w:rsid w:val="006A2BE0"/>
    <w:rsid w:val="006A2E64"/>
    <w:rsid w:val="006B0626"/>
    <w:rsid w:val="006B095E"/>
    <w:rsid w:val="006B1697"/>
    <w:rsid w:val="006B379C"/>
    <w:rsid w:val="006B484F"/>
    <w:rsid w:val="006B7067"/>
    <w:rsid w:val="006C305D"/>
    <w:rsid w:val="006C494F"/>
    <w:rsid w:val="006C4B7B"/>
    <w:rsid w:val="006D20DA"/>
    <w:rsid w:val="006D2520"/>
    <w:rsid w:val="006E0A03"/>
    <w:rsid w:val="006E3898"/>
    <w:rsid w:val="006F15F8"/>
    <w:rsid w:val="006F2C84"/>
    <w:rsid w:val="006F401C"/>
    <w:rsid w:val="006F60B2"/>
    <w:rsid w:val="006F710A"/>
    <w:rsid w:val="0070022C"/>
    <w:rsid w:val="007028A7"/>
    <w:rsid w:val="0070353B"/>
    <w:rsid w:val="0070573B"/>
    <w:rsid w:val="0071045F"/>
    <w:rsid w:val="00710DC1"/>
    <w:rsid w:val="007136A6"/>
    <w:rsid w:val="00720842"/>
    <w:rsid w:val="0072265D"/>
    <w:rsid w:val="0072319B"/>
    <w:rsid w:val="007248C9"/>
    <w:rsid w:val="00724F2A"/>
    <w:rsid w:val="00726F60"/>
    <w:rsid w:val="00730278"/>
    <w:rsid w:val="00731FAD"/>
    <w:rsid w:val="00732D1E"/>
    <w:rsid w:val="00733B3F"/>
    <w:rsid w:val="0073464B"/>
    <w:rsid w:val="00736928"/>
    <w:rsid w:val="00737C9D"/>
    <w:rsid w:val="007400A0"/>
    <w:rsid w:val="00741BDB"/>
    <w:rsid w:val="00743516"/>
    <w:rsid w:val="0074626C"/>
    <w:rsid w:val="0075112A"/>
    <w:rsid w:val="0075190A"/>
    <w:rsid w:val="00752027"/>
    <w:rsid w:val="00756AD9"/>
    <w:rsid w:val="00762E01"/>
    <w:rsid w:val="00765534"/>
    <w:rsid w:val="007707A9"/>
    <w:rsid w:val="00771EFB"/>
    <w:rsid w:val="0077242F"/>
    <w:rsid w:val="00774F99"/>
    <w:rsid w:val="0077664A"/>
    <w:rsid w:val="00776C80"/>
    <w:rsid w:val="00782B8A"/>
    <w:rsid w:val="00782EA4"/>
    <w:rsid w:val="007931D2"/>
    <w:rsid w:val="00795003"/>
    <w:rsid w:val="007A3866"/>
    <w:rsid w:val="007A52B4"/>
    <w:rsid w:val="007C307C"/>
    <w:rsid w:val="007C5237"/>
    <w:rsid w:val="007C6C11"/>
    <w:rsid w:val="007C7226"/>
    <w:rsid w:val="007D170F"/>
    <w:rsid w:val="007D77B5"/>
    <w:rsid w:val="007D7F4B"/>
    <w:rsid w:val="007E6243"/>
    <w:rsid w:val="007E797E"/>
    <w:rsid w:val="007F1356"/>
    <w:rsid w:val="007F21A1"/>
    <w:rsid w:val="008016C6"/>
    <w:rsid w:val="0080206C"/>
    <w:rsid w:val="008068EA"/>
    <w:rsid w:val="00806FC6"/>
    <w:rsid w:val="008074C8"/>
    <w:rsid w:val="00811A2D"/>
    <w:rsid w:val="00811F87"/>
    <w:rsid w:val="008148D7"/>
    <w:rsid w:val="00814C22"/>
    <w:rsid w:val="00817439"/>
    <w:rsid w:val="008255A4"/>
    <w:rsid w:val="008263E5"/>
    <w:rsid w:val="00826857"/>
    <w:rsid w:val="00830AB7"/>
    <w:rsid w:val="008323A1"/>
    <w:rsid w:val="00832980"/>
    <w:rsid w:val="00834448"/>
    <w:rsid w:val="008377BC"/>
    <w:rsid w:val="008441B5"/>
    <w:rsid w:val="0085380F"/>
    <w:rsid w:val="00855B31"/>
    <w:rsid w:val="00857C1C"/>
    <w:rsid w:val="00861886"/>
    <w:rsid w:val="0086198D"/>
    <w:rsid w:val="00873805"/>
    <w:rsid w:val="0087724C"/>
    <w:rsid w:val="00881C03"/>
    <w:rsid w:val="00881E3D"/>
    <w:rsid w:val="00882ED0"/>
    <w:rsid w:val="00886655"/>
    <w:rsid w:val="00887314"/>
    <w:rsid w:val="0089047E"/>
    <w:rsid w:val="0089237A"/>
    <w:rsid w:val="00894395"/>
    <w:rsid w:val="0089720D"/>
    <w:rsid w:val="0089723E"/>
    <w:rsid w:val="008A27F2"/>
    <w:rsid w:val="008A4830"/>
    <w:rsid w:val="008A6E45"/>
    <w:rsid w:val="008B113D"/>
    <w:rsid w:val="008B1170"/>
    <w:rsid w:val="008B58CB"/>
    <w:rsid w:val="008C0349"/>
    <w:rsid w:val="008C15D0"/>
    <w:rsid w:val="008C40EA"/>
    <w:rsid w:val="008C55F8"/>
    <w:rsid w:val="008C6A19"/>
    <w:rsid w:val="008C7061"/>
    <w:rsid w:val="008C7B69"/>
    <w:rsid w:val="008D3ACA"/>
    <w:rsid w:val="008D67E0"/>
    <w:rsid w:val="008D7B58"/>
    <w:rsid w:val="008F42FA"/>
    <w:rsid w:val="008F67CF"/>
    <w:rsid w:val="00901D77"/>
    <w:rsid w:val="009049ED"/>
    <w:rsid w:val="00916407"/>
    <w:rsid w:val="00916DA7"/>
    <w:rsid w:val="009217BC"/>
    <w:rsid w:val="00922288"/>
    <w:rsid w:val="009266A0"/>
    <w:rsid w:val="00926898"/>
    <w:rsid w:val="00926D2E"/>
    <w:rsid w:val="0093091B"/>
    <w:rsid w:val="009314CB"/>
    <w:rsid w:val="00933318"/>
    <w:rsid w:val="00936B39"/>
    <w:rsid w:val="009405FF"/>
    <w:rsid w:val="009416FF"/>
    <w:rsid w:val="00941E22"/>
    <w:rsid w:val="00942458"/>
    <w:rsid w:val="00942631"/>
    <w:rsid w:val="00947858"/>
    <w:rsid w:val="0095046B"/>
    <w:rsid w:val="009512AD"/>
    <w:rsid w:val="00951D17"/>
    <w:rsid w:val="00954066"/>
    <w:rsid w:val="00957716"/>
    <w:rsid w:val="00961C45"/>
    <w:rsid w:val="00961E09"/>
    <w:rsid w:val="009701B1"/>
    <w:rsid w:val="00971B7B"/>
    <w:rsid w:val="00977AFD"/>
    <w:rsid w:val="00982DB7"/>
    <w:rsid w:val="009863DF"/>
    <w:rsid w:val="00986ADC"/>
    <w:rsid w:val="00991228"/>
    <w:rsid w:val="00997F44"/>
    <w:rsid w:val="009A2009"/>
    <w:rsid w:val="009A41D5"/>
    <w:rsid w:val="009A5158"/>
    <w:rsid w:val="009A59CA"/>
    <w:rsid w:val="009B237C"/>
    <w:rsid w:val="009B27A2"/>
    <w:rsid w:val="009C257C"/>
    <w:rsid w:val="009C281B"/>
    <w:rsid w:val="009C4892"/>
    <w:rsid w:val="009C62AC"/>
    <w:rsid w:val="009D1172"/>
    <w:rsid w:val="009D1202"/>
    <w:rsid w:val="009D459D"/>
    <w:rsid w:val="009D5BE3"/>
    <w:rsid w:val="009D603C"/>
    <w:rsid w:val="009D619D"/>
    <w:rsid w:val="009D6BF5"/>
    <w:rsid w:val="009E0BA0"/>
    <w:rsid w:val="009E24E2"/>
    <w:rsid w:val="009E6F94"/>
    <w:rsid w:val="009F02E7"/>
    <w:rsid w:val="009F08F6"/>
    <w:rsid w:val="009F0DD9"/>
    <w:rsid w:val="009F4323"/>
    <w:rsid w:val="009F7570"/>
    <w:rsid w:val="00A020AB"/>
    <w:rsid w:val="00A040D7"/>
    <w:rsid w:val="00A050AB"/>
    <w:rsid w:val="00A12086"/>
    <w:rsid w:val="00A12D42"/>
    <w:rsid w:val="00A158ED"/>
    <w:rsid w:val="00A177E5"/>
    <w:rsid w:val="00A218A1"/>
    <w:rsid w:val="00A21F8C"/>
    <w:rsid w:val="00A2492B"/>
    <w:rsid w:val="00A25391"/>
    <w:rsid w:val="00A3182A"/>
    <w:rsid w:val="00A33228"/>
    <w:rsid w:val="00A40FBF"/>
    <w:rsid w:val="00A447CB"/>
    <w:rsid w:val="00A4619C"/>
    <w:rsid w:val="00A51486"/>
    <w:rsid w:val="00A53023"/>
    <w:rsid w:val="00A53C7D"/>
    <w:rsid w:val="00A54165"/>
    <w:rsid w:val="00A5555B"/>
    <w:rsid w:val="00A605C0"/>
    <w:rsid w:val="00A60E7F"/>
    <w:rsid w:val="00A666EF"/>
    <w:rsid w:val="00A71F79"/>
    <w:rsid w:val="00A757A1"/>
    <w:rsid w:val="00A9025E"/>
    <w:rsid w:val="00A926F6"/>
    <w:rsid w:val="00A94C43"/>
    <w:rsid w:val="00A95450"/>
    <w:rsid w:val="00AA5DC3"/>
    <w:rsid w:val="00AA7FF3"/>
    <w:rsid w:val="00AB57A5"/>
    <w:rsid w:val="00AB663E"/>
    <w:rsid w:val="00AC14FC"/>
    <w:rsid w:val="00AC5101"/>
    <w:rsid w:val="00AD1858"/>
    <w:rsid w:val="00AD1E79"/>
    <w:rsid w:val="00AE1DA3"/>
    <w:rsid w:val="00AE2C3B"/>
    <w:rsid w:val="00AE4EDF"/>
    <w:rsid w:val="00AF12A1"/>
    <w:rsid w:val="00AF611F"/>
    <w:rsid w:val="00AF6CA5"/>
    <w:rsid w:val="00B00770"/>
    <w:rsid w:val="00B04059"/>
    <w:rsid w:val="00B046D2"/>
    <w:rsid w:val="00B04930"/>
    <w:rsid w:val="00B075BE"/>
    <w:rsid w:val="00B07B89"/>
    <w:rsid w:val="00B10CD0"/>
    <w:rsid w:val="00B118AA"/>
    <w:rsid w:val="00B1471A"/>
    <w:rsid w:val="00B15205"/>
    <w:rsid w:val="00B165BF"/>
    <w:rsid w:val="00B17A11"/>
    <w:rsid w:val="00B203D1"/>
    <w:rsid w:val="00B20E9F"/>
    <w:rsid w:val="00B24B6E"/>
    <w:rsid w:val="00B33E65"/>
    <w:rsid w:val="00B354E3"/>
    <w:rsid w:val="00B37F68"/>
    <w:rsid w:val="00B416E9"/>
    <w:rsid w:val="00B46F61"/>
    <w:rsid w:val="00B47F06"/>
    <w:rsid w:val="00B50510"/>
    <w:rsid w:val="00B53172"/>
    <w:rsid w:val="00B614E7"/>
    <w:rsid w:val="00B63139"/>
    <w:rsid w:val="00B71486"/>
    <w:rsid w:val="00B820BC"/>
    <w:rsid w:val="00B83242"/>
    <w:rsid w:val="00B8605E"/>
    <w:rsid w:val="00B94517"/>
    <w:rsid w:val="00BA27EB"/>
    <w:rsid w:val="00BA2889"/>
    <w:rsid w:val="00BA2C45"/>
    <w:rsid w:val="00BA3DF2"/>
    <w:rsid w:val="00BA7B0A"/>
    <w:rsid w:val="00BB3FAB"/>
    <w:rsid w:val="00BB6CF9"/>
    <w:rsid w:val="00BB7540"/>
    <w:rsid w:val="00BC2476"/>
    <w:rsid w:val="00BC44D3"/>
    <w:rsid w:val="00BC6074"/>
    <w:rsid w:val="00BC72F9"/>
    <w:rsid w:val="00BD11DB"/>
    <w:rsid w:val="00BD210B"/>
    <w:rsid w:val="00BD39F3"/>
    <w:rsid w:val="00BD5F89"/>
    <w:rsid w:val="00BD78B0"/>
    <w:rsid w:val="00BE457E"/>
    <w:rsid w:val="00BE4ADD"/>
    <w:rsid w:val="00BE562A"/>
    <w:rsid w:val="00BF06A2"/>
    <w:rsid w:val="00BF2F99"/>
    <w:rsid w:val="00BF4646"/>
    <w:rsid w:val="00C01C89"/>
    <w:rsid w:val="00C02E9A"/>
    <w:rsid w:val="00C02F71"/>
    <w:rsid w:val="00C05BCA"/>
    <w:rsid w:val="00C07F60"/>
    <w:rsid w:val="00C126CD"/>
    <w:rsid w:val="00C21696"/>
    <w:rsid w:val="00C2700E"/>
    <w:rsid w:val="00C3011C"/>
    <w:rsid w:val="00C31505"/>
    <w:rsid w:val="00C35111"/>
    <w:rsid w:val="00C3583B"/>
    <w:rsid w:val="00C35A04"/>
    <w:rsid w:val="00C40487"/>
    <w:rsid w:val="00C40969"/>
    <w:rsid w:val="00C4115F"/>
    <w:rsid w:val="00C505AE"/>
    <w:rsid w:val="00C56AA3"/>
    <w:rsid w:val="00C57CF3"/>
    <w:rsid w:val="00C601DC"/>
    <w:rsid w:val="00C70A7F"/>
    <w:rsid w:val="00C730A6"/>
    <w:rsid w:val="00C74B35"/>
    <w:rsid w:val="00C750FB"/>
    <w:rsid w:val="00C837D2"/>
    <w:rsid w:val="00C840A0"/>
    <w:rsid w:val="00C85C83"/>
    <w:rsid w:val="00C87072"/>
    <w:rsid w:val="00C87AE8"/>
    <w:rsid w:val="00C90B00"/>
    <w:rsid w:val="00C90ED3"/>
    <w:rsid w:val="00C91449"/>
    <w:rsid w:val="00C95C0A"/>
    <w:rsid w:val="00CA1398"/>
    <w:rsid w:val="00CA1FCC"/>
    <w:rsid w:val="00CA3BD3"/>
    <w:rsid w:val="00CA51B0"/>
    <w:rsid w:val="00CB04B6"/>
    <w:rsid w:val="00CB1830"/>
    <w:rsid w:val="00CB1941"/>
    <w:rsid w:val="00CB2D68"/>
    <w:rsid w:val="00CB34EA"/>
    <w:rsid w:val="00CC3424"/>
    <w:rsid w:val="00CC373F"/>
    <w:rsid w:val="00CC77A4"/>
    <w:rsid w:val="00CC7FE8"/>
    <w:rsid w:val="00CD0952"/>
    <w:rsid w:val="00CD1F17"/>
    <w:rsid w:val="00CD320C"/>
    <w:rsid w:val="00CD5C13"/>
    <w:rsid w:val="00CD6C23"/>
    <w:rsid w:val="00CE4EE9"/>
    <w:rsid w:val="00CE5460"/>
    <w:rsid w:val="00CE668E"/>
    <w:rsid w:val="00CE67A9"/>
    <w:rsid w:val="00CF053A"/>
    <w:rsid w:val="00CF349D"/>
    <w:rsid w:val="00D0291A"/>
    <w:rsid w:val="00D0394B"/>
    <w:rsid w:val="00D0476A"/>
    <w:rsid w:val="00D15FAB"/>
    <w:rsid w:val="00D20620"/>
    <w:rsid w:val="00D27737"/>
    <w:rsid w:val="00D33FF9"/>
    <w:rsid w:val="00D3596D"/>
    <w:rsid w:val="00D35B2C"/>
    <w:rsid w:val="00D37442"/>
    <w:rsid w:val="00D40777"/>
    <w:rsid w:val="00D40B96"/>
    <w:rsid w:val="00D411C2"/>
    <w:rsid w:val="00D4224F"/>
    <w:rsid w:val="00D46B7E"/>
    <w:rsid w:val="00D51C0D"/>
    <w:rsid w:val="00D52649"/>
    <w:rsid w:val="00D53B7C"/>
    <w:rsid w:val="00D6300E"/>
    <w:rsid w:val="00D63A85"/>
    <w:rsid w:val="00D66780"/>
    <w:rsid w:val="00D66B88"/>
    <w:rsid w:val="00D70815"/>
    <w:rsid w:val="00D72E1D"/>
    <w:rsid w:val="00D74828"/>
    <w:rsid w:val="00D76C64"/>
    <w:rsid w:val="00D77420"/>
    <w:rsid w:val="00D803CB"/>
    <w:rsid w:val="00D87D15"/>
    <w:rsid w:val="00D91081"/>
    <w:rsid w:val="00D941E4"/>
    <w:rsid w:val="00DA1DCF"/>
    <w:rsid w:val="00DA2CD3"/>
    <w:rsid w:val="00DA7C95"/>
    <w:rsid w:val="00DB1F9B"/>
    <w:rsid w:val="00DB5420"/>
    <w:rsid w:val="00DB67E1"/>
    <w:rsid w:val="00DC247A"/>
    <w:rsid w:val="00DC5AB1"/>
    <w:rsid w:val="00DD00DC"/>
    <w:rsid w:val="00DD0755"/>
    <w:rsid w:val="00DD4E0A"/>
    <w:rsid w:val="00DD55C2"/>
    <w:rsid w:val="00DE3902"/>
    <w:rsid w:val="00DE57B3"/>
    <w:rsid w:val="00DF0E54"/>
    <w:rsid w:val="00DF65B4"/>
    <w:rsid w:val="00DF6752"/>
    <w:rsid w:val="00E074B2"/>
    <w:rsid w:val="00E1066E"/>
    <w:rsid w:val="00E10AC3"/>
    <w:rsid w:val="00E11D83"/>
    <w:rsid w:val="00E12266"/>
    <w:rsid w:val="00E13132"/>
    <w:rsid w:val="00E23C3F"/>
    <w:rsid w:val="00E253D5"/>
    <w:rsid w:val="00E26A26"/>
    <w:rsid w:val="00E27201"/>
    <w:rsid w:val="00E34EE4"/>
    <w:rsid w:val="00E36319"/>
    <w:rsid w:val="00E426AF"/>
    <w:rsid w:val="00E448A5"/>
    <w:rsid w:val="00E448D5"/>
    <w:rsid w:val="00E44C5C"/>
    <w:rsid w:val="00E46DFC"/>
    <w:rsid w:val="00E47731"/>
    <w:rsid w:val="00E47E64"/>
    <w:rsid w:val="00E552A8"/>
    <w:rsid w:val="00E5645D"/>
    <w:rsid w:val="00E5684F"/>
    <w:rsid w:val="00E61C21"/>
    <w:rsid w:val="00E6222E"/>
    <w:rsid w:val="00E63870"/>
    <w:rsid w:val="00E65E44"/>
    <w:rsid w:val="00E75B96"/>
    <w:rsid w:val="00E76DEC"/>
    <w:rsid w:val="00E81A8E"/>
    <w:rsid w:val="00E81AFE"/>
    <w:rsid w:val="00E8441E"/>
    <w:rsid w:val="00E85C4F"/>
    <w:rsid w:val="00E86C7F"/>
    <w:rsid w:val="00E90214"/>
    <w:rsid w:val="00E92B6A"/>
    <w:rsid w:val="00E963D8"/>
    <w:rsid w:val="00EA0F7E"/>
    <w:rsid w:val="00EA1F48"/>
    <w:rsid w:val="00EB66E4"/>
    <w:rsid w:val="00EC1D02"/>
    <w:rsid w:val="00EC28EC"/>
    <w:rsid w:val="00EC5D19"/>
    <w:rsid w:val="00ED1321"/>
    <w:rsid w:val="00ED36ED"/>
    <w:rsid w:val="00ED49A4"/>
    <w:rsid w:val="00ED511E"/>
    <w:rsid w:val="00ED7528"/>
    <w:rsid w:val="00EE15A9"/>
    <w:rsid w:val="00EF0A74"/>
    <w:rsid w:val="00EF210B"/>
    <w:rsid w:val="00EF3741"/>
    <w:rsid w:val="00EF5C0A"/>
    <w:rsid w:val="00F02221"/>
    <w:rsid w:val="00F042C1"/>
    <w:rsid w:val="00F102B3"/>
    <w:rsid w:val="00F10770"/>
    <w:rsid w:val="00F108B9"/>
    <w:rsid w:val="00F11F17"/>
    <w:rsid w:val="00F127C3"/>
    <w:rsid w:val="00F12A1D"/>
    <w:rsid w:val="00F17487"/>
    <w:rsid w:val="00F211EE"/>
    <w:rsid w:val="00F23375"/>
    <w:rsid w:val="00F26D76"/>
    <w:rsid w:val="00F3349E"/>
    <w:rsid w:val="00F35A19"/>
    <w:rsid w:val="00F41BA4"/>
    <w:rsid w:val="00F41E4C"/>
    <w:rsid w:val="00F44941"/>
    <w:rsid w:val="00F46158"/>
    <w:rsid w:val="00F54694"/>
    <w:rsid w:val="00F609EB"/>
    <w:rsid w:val="00F61FE7"/>
    <w:rsid w:val="00F666B6"/>
    <w:rsid w:val="00F668DE"/>
    <w:rsid w:val="00F70722"/>
    <w:rsid w:val="00F737F3"/>
    <w:rsid w:val="00F73BFD"/>
    <w:rsid w:val="00F7563B"/>
    <w:rsid w:val="00F8074E"/>
    <w:rsid w:val="00F924A9"/>
    <w:rsid w:val="00F92954"/>
    <w:rsid w:val="00F97077"/>
    <w:rsid w:val="00F977D0"/>
    <w:rsid w:val="00FA0B4E"/>
    <w:rsid w:val="00FA3540"/>
    <w:rsid w:val="00FC159F"/>
    <w:rsid w:val="00FC209C"/>
    <w:rsid w:val="00FC2CC2"/>
    <w:rsid w:val="00FC47AC"/>
    <w:rsid w:val="00FD0F59"/>
    <w:rsid w:val="00FD2773"/>
    <w:rsid w:val="00FD32B8"/>
    <w:rsid w:val="00FD6E91"/>
    <w:rsid w:val="00FE0195"/>
    <w:rsid w:val="00FE1680"/>
    <w:rsid w:val="00FE1C8F"/>
    <w:rsid w:val="00FE4859"/>
    <w:rsid w:val="00FE616A"/>
    <w:rsid w:val="00FF5352"/>
    <w:rsid w:val="014A6477"/>
    <w:rsid w:val="02454A65"/>
    <w:rsid w:val="02472DC4"/>
    <w:rsid w:val="0414147C"/>
    <w:rsid w:val="049A58D3"/>
    <w:rsid w:val="04B073F7"/>
    <w:rsid w:val="04D501F8"/>
    <w:rsid w:val="04D8694E"/>
    <w:rsid w:val="05263468"/>
    <w:rsid w:val="05BD34C6"/>
    <w:rsid w:val="0641611F"/>
    <w:rsid w:val="06AC0F25"/>
    <w:rsid w:val="06BD6003"/>
    <w:rsid w:val="080D6204"/>
    <w:rsid w:val="08E3549B"/>
    <w:rsid w:val="08ED4403"/>
    <w:rsid w:val="092254AC"/>
    <w:rsid w:val="09E50FA8"/>
    <w:rsid w:val="0AE810C4"/>
    <w:rsid w:val="0B8503B4"/>
    <w:rsid w:val="0BA40C75"/>
    <w:rsid w:val="0BD4298E"/>
    <w:rsid w:val="0DEA241E"/>
    <w:rsid w:val="0E0124A9"/>
    <w:rsid w:val="0E2877D0"/>
    <w:rsid w:val="0F232C0E"/>
    <w:rsid w:val="10C30531"/>
    <w:rsid w:val="11115459"/>
    <w:rsid w:val="11AB23AA"/>
    <w:rsid w:val="12584A32"/>
    <w:rsid w:val="131F4B85"/>
    <w:rsid w:val="1354447C"/>
    <w:rsid w:val="13BD68D9"/>
    <w:rsid w:val="14CA009D"/>
    <w:rsid w:val="15DF4FB2"/>
    <w:rsid w:val="16C260F0"/>
    <w:rsid w:val="16EC1B0F"/>
    <w:rsid w:val="1711481A"/>
    <w:rsid w:val="17EC1A1B"/>
    <w:rsid w:val="186B171B"/>
    <w:rsid w:val="188E339C"/>
    <w:rsid w:val="18CB25F9"/>
    <w:rsid w:val="19432195"/>
    <w:rsid w:val="19B054B3"/>
    <w:rsid w:val="1A5D6F52"/>
    <w:rsid w:val="1A7949F4"/>
    <w:rsid w:val="1B3C45FF"/>
    <w:rsid w:val="1B6B767C"/>
    <w:rsid w:val="1BE96DA4"/>
    <w:rsid w:val="1C5754D7"/>
    <w:rsid w:val="1C5C013C"/>
    <w:rsid w:val="1C817C78"/>
    <w:rsid w:val="1C835314"/>
    <w:rsid w:val="1D8F16F3"/>
    <w:rsid w:val="1E2F5993"/>
    <w:rsid w:val="1F75556F"/>
    <w:rsid w:val="1F993BDF"/>
    <w:rsid w:val="20492CFD"/>
    <w:rsid w:val="20EF6765"/>
    <w:rsid w:val="21C25E1F"/>
    <w:rsid w:val="238E4C84"/>
    <w:rsid w:val="238F3E8F"/>
    <w:rsid w:val="25102EC3"/>
    <w:rsid w:val="271D3F34"/>
    <w:rsid w:val="284101E2"/>
    <w:rsid w:val="289D7DA2"/>
    <w:rsid w:val="29915199"/>
    <w:rsid w:val="2AE5579D"/>
    <w:rsid w:val="2B0C1FDA"/>
    <w:rsid w:val="2F5D3F8F"/>
    <w:rsid w:val="2F6955C8"/>
    <w:rsid w:val="2F7E2A72"/>
    <w:rsid w:val="2FA01BB6"/>
    <w:rsid w:val="2FF46C71"/>
    <w:rsid w:val="309679D2"/>
    <w:rsid w:val="31567508"/>
    <w:rsid w:val="327708BF"/>
    <w:rsid w:val="329428E2"/>
    <w:rsid w:val="336165A4"/>
    <w:rsid w:val="33744269"/>
    <w:rsid w:val="33C57B0C"/>
    <w:rsid w:val="346321BB"/>
    <w:rsid w:val="360D457A"/>
    <w:rsid w:val="36305236"/>
    <w:rsid w:val="3646059A"/>
    <w:rsid w:val="36781C61"/>
    <w:rsid w:val="36A250F1"/>
    <w:rsid w:val="37210C65"/>
    <w:rsid w:val="37EF5A09"/>
    <w:rsid w:val="387719FE"/>
    <w:rsid w:val="39BE0ACC"/>
    <w:rsid w:val="3B3F3604"/>
    <w:rsid w:val="3CD2571E"/>
    <w:rsid w:val="3DEC5291"/>
    <w:rsid w:val="3E79102E"/>
    <w:rsid w:val="3EBD718B"/>
    <w:rsid w:val="3EED7CE1"/>
    <w:rsid w:val="3F0464D4"/>
    <w:rsid w:val="40503350"/>
    <w:rsid w:val="406A6ED2"/>
    <w:rsid w:val="409B22F2"/>
    <w:rsid w:val="41175B2C"/>
    <w:rsid w:val="426C06D4"/>
    <w:rsid w:val="42A461D5"/>
    <w:rsid w:val="43941B0C"/>
    <w:rsid w:val="443F1AB1"/>
    <w:rsid w:val="4490644F"/>
    <w:rsid w:val="45020FF2"/>
    <w:rsid w:val="45E91091"/>
    <w:rsid w:val="46083103"/>
    <w:rsid w:val="465C608A"/>
    <w:rsid w:val="46910613"/>
    <w:rsid w:val="47305B9A"/>
    <w:rsid w:val="481F55E7"/>
    <w:rsid w:val="483E2CF5"/>
    <w:rsid w:val="484241B8"/>
    <w:rsid w:val="48847F4B"/>
    <w:rsid w:val="48924C93"/>
    <w:rsid w:val="48D53720"/>
    <w:rsid w:val="4A215C27"/>
    <w:rsid w:val="4C45046E"/>
    <w:rsid w:val="4CD64D36"/>
    <w:rsid w:val="4CF00129"/>
    <w:rsid w:val="4D4C7943"/>
    <w:rsid w:val="4DC02704"/>
    <w:rsid w:val="4E2F2C3D"/>
    <w:rsid w:val="4E577EB0"/>
    <w:rsid w:val="4F4F52B5"/>
    <w:rsid w:val="4FB0653A"/>
    <w:rsid w:val="4FE41EFB"/>
    <w:rsid w:val="50673E5C"/>
    <w:rsid w:val="513B473A"/>
    <w:rsid w:val="515B02E3"/>
    <w:rsid w:val="51B04DD1"/>
    <w:rsid w:val="51B16329"/>
    <w:rsid w:val="528C359C"/>
    <w:rsid w:val="52955ABE"/>
    <w:rsid w:val="537A2BAA"/>
    <w:rsid w:val="53B042EA"/>
    <w:rsid w:val="53E050EE"/>
    <w:rsid w:val="53FB4CA3"/>
    <w:rsid w:val="549D05A1"/>
    <w:rsid w:val="549F0B94"/>
    <w:rsid w:val="54A62B0A"/>
    <w:rsid w:val="54EF5C55"/>
    <w:rsid w:val="54FF3DA0"/>
    <w:rsid w:val="55095F58"/>
    <w:rsid w:val="563A5AA7"/>
    <w:rsid w:val="573E1723"/>
    <w:rsid w:val="575F7F14"/>
    <w:rsid w:val="59254F8A"/>
    <w:rsid w:val="59902CF9"/>
    <w:rsid w:val="5A251C79"/>
    <w:rsid w:val="5A295C01"/>
    <w:rsid w:val="5A2C3AC1"/>
    <w:rsid w:val="5A322A73"/>
    <w:rsid w:val="5B3B4064"/>
    <w:rsid w:val="5B9E24E1"/>
    <w:rsid w:val="5BFD355B"/>
    <w:rsid w:val="5C21005E"/>
    <w:rsid w:val="5C425CFC"/>
    <w:rsid w:val="5C4721D0"/>
    <w:rsid w:val="5C802A4C"/>
    <w:rsid w:val="5E532196"/>
    <w:rsid w:val="5EE150CE"/>
    <w:rsid w:val="5FF636E0"/>
    <w:rsid w:val="606904C2"/>
    <w:rsid w:val="60B86515"/>
    <w:rsid w:val="61FF42D8"/>
    <w:rsid w:val="622B0FE0"/>
    <w:rsid w:val="622F7804"/>
    <w:rsid w:val="62887D4A"/>
    <w:rsid w:val="633833D6"/>
    <w:rsid w:val="633A3175"/>
    <w:rsid w:val="63BF2892"/>
    <w:rsid w:val="6556579E"/>
    <w:rsid w:val="65833FDE"/>
    <w:rsid w:val="665912E8"/>
    <w:rsid w:val="66A8455E"/>
    <w:rsid w:val="679109C9"/>
    <w:rsid w:val="684C7ED7"/>
    <w:rsid w:val="690B5C60"/>
    <w:rsid w:val="69A073F1"/>
    <w:rsid w:val="6A494BEF"/>
    <w:rsid w:val="6AA3564D"/>
    <w:rsid w:val="6D4B0788"/>
    <w:rsid w:val="6D504110"/>
    <w:rsid w:val="6D5C48D6"/>
    <w:rsid w:val="6D7136E1"/>
    <w:rsid w:val="6E1D01E8"/>
    <w:rsid w:val="70545C15"/>
    <w:rsid w:val="70700C31"/>
    <w:rsid w:val="710D46D2"/>
    <w:rsid w:val="71416E99"/>
    <w:rsid w:val="724506DD"/>
    <w:rsid w:val="72560A78"/>
    <w:rsid w:val="72BF19FC"/>
    <w:rsid w:val="73CD43C4"/>
    <w:rsid w:val="741507BF"/>
    <w:rsid w:val="744D7DC9"/>
    <w:rsid w:val="74884203"/>
    <w:rsid w:val="76533A9A"/>
    <w:rsid w:val="7695762E"/>
    <w:rsid w:val="76E21684"/>
    <w:rsid w:val="77006FDD"/>
    <w:rsid w:val="77863E64"/>
    <w:rsid w:val="78B43AFF"/>
    <w:rsid w:val="79033361"/>
    <w:rsid w:val="7A561C55"/>
    <w:rsid w:val="7BB83E64"/>
    <w:rsid w:val="7C1D4A5F"/>
    <w:rsid w:val="7CCD0704"/>
    <w:rsid w:val="7DC83252"/>
    <w:rsid w:val="7E5F5E41"/>
    <w:rsid w:val="7E7E0B3D"/>
    <w:rsid w:val="7E905F18"/>
    <w:rsid w:val="FFDBC73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Times New Roman" w:eastAsia="宋体" w:cs="Times New Roman"/>
      <w:lang w:val="en-US" w:eastAsia="zh-CN" w:bidi="ar-SA"/>
    </w:rPr>
  </w:style>
  <w:style w:type="paragraph" w:styleId="4">
    <w:name w:val="heading 1"/>
    <w:basedOn w:val="1"/>
    <w:next w:val="1"/>
    <w:link w:val="48"/>
    <w:qFormat/>
    <w:uiPriority w:val="9"/>
    <w:pPr>
      <w:keepNext/>
      <w:keepLines/>
      <w:autoSpaceDE/>
      <w:autoSpaceDN/>
      <w:adjustRightInd/>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5">
    <w:name w:val="heading 2"/>
    <w:basedOn w:val="1"/>
    <w:next w:val="1"/>
    <w:link w:val="49"/>
    <w:semiHidden/>
    <w:unhideWhenUsed/>
    <w:qFormat/>
    <w:uiPriority w:val="9"/>
    <w:pPr>
      <w:keepNext/>
      <w:keepLines/>
      <w:autoSpaceDE/>
      <w:autoSpaceDN/>
      <w:adjustRightInd/>
      <w:spacing w:before="260" w:after="260" w:line="416" w:lineRule="auto"/>
      <w:jc w:val="both"/>
      <w:outlineLvl w:val="1"/>
    </w:pPr>
    <w:rPr>
      <w:rFonts w:asciiTheme="majorHAnsi" w:hAnsiTheme="majorHAnsi" w:eastAsiaTheme="majorEastAsia" w:cstheme="majorBidi"/>
      <w:b/>
      <w:bCs/>
      <w:kern w:val="2"/>
      <w:sz w:val="32"/>
      <w:szCs w:val="32"/>
    </w:rPr>
  </w:style>
  <w:style w:type="paragraph" w:styleId="6">
    <w:name w:val="heading 3"/>
    <w:basedOn w:val="1"/>
    <w:next w:val="1"/>
    <w:link w:val="50"/>
    <w:semiHidden/>
    <w:unhideWhenUsed/>
    <w:qFormat/>
    <w:uiPriority w:val="9"/>
    <w:pPr>
      <w:keepNext/>
      <w:keepLines/>
      <w:autoSpaceDE/>
      <w:autoSpaceDN/>
      <w:adjustRightInd/>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link w:val="42"/>
    <w:qFormat/>
    <w:uiPriority w:val="0"/>
    <w:rPr>
      <w:rFonts w:hAnsiTheme="minorHAnsi" w:eastAsiaTheme="minorEastAsia" w:cstheme="minorBidi"/>
      <w:kern w:val="2"/>
      <w:sz w:val="21"/>
      <w:szCs w:val="22"/>
    </w:rPr>
  </w:style>
  <w:style w:type="paragraph" w:styleId="8">
    <w:name w:val="Body Text"/>
    <w:basedOn w:val="1"/>
    <w:link w:val="57"/>
    <w:qFormat/>
    <w:uiPriority w:val="1"/>
    <w:pPr>
      <w:adjustRightInd/>
      <w:jc w:val="both"/>
    </w:pPr>
    <w:rPr>
      <w:rFonts w:ascii="PMingLiU" w:hAnsi="PMingLiU" w:eastAsia="PMingLiU" w:cs="PMingLiU"/>
      <w:sz w:val="28"/>
      <w:szCs w:val="28"/>
      <w:lang w:val="zh-CN" w:bidi="zh-CN"/>
    </w:rPr>
  </w:style>
  <w:style w:type="paragraph" w:styleId="9">
    <w:name w:val="toc 3"/>
    <w:basedOn w:val="1"/>
    <w:next w:val="1"/>
    <w:semiHidden/>
    <w:unhideWhenUsed/>
    <w:qFormat/>
    <w:uiPriority w:val="39"/>
    <w:pPr>
      <w:widowControl/>
      <w:autoSpaceDE/>
      <w:autoSpaceDN/>
      <w:adjustRightInd/>
      <w:spacing w:after="100" w:line="276" w:lineRule="auto"/>
      <w:ind w:left="440"/>
    </w:pPr>
    <w:rPr>
      <w:rFonts w:asciiTheme="minorHAnsi" w:hAnsiTheme="minorHAnsi" w:eastAsiaTheme="minorEastAsia" w:cstheme="minorBidi"/>
      <w:sz w:val="22"/>
      <w:szCs w:val="22"/>
    </w:rPr>
  </w:style>
  <w:style w:type="paragraph" w:styleId="10">
    <w:name w:val="Plain Text"/>
    <w:basedOn w:val="1"/>
    <w:link w:val="44"/>
    <w:qFormat/>
    <w:uiPriority w:val="0"/>
    <w:pPr>
      <w:autoSpaceDE/>
      <w:autoSpaceDN/>
      <w:jc w:val="both"/>
      <w:textAlignment w:val="baseline"/>
    </w:pPr>
    <w:rPr>
      <w:rFonts w:hAnsi="Courier New"/>
      <w:kern w:val="2"/>
      <w:sz w:val="24"/>
    </w:rPr>
  </w:style>
  <w:style w:type="paragraph" w:styleId="11">
    <w:name w:val="Date"/>
    <w:basedOn w:val="1"/>
    <w:next w:val="1"/>
    <w:link w:val="54"/>
    <w:semiHidden/>
    <w:unhideWhenUsed/>
    <w:qFormat/>
    <w:uiPriority w:val="99"/>
    <w:pPr>
      <w:ind w:left="100" w:leftChars="2500"/>
    </w:pPr>
  </w:style>
  <w:style w:type="paragraph" w:styleId="12">
    <w:name w:val="Balloon Text"/>
    <w:basedOn w:val="1"/>
    <w:link w:val="46"/>
    <w:semiHidden/>
    <w:unhideWhenUsed/>
    <w:qFormat/>
    <w:uiPriority w:val="99"/>
    <w:rPr>
      <w:sz w:val="18"/>
      <w:szCs w:val="18"/>
    </w:rPr>
  </w:style>
  <w:style w:type="paragraph" w:styleId="13">
    <w:name w:val="footer"/>
    <w:basedOn w:val="1"/>
    <w:link w:val="43"/>
    <w:qFormat/>
    <w:uiPriority w:val="99"/>
    <w:pPr>
      <w:tabs>
        <w:tab w:val="center" w:pos="4153"/>
        <w:tab w:val="right" w:pos="8306"/>
      </w:tabs>
      <w:snapToGrid w:val="0"/>
    </w:pPr>
    <w:rPr>
      <w:sz w:val="18"/>
    </w:rPr>
  </w:style>
  <w:style w:type="paragraph" w:styleId="14">
    <w:name w:val="header"/>
    <w:basedOn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autoSpaceDE/>
      <w:autoSpaceDN/>
      <w:adjustRightInd/>
      <w:spacing w:after="100" w:line="276" w:lineRule="auto"/>
    </w:pPr>
    <w:rPr>
      <w:rFonts w:asciiTheme="minorHAnsi" w:hAnsiTheme="minorHAnsi" w:eastAsiaTheme="minorEastAsia" w:cstheme="minorBidi"/>
      <w:sz w:val="22"/>
      <w:szCs w:val="22"/>
    </w:rPr>
  </w:style>
  <w:style w:type="paragraph" w:styleId="16">
    <w:name w:val="footnote text"/>
    <w:basedOn w:val="1"/>
    <w:link w:val="52"/>
    <w:semiHidden/>
    <w:unhideWhenUsed/>
    <w:qFormat/>
    <w:uiPriority w:val="99"/>
    <w:pPr>
      <w:snapToGrid w:val="0"/>
    </w:pPr>
    <w:rPr>
      <w:sz w:val="18"/>
      <w:szCs w:val="18"/>
    </w:rPr>
  </w:style>
  <w:style w:type="paragraph" w:styleId="17">
    <w:name w:val="toc 2"/>
    <w:basedOn w:val="1"/>
    <w:next w:val="1"/>
    <w:unhideWhenUsed/>
    <w:qFormat/>
    <w:uiPriority w:val="39"/>
    <w:pPr>
      <w:widowControl/>
      <w:autoSpaceDE/>
      <w:autoSpaceDN/>
      <w:adjustRightInd/>
      <w:spacing w:after="100" w:line="276" w:lineRule="auto"/>
      <w:ind w:left="220"/>
    </w:pPr>
    <w:rPr>
      <w:rFonts w:asciiTheme="minorHAnsi" w:hAnsiTheme="minorHAnsi" w:eastAsiaTheme="minorEastAsia" w:cstheme="minorBidi"/>
      <w:sz w:val="22"/>
      <w:szCs w:val="22"/>
    </w:rPr>
  </w:style>
  <w:style w:type="paragraph" w:styleId="18">
    <w:name w:val="annotation subject"/>
    <w:basedOn w:val="7"/>
    <w:next w:val="7"/>
    <w:link w:val="60"/>
    <w:semiHidden/>
    <w:unhideWhenUsed/>
    <w:qFormat/>
    <w:uiPriority w:val="99"/>
    <w:rPr>
      <w:rFonts w:hAnsi="Times New Roman" w:eastAsia="宋体" w:cs="Times New Roman"/>
      <w:b/>
      <w:bCs/>
      <w:kern w:val="0"/>
      <w:sz w:val="20"/>
      <w:szCs w:val="20"/>
    </w:rPr>
  </w:style>
  <w:style w:type="table" w:styleId="20">
    <w:name w:val="Table Grid"/>
    <w:basedOn w:val="19"/>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style>
  <w:style w:type="character" w:styleId="23">
    <w:name w:val="page number"/>
    <w:basedOn w:val="21"/>
    <w:qFormat/>
    <w:uiPriority w:val="0"/>
  </w:style>
  <w:style w:type="character" w:styleId="24">
    <w:name w:val="FollowedHyperlink"/>
    <w:basedOn w:val="21"/>
    <w:semiHidden/>
    <w:unhideWhenUsed/>
    <w:qFormat/>
    <w:uiPriority w:val="99"/>
    <w:rPr>
      <w:color w:val="000000"/>
      <w:sz w:val="14"/>
      <w:szCs w:val="14"/>
      <w:u w:val="none"/>
    </w:rPr>
  </w:style>
  <w:style w:type="character" w:styleId="25">
    <w:name w:val="Emphasis"/>
    <w:basedOn w:val="21"/>
    <w:qFormat/>
    <w:uiPriority w:val="20"/>
  </w:style>
  <w:style w:type="character" w:styleId="26">
    <w:name w:val="HTML Definition"/>
    <w:basedOn w:val="21"/>
    <w:semiHidden/>
    <w:unhideWhenUsed/>
    <w:qFormat/>
    <w:uiPriority w:val="99"/>
  </w:style>
  <w:style w:type="character" w:styleId="27">
    <w:name w:val="HTML Typewriter"/>
    <w:basedOn w:val="21"/>
    <w:semiHidden/>
    <w:unhideWhenUsed/>
    <w:qFormat/>
    <w:uiPriority w:val="99"/>
    <w:rPr>
      <w:rFonts w:ascii="Courier New" w:hAnsi="Courier New"/>
      <w:sz w:val="24"/>
      <w:szCs w:val="24"/>
    </w:rPr>
  </w:style>
  <w:style w:type="character" w:styleId="28">
    <w:name w:val="HTML Acronym"/>
    <w:basedOn w:val="21"/>
    <w:semiHidden/>
    <w:unhideWhenUsed/>
    <w:qFormat/>
    <w:uiPriority w:val="99"/>
  </w:style>
  <w:style w:type="character" w:styleId="29">
    <w:name w:val="HTML Variable"/>
    <w:basedOn w:val="21"/>
    <w:semiHidden/>
    <w:unhideWhenUsed/>
    <w:qFormat/>
    <w:uiPriority w:val="99"/>
  </w:style>
  <w:style w:type="character" w:styleId="30">
    <w:name w:val="Hyperlink"/>
    <w:basedOn w:val="21"/>
    <w:unhideWhenUsed/>
    <w:qFormat/>
    <w:uiPriority w:val="99"/>
    <w:rPr>
      <w:color w:val="0000FF" w:themeColor="hyperlink"/>
      <w:u w:val="single"/>
      <w14:textFill>
        <w14:solidFill>
          <w14:schemeClr w14:val="hlink"/>
        </w14:solidFill>
      </w14:textFill>
    </w:rPr>
  </w:style>
  <w:style w:type="character" w:styleId="31">
    <w:name w:val="HTML Code"/>
    <w:basedOn w:val="21"/>
    <w:semiHidden/>
    <w:unhideWhenUsed/>
    <w:qFormat/>
    <w:uiPriority w:val="99"/>
    <w:rPr>
      <w:rFonts w:ascii="Courier New" w:hAnsi="Courier New"/>
      <w:sz w:val="24"/>
      <w:szCs w:val="24"/>
    </w:rPr>
  </w:style>
  <w:style w:type="character" w:styleId="32">
    <w:name w:val="annotation reference"/>
    <w:qFormat/>
    <w:uiPriority w:val="0"/>
    <w:rPr>
      <w:sz w:val="21"/>
      <w:szCs w:val="21"/>
    </w:rPr>
  </w:style>
  <w:style w:type="character" w:styleId="33">
    <w:name w:val="HTML Cite"/>
    <w:basedOn w:val="21"/>
    <w:semiHidden/>
    <w:unhideWhenUsed/>
    <w:qFormat/>
    <w:uiPriority w:val="99"/>
  </w:style>
  <w:style w:type="character" w:styleId="34">
    <w:name w:val="footnote reference"/>
    <w:basedOn w:val="21"/>
    <w:semiHidden/>
    <w:unhideWhenUsed/>
    <w:qFormat/>
    <w:uiPriority w:val="99"/>
    <w:rPr>
      <w:vertAlign w:val="superscript"/>
    </w:rPr>
  </w:style>
  <w:style w:type="character" w:styleId="35">
    <w:name w:val="HTML Keyboard"/>
    <w:basedOn w:val="21"/>
    <w:semiHidden/>
    <w:unhideWhenUsed/>
    <w:qFormat/>
    <w:uiPriority w:val="99"/>
    <w:rPr>
      <w:rFonts w:ascii="Courier New" w:hAnsi="Courier New"/>
      <w:sz w:val="24"/>
      <w:szCs w:val="24"/>
    </w:rPr>
  </w:style>
  <w:style w:type="character" w:styleId="36">
    <w:name w:val="HTML Sample"/>
    <w:basedOn w:val="21"/>
    <w:semiHidden/>
    <w:unhideWhenUsed/>
    <w:qFormat/>
    <w:uiPriority w:val="99"/>
    <w:rPr>
      <w:rFonts w:ascii="Courier New" w:hAnsi="Courier New"/>
      <w:sz w:val="24"/>
      <w:szCs w:val="24"/>
    </w:rPr>
  </w:style>
  <w:style w:type="paragraph" w:customStyle="1" w:styleId="37">
    <w:name w:val="新正表头"/>
    <w:basedOn w:val="1"/>
    <w:qFormat/>
    <w:uiPriority w:val="0"/>
    <w:pPr>
      <w:spacing w:line="480" w:lineRule="exact"/>
      <w:jc w:val="center"/>
      <w:textAlignment w:val="baseline"/>
    </w:pPr>
    <w:rPr>
      <w:rFonts w:hint="eastAsia" w:ascii="仿宋" w:hAnsi="仿宋" w:eastAsia="仿宋" w:cs="宋体"/>
      <w:b/>
      <w:color w:val="auto"/>
      <w:sz w:val="24"/>
      <w:szCs w:val="24"/>
    </w:rPr>
  </w:style>
  <w:style w:type="paragraph" w:customStyle="1" w:styleId="38">
    <w:name w:val="新正大标题"/>
    <w:basedOn w:val="8"/>
    <w:next w:val="4"/>
    <w:uiPriority w:val="0"/>
    <w:pPr>
      <w:spacing w:line="660" w:lineRule="exact"/>
      <w:jc w:val="center"/>
      <w:outlineLvl w:val="9"/>
    </w:pPr>
    <w:rPr>
      <w:rFonts w:hint="eastAsia" w:ascii="方正小标宋简体" w:hAnsi="方正小标宋简体" w:eastAsia="方正小标宋简体" w:cs="方正小标宋简体"/>
      <w:color w:val="auto"/>
      <w:sz w:val="44"/>
      <w:szCs w:val="44"/>
      <w:lang w:val="zh-CN" w:bidi="zh-CN"/>
    </w:rPr>
  </w:style>
  <w:style w:type="paragraph" w:customStyle="1" w:styleId="39">
    <w:name w:val="新正二级标题"/>
    <w:basedOn w:val="1"/>
    <w:next w:val="1"/>
    <w:qFormat/>
    <w:uiPriority w:val="0"/>
    <w:pPr>
      <w:adjustRightInd/>
      <w:spacing w:line="560" w:lineRule="exact"/>
      <w:ind w:firstLine="643" w:firstLineChars="200"/>
      <w:outlineLvl w:val="1"/>
    </w:pPr>
    <w:rPr>
      <w:rFonts w:hint="eastAsia" w:ascii="方正楷体_GB2312" w:hAnsi="方正楷体_GB2312" w:eastAsia="方正楷体_GB2312" w:cs="方正楷体_GB2312"/>
      <w:b/>
      <w:color w:val="auto"/>
      <w:sz w:val="32"/>
      <w:szCs w:val="32"/>
      <w:lang w:val="zh-CN" w:bidi="zh-CN"/>
    </w:rPr>
  </w:style>
  <w:style w:type="paragraph" w:customStyle="1" w:styleId="40">
    <w:name w:val="新正一级标题"/>
    <w:basedOn w:val="8"/>
    <w:next w:val="5"/>
    <w:link w:val="63"/>
    <w:qFormat/>
    <w:uiPriority w:val="0"/>
    <w:pPr>
      <w:spacing w:before="150" w:beforeLines="150" w:line="560" w:lineRule="exact"/>
      <w:ind w:firstLine="640" w:firstLineChars="200"/>
      <w:jc w:val="left"/>
      <w:outlineLvl w:val="0"/>
    </w:pPr>
    <w:rPr>
      <w:rFonts w:hint="eastAsia" w:ascii="黑体" w:hAnsi="黑体" w:eastAsia="黑体" w:cs="黑体"/>
      <w:bCs/>
      <w:color w:val="auto"/>
      <w:sz w:val="32"/>
      <w:szCs w:val="32"/>
      <w:lang w:val="zh-CN" w:bidi="zh-CN"/>
    </w:rPr>
  </w:style>
  <w:style w:type="paragraph" w:customStyle="1" w:styleId="41">
    <w:name w:val="新正正文"/>
    <w:basedOn w:val="1"/>
    <w:link w:val="64"/>
    <w:uiPriority w:val="0"/>
    <w:pPr>
      <w:spacing w:line="560" w:lineRule="exact"/>
      <w:ind w:firstLine="640" w:firstLineChars="200"/>
      <w:jc w:val="both"/>
      <w:textAlignment w:val="baseline"/>
    </w:pPr>
    <w:rPr>
      <w:rFonts w:hint="eastAsia" w:ascii="方正仿宋_GB2312" w:hAnsi="方正仿宋_GB2312" w:eastAsia="方正仿宋_GB2312" w:cs="方正仿宋_GB2312"/>
      <w:color w:val="auto"/>
      <w:sz w:val="32"/>
      <w:szCs w:val="32"/>
      <w:lang w:val="zh-CN" w:bidi="zh-CN"/>
    </w:rPr>
  </w:style>
  <w:style w:type="character" w:customStyle="1" w:styleId="42">
    <w:name w:val="批注文字 Char"/>
    <w:link w:val="7"/>
    <w:qFormat/>
    <w:uiPriority w:val="0"/>
    <w:rPr>
      <w:rFonts w:ascii="宋体"/>
    </w:rPr>
  </w:style>
  <w:style w:type="character" w:customStyle="1" w:styleId="43">
    <w:name w:val="页脚 Char"/>
    <w:basedOn w:val="21"/>
    <w:link w:val="13"/>
    <w:qFormat/>
    <w:uiPriority w:val="99"/>
    <w:rPr>
      <w:rFonts w:ascii="宋体" w:hAnsi="Times New Roman" w:eastAsia="宋体" w:cs="Times New Roman"/>
      <w:kern w:val="0"/>
      <w:sz w:val="18"/>
      <w:szCs w:val="20"/>
    </w:rPr>
  </w:style>
  <w:style w:type="character" w:customStyle="1" w:styleId="44">
    <w:name w:val="纯文本 Char"/>
    <w:basedOn w:val="21"/>
    <w:link w:val="10"/>
    <w:qFormat/>
    <w:uiPriority w:val="0"/>
    <w:rPr>
      <w:rFonts w:ascii="宋体" w:hAnsi="Courier New" w:eastAsia="宋体" w:cs="Times New Roman"/>
      <w:sz w:val="24"/>
      <w:szCs w:val="20"/>
    </w:rPr>
  </w:style>
  <w:style w:type="character" w:customStyle="1" w:styleId="45">
    <w:name w:val="批注文字 Char1"/>
    <w:basedOn w:val="21"/>
    <w:semiHidden/>
    <w:qFormat/>
    <w:uiPriority w:val="99"/>
    <w:rPr>
      <w:rFonts w:ascii="宋体" w:hAnsi="Times New Roman" w:eastAsia="宋体" w:cs="Times New Roman"/>
      <w:kern w:val="0"/>
      <w:sz w:val="20"/>
      <w:szCs w:val="20"/>
    </w:rPr>
  </w:style>
  <w:style w:type="character" w:customStyle="1" w:styleId="46">
    <w:name w:val="批注框文本 Char"/>
    <w:basedOn w:val="21"/>
    <w:link w:val="12"/>
    <w:semiHidden/>
    <w:qFormat/>
    <w:uiPriority w:val="99"/>
    <w:rPr>
      <w:rFonts w:ascii="宋体" w:hAnsi="Times New Roman" w:eastAsia="宋体" w:cs="Times New Roman"/>
      <w:kern w:val="0"/>
      <w:sz w:val="18"/>
      <w:szCs w:val="18"/>
    </w:rPr>
  </w:style>
  <w:style w:type="character" w:customStyle="1" w:styleId="47">
    <w:name w:val="页眉 Char"/>
    <w:basedOn w:val="21"/>
    <w:link w:val="14"/>
    <w:qFormat/>
    <w:uiPriority w:val="99"/>
    <w:rPr>
      <w:rFonts w:ascii="宋体" w:hAnsi="Times New Roman" w:eastAsia="宋体" w:cs="Times New Roman"/>
      <w:kern w:val="0"/>
      <w:sz w:val="18"/>
      <w:szCs w:val="18"/>
    </w:rPr>
  </w:style>
  <w:style w:type="character" w:customStyle="1" w:styleId="48">
    <w:name w:val="标题 1 Char"/>
    <w:basedOn w:val="21"/>
    <w:link w:val="4"/>
    <w:qFormat/>
    <w:uiPriority w:val="9"/>
    <w:rPr>
      <w:b/>
      <w:bCs/>
      <w:kern w:val="44"/>
      <w:sz w:val="44"/>
      <w:szCs w:val="44"/>
    </w:rPr>
  </w:style>
  <w:style w:type="character" w:customStyle="1" w:styleId="49">
    <w:name w:val="标题 2 Char"/>
    <w:basedOn w:val="21"/>
    <w:link w:val="5"/>
    <w:semiHidden/>
    <w:qFormat/>
    <w:uiPriority w:val="9"/>
    <w:rPr>
      <w:rFonts w:asciiTheme="majorHAnsi" w:hAnsiTheme="majorHAnsi" w:eastAsiaTheme="majorEastAsia" w:cstheme="majorBidi"/>
      <w:b/>
      <w:bCs/>
      <w:kern w:val="2"/>
      <w:sz w:val="32"/>
      <w:szCs w:val="32"/>
    </w:rPr>
  </w:style>
  <w:style w:type="character" w:customStyle="1" w:styleId="50">
    <w:name w:val="标题 3 Char"/>
    <w:basedOn w:val="21"/>
    <w:link w:val="6"/>
    <w:semiHidden/>
    <w:qFormat/>
    <w:uiPriority w:val="9"/>
    <w:rPr>
      <w:b/>
      <w:bCs/>
      <w:kern w:val="2"/>
      <w:sz w:val="32"/>
      <w:szCs w:val="32"/>
    </w:rPr>
  </w:style>
  <w:style w:type="paragraph" w:styleId="51">
    <w:name w:val="List Paragraph"/>
    <w:basedOn w:val="1"/>
    <w:unhideWhenUsed/>
    <w:qFormat/>
    <w:uiPriority w:val="99"/>
    <w:pPr>
      <w:ind w:firstLine="420" w:firstLineChars="200"/>
    </w:pPr>
  </w:style>
  <w:style w:type="character" w:customStyle="1" w:styleId="52">
    <w:name w:val="脚注文本 Char"/>
    <w:basedOn w:val="21"/>
    <w:link w:val="16"/>
    <w:semiHidden/>
    <w:qFormat/>
    <w:uiPriority w:val="99"/>
    <w:rPr>
      <w:rFonts w:ascii="宋体" w:hAnsi="Times New Roman" w:eastAsia="宋体" w:cs="Times New Roman"/>
      <w:sz w:val="18"/>
      <w:szCs w:val="18"/>
    </w:rPr>
  </w:style>
  <w:style w:type="paragraph" w:customStyle="1" w:styleId="53">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4">
    <w:name w:val="日期 Char"/>
    <w:basedOn w:val="21"/>
    <w:link w:val="11"/>
    <w:semiHidden/>
    <w:qFormat/>
    <w:uiPriority w:val="99"/>
    <w:rPr>
      <w:rFonts w:ascii="宋体" w:hAnsi="Times New Roman" w:eastAsia="宋体" w:cs="Times New Roman"/>
    </w:rPr>
  </w:style>
  <w:style w:type="paragraph" w:customStyle="1" w:styleId="55">
    <w:name w:val="WPSOffice手动目录 1"/>
    <w:qFormat/>
    <w:uiPriority w:val="0"/>
    <w:rPr>
      <w:rFonts w:asciiTheme="minorHAnsi" w:hAnsiTheme="minorHAnsi" w:eastAsiaTheme="minorEastAsia" w:cstheme="minorBidi"/>
      <w:lang w:val="en-US" w:eastAsia="zh-CN" w:bidi="ar-SA"/>
    </w:rPr>
  </w:style>
  <w:style w:type="paragraph" w:customStyle="1" w:styleId="56">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57">
    <w:name w:val="正文文本 Char"/>
    <w:basedOn w:val="21"/>
    <w:link w:val="8"/>
    <w:qFormat/>
    <w:uiPriority w:val="1"/>
    <w:rPr>
      <w:rFonts w:ascii="PMingLiU" w:hAnsi="PMingLiU" w:eastAsia="PMingLiU" w:cs="PMingLiU"/>
      <w:sz w:val="28"/>
      <w:szCs w:val="28"/>
      <w:lang w:val="zh-CN" w:bidi="zh-CN"/>
    </w:rPr>
  </w:style>
  <w:style w:type="paragraph" w:customStyle="1" w:styleId="58">
    <w:name w:val="闻政正文"/>
    <w:basedOn w:val="1"/>
    <w:link w:val="59"/>
    <w:qFormat/>
    <w:uiPriority w:val="0"/>
    <w:pPr>
      <w:autoSpaceDE/>
      <w:autoSpaceDN/>
      <w:adjustRightInd/>
      <w:spacing w:line="500" w:lineRule="exact"/>
      <w:ind w:firstLine="560" w:firstLineChars="200"/>
      <w:jc w:val="both"/>
    </w:pPr>
    <w:rPr>
      <w:rFonts w:ascii="Times New Roman" w:eastAsia="仿宋_GB2312"/>
      <w:sz w:val="28"/>
      <w:szCs w:val="28"/>
    </w:rPr>
  </w:style>
  <w:style w:type="character" w:customStyle="1" w:styleId="59">
    <w:name w:val="闻政正文 Char"/>
    <w:link w:val="58"/>
    <w:qFormat/>
    <w:uiPriority w:val="0"/>
    <w:rPr>
      <w:rFonts w:ascii="Times New Roman" w:hAnsi="Times New Roman" w:eastAsia="仿宋_GB2312"/>
      <w:sz w:val="28"/>
      <w:szCs w:val="28"/>
    </w:rPr>
  </w:style>
  <w:style w:type="character" w:customStyle="1" w:styleId="60">
    <w:name w:val="批注主题 Char"/>
    <w:basedOn w:val="42"/>
    <w:link w:val="18"/>
    <w:semiHidden/>
    <w:qFormat/>
    <w:uiPriority w:val="99"/>
    <w:rPr>
      <w:rFonts w:ascii="宋体" w:hAnsi="Times New Roman"/>
      <w:b/>
      <w:bCs/>
    </w:rPr>
  </w:style>
  <w:style w:type="table" w:customStyle="1" w:styleId="61">
    <w:name w:val="Table Normal"/>
    <w:semiHidden/>
    <w:unhideWhenUsed/>
    <w:qFormat/>
    <w:uiPriority w:val="0"/>
    <w:rPr>
      <w:rFonts w:ascii="Arial" w:hAnsi="Arial" w:cs="Arial"/>
    </w:rPr>
    <w:tblPr>
      <w:tblCellMar>
        <w:top w:w="0" w:type="dxa"/>
        <w:left w:w="0" w:type="dxa"/>
        <w:bottom w:w="0" w:type="dxa"/>
        <w:right w:w="0" w:type="dxa"/>
      </w:tblCellMar>
    </w:tblPr>
  </w:style>
  <w:style w:type="table" w:customStyle="1" w:styleId="62">
    <w:name w:val="Table Normal1"/>
    <w:semiHidden/>
    <w:unhideWhenUsed/>
    <w:qFormat/>
    <w:uiPriority w:val="0"/>
    <w:rPr>
      <w:rFonts w:ascii="Arial" w:hAnsi="Arial" w:cs="Arial"/>
    </w:rPr>
    <w:tblPr>
      <w:tblCellMar>
        <w:top w:w="0" w:type="dxa"/>
        <w:left w:w="0" w:type="dxa"/>
        <w:bottom w:w="0" w:type="dxa"/>
        <w:right w:w="0" w:type="dxa"/>
      </w:tblCellMar>
    </w:tblPr>
  </w:style>
  <w:style w:type="character" w:customStyle="1" w:styleId="63">
    <w:name w:val="新正一级标题 Char"/>
    <w:link w:val="40"/>
    <w:uiPriority w:val="0"/>
    <w:rPr>
      <w:rFonts w:hint="eastAsia" w:ascii="黑体" w:hAnsi="黑体" w:eastAsia="黑体" w:cs="黑体"/>
      <w:bCs/>
      <w:color w:val="auto"/>
      <w:sz w:val="32"/>
      <w:szCs w:val="32"/>
      <w:lang w:val="zh-CN" w:bidi="zh-CN"/>
    </w:rPr>
  </w:style>
  <w:style w:type="character" w:customStyle="1" w:styleId="64">
    <w:name w:val="新正正文 Char1"/>
    <w:link w:val="41"/>
    <w:uiPriority w:val="0"/>
    <w:rPr>
      <w:rFonts w:hint="eastAsia" w:ascii="方正仿宋_GB2312" w:hAnsi="方正仿宋_GB2312" w:eastAsia="方正仿宋_GB2312" w:cs="方正仿宋_GB2312"/>
      <w:color w:val="auto"/>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0AA05-EFD5-498F-B8E8-754FC3BEBC07}">
  <ds:schemaRefs/>
</ds:datastoreItem>
</file>

<file path=docProps/app.xml><?xml version="1.0" encoding="utf-8"?>
<Properties xmlns="http://schemas.openxmlformats.org/officeDocument/2006/extended-properties" xmlns:vt="http://schemas.openxmlformats.org/officeDocument/2006/docPropsVTypes">
  <Template>Normal.dotm</Template>
  <Company>Far123</Company>
  <Pages>21</Pages>
  <Words>6969</Words>
  <Characters>7939</Characters>
  <Lines>68</Lines>
  <Paragraphs>19</Paragraphs>
  <TotalTime>11</TotalTime>
  <ScaleCrop>false</ScaleCrop>
  <LinksUpToDate>false</LinksUpToDate>
  <CharactersWithSpaces>8094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2021-08-31T02:18:00Z</dcterms:created>
  <dc:creator>admin</dc:creator>
  <cp:lastModifiedBy>Xin12345</cp:lastModifiedBy>
  <cp:lastPrinted>2023-05-09T02:51:00Z</cp:lastPrinted>
  <dcterms:modified xsi:type="dcterms:W3CDTF">2023-08-17T07:49:11Z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8E3A4EEF111C4FD19C307001537481C1_13</vt:lpwstr>
  </property>
</Properties>
</file>