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sz w:val="36"/>
          <w:szCs w:val="44"/>
        </w:rPr>
      </w:pPr>
    </w:p>
    <w:p>
      <w:pPr>
        <w:pStyle w:val="2"/>
        <w:ind w:left="400" w:firstLine="723"/>
        <w:rPr>
          <w:rFonts w:hAnsi="宋体"/>
          <w:b/>
          <w:bCs/>
          <w:sz w:val="36"/>
          <w:szCs w:val="44"/>
        </w:rPr>
      </w:pPr>
    </w:p>
    <w:p/>
    <w:p>
      <w:pPr>
        <w:jc w:val="center"/>
        <w:textAlignment w:val="baseline"/>
        <w:rPr>
          <w:rFonts w:hAnsi="宋体"/>
          <w:b/>
          <w:bCs/>
          <w:sz w:val="36"/>
          <w:szCs w:val="44"/>
        </w:rPr>
      </w:pPr>
    </w:p>
    <w:p>
      <w:pPr>
        <w:jc w:val="center"/>
        <w:textAlignment w:val="baseline"/>
        <w:rPr>
          <w:rFonts w:hAnsi="宋体"/>
          <w:b/>
          <w:bCs/>
          <w:sz w:val="36"/>
          <w:szCs w:val="44"/>
        </w:rPr>
      </w:pPr>
      <w:r>
        <w:rPr>
          <w:sz w:val="36"/>
        </w:rPr>
        <mc:AlternateContent>
          <mc:Choice Requires="wps">
            <w:drawing>
              <wp:anchor distT="0" distB="0" distL="114300" distR="114300" simplePos="0" relativeHeight="251659264" behindDoc="0" locked="0" layoutInCell="1" allowOverlap="1">
                <wp:simplePos x="0" y="0"/>
                <wp:positionH relativeFrom="column">
                  <wp:posOffset>2275840</wp:posOffset>
                </wp:positionH>
                <wp:positionV relativeFrom="paragraph">
                  <wp:posOffset>277495</wp:posOffset>
                </wp:positionV>
                <wp:extent cx="3485515" cy="1194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85515" cy="1194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遵化市民政局2022年高龄老人津贴</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项</w:t>
                            </w:r>
                            <w:r>
                              <w:rPr>
                                <w:rFonts w:hint="eastAsia" w:ascii="方正小标宋简体" w:hAnsi="方正小标宋简体" w:eastAsia="方正小标宋简体" w:cs="方正小标宋简体"/>
                                <w:bCs/>
                                <w:sz w:val="32"/>
                                <w:szCs w:val="32"/>
                              </w:rPr>
                              <w:t>目绩效评价报告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 xml:space="preserve">）第 </w:t>
                            </w:r>
                            <w:r>
                              <w:rPr>
                                <w:rFonts w:hint="eastAsia" w:hAnsi="宋体" w:cs="宋体"/>
                                <w:b/>
                                <w:bCs/>
                                <w:sz w:val="24"/>
                                <w:szCs w:val="24"/>
                                <w:highlight w:val="none"/>
                                <w:lang w:val="en-US" w:eastAsia="zh-CN"/>
                              </w:rPr>
                              <w:t>1143</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2pt;margin-top:21.85pt;height:94.05pt;width:274.45pt;z-index:251659264;mso-width-relative:page;mso-height-relative:page;" filled="f" stroked="f" coordsize="21600,21600" o:gfxdata="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3IBHcAAAACgEAAA8AAAAAAAAAAQAgAAAAIgAA&#10;AGRycy9kb3ducmV2LnhtbFBLAQIUABQAAAAIAIdO4kAqItDqPQIAAGcEAAAOAAAAAAAAAAEAIAAA&#10;ACsBAABkcnMvZTJvRG9jLnhtbFBLBQYAAAAABgAGAFkBAADaBQAAAAA=&#10;">
                <v:fill on="f" focussize="0,0"/>
                <v:stroke on="f" weight="0.5pt"/>
                <v:imagedata o:title=""/>
                <o:lock v:ext="edit" aspectratio="f"/>
                <v:textbo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遵化市民政局2022年高龄老人津贴</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项</w:t>
                      </w:r>
                      <w:r>
                        <w:rPr>
                          <w:rFonts w:hint="eastAsia" w:ascii="方正小标宋简体" w:hAnsi="方正小标宋简体" w:eastAsia="方正小标宋简体" w:cs="方正小标宋简体"/>
                          <w:bCs/>
                          <w:sz w:val="32"/>
                          <w:szCs w:val="32"/>
                        </w:rPr>
                        <w:t>目绩效评价报告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 xml:space="preserve">）第 </w:t>
                      </w:r>
                      <w:r>
                        <w:rPr>
                          <w:rFonts w:hint="eastAsia" w:hAnsi="宋体" w:cs="宋体"/>
                          <w:b/>
                          <w:bCs/>
                          <w:sz w:val="24"/>
                          <w:szCs w:val="24"/>
                          <w:highlight w:val="none"/>
                          <w:lang w:val="en-US" w:eastAsia="zh-CN"/>
                        </w:rPr>
                        <w:t>1143</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rPr>
                      </w:pPr>
                    </w:p>
                    <w:p/>
                  </w:txbxContent>
                </v:textbox>
              </v:shape>
            </w:pict>
          </mc:Fallback>
        </mc:AlternateContent>
      </w:r>
    </w:p>
    <w:p>
      <w:pPr>
        <w:jc w:val="center"/>
        <w:textAlignment w:val="baseline"/>
        <w:rPr>
          <w:rFonts w:hAnsi="宋体"/>
          <w:b/>
          <w:bCs/>
          <w:sz w:val="24"/>
          <w:szCs w:val="24"/>
        </w:rPr>
      </w:pPr>
    </w:p>
    <w:p>
      <w:pPr>
        <w:jc w:val="center"/>
        <w:textAlignment w:val="baseline"/>
        <w:rPr>
          <w:rFonts w:hAnsi="宋体"/>
          <w:b/>
          <w:bCs/>
          <w:sz w:val="24"/>
          <w:szCs w:val="24"/>
        </w:rPr>
      </w:pPr>
    </w:p>
    <w:p>
      <w:pPr>
        <w:jc w:val="center"/>
        <w:rPr>
          <w:rFonts w:asciiTheme="majorEastAsia" w:hAnsiTheme="majorEastAsia" w:eastAsiaTheme="majorEastAsia"/>
          <w:b/>
          <w:sz w:val="32"/>
          <w:szCs w:val="32"/>
        </w:rPr>
      </w:pPr>
    </w:p>
    <w:p>
      <w:pPr>
        <w:spacing w:line="660" w:lineRule="exact"/>
        <w:ind w:firstLine="883" w:firstLineChars="200"/>
        <w:rPr>
          <w:rFonts w:ascii="新宋体" w:hAnsi="新宋体" w:eastAsia="新宋体" w:cs="黑体"/>
          <w:b/>
          <w:sz w:val="44"/>
          <w:szCs w:val="44"/>
        </w:rPr>
      </w:pPr>
    </w:p>
    <w:p>
      <w:pPr>
        <w:textAlignment w:val="baseline"/>
        <w:rPr>
          <w:rFonts w:ascii="Times New Roman" w:eastAsia="黑体"/>
          <w:b/>
          <w:szCs w:val="32"/>
        </w:rPr>
      </w:pPr>
    </w:p>
    <w:p>
      <w:pPr>
        <w:textAlignment w:val="baseline"/>
        <w:rPr>
          <w:rFonts w:hAnsi="宋体"/>
          <w:szCs w:val="32"/>
        </w:rPr>
      </w:pPr>
    </w:p>
    <w:p>
      <w:pPr>
        <w:textAlignment w:val="baseline"/>
        <w:rPr>
          <w:rFonts w:hAnsi="宋体"/>
          <w:szCs w:val="32"/>
        </w:rPr>
      </w:pPr>
    </w:p>
    <w:p>
      <w:pPr>
        <w:textAlignment w:val="baseline"/>
        <w:rPr>
          <w:rFonts w:hAnsi="宋体"/>
          <w:szCs w:val="32"/>
        </w:rPr>
      </w:pPr>
    </w:p>
    <w:p>
      <w:pPr>
        <w:spacing w:line="276" w:lineRule="auto"/>
        <w:textAlignment w:val="baseline"/>
        <w:rPr>
          <w:rFonts w:ascii="仿宋" w:hAnsi="仿宋" w:eastAsia="仿宋"/>
          <w:sz w:val="32"/>
          <w:szCs w:val="32"/>
        </w:rPr>
      </w:pPr>
    </w:p>
    <w:p>
      <w:pPr>
        <w:spacing w:line="276" w:lineRule="auto"/>
        <w:textAlignment w:val="baseline"/>
        <w:rPr>
          <w:rFonts w:ascii="仿宋" w:hAnsi="仿宋" w:eastAsia="仿宋"/>
          <w:sz w:val="32"/>
          <w:szCs w:val="32"/>
        </w:rPr>
      </w:pPr>
    </w:p>
    <w:p>
      <w:pPr>
        <w:spacing w:line="276" w:lineRule="auto"/>
        <w:textAlignment w:val="baseline"/>
        <w:rPr>
          <w:rFonts w:ascii="仿宋" w:hAnsi="仿宋" w:eastAsia="仿宋"/>
          <w:sz w:val="32"/>
          <w:szCs w:val="32"/>
        </w:rPr>
      </w:pPr>
    </w:p>
    <w:p>
      <w:pPr>
        <w:spacing w:line="276" w:lineRule="auto"/>
        <w:textAlignment w:val="baseline"/>
        <w:rPr>
          <w:rFonts w:ascii="仿宋" w:hAnsi="仿宋" w:eastAsia="仿宋"/>
          <w:sz w:val="32"/>
          <w:szCs w:val="32"/>
        </w:rPr>
      </w:pPr>
    </w:p>
    <w:p>
      <w:pPr>
        <w:spacing w:line="360" w:lineRule="auto"/>
        <w:textAlignment w:val="baseline"/>
        <w:rPr>
          <w:rFonts w:hint="default" w:ascii="仿宋" w:hAnsi="仿宋" w:eastAsia="仿宋"/>
          <w:sz w:val="30"/>
          <w:szCs w:val="30"/>
          <w:lang w:val="en-US"/>
        </w:rPr>
      </w:pPr>
      <w:r>
        <w:rPr>
          <w:rFonts w:hint="eastAsia" w:ascii="仿宋" w:hAnsi="仿宋" w:eastAsia="仿宋"/>
          <w:b/>
          <w:bCs/>
          <w:sz w:val="30"/>
          <w:szCs w:val="30"/>
        </w:rPr>
        <w:t>委 托 方：</w:t>
      </w:r>
      <w:r>
        <w:rPr>
          <w:rFonts w:hint="eastAsia" w:ascii="仿宋" w:hAnsi="仿宋" w:eastAsia="仿宋"/>
          <w:sz w:val="30"/>
          <w:szCs w:val="30"/>
          <w:lang w:val="en-US" w:eastAsia="zh-CN"/>
        </w:rPr>
        <w:t>遵化市财政局</w:t>
      </w:r>
    </w:p>
    <w:p>
      <w:pPr>
        <w:spacing w:line="360" w:lineRule="auto"/>
        <w:textAlignment w:val="baseline"/>
        <w:rPr>
          <w:rFonts w:hint="eastAsia" w:ascii="仿宋" w:hAnsi="仿宋" w:eastAsia="仿宋"/>
          <w:sz w:val="30"/>
          <w:szCs w:val="30"/>
        </w:rPr>
      </w:pPr>
      <w:r>
        <w:rPr>
          <w:rFonts w:hint="eastAsia" w:ascii="仿宋" w:hAnsi="仿宋" w:eastAsia="仿宋"/>
          <w:b/>
          <w:bCs/>
          <w:sz w:val="30"/>
          <w:szCs w:val="30"/>
        </w:rPr>
        <w:t>项目名称：</w:t>
      </w:r>
      <w:r>
        <w:rPr>
          <w:rFonts w:hint="eastAsia" w:ascii="仿宋" w:hAnsi="仿宋" w:eastAsia="仿宋"/>
          <w:sz w:val="30"/>
          <w:szCs w:val="30"/>
        </w:rPr>
        <w:t>2022年高龄老人津贴</w:t>
      </w:r>
    </w:p>
    <w:p>
      <w:pPr>
        <w:spacing w:line="360" w:lineRule="auto"/>
        <w:textAlignment w:val="baseline"/>
        <w:rPr>
          <w:rFonts w:hint="eastAsia" w:ascii="仿宋" w:hAnsi="仿宋" w:eastAsia="仿宋"/>
          <w:sz w:val="30"/>
          <w:szCs w:val="30"/>
          <w:lang w:val="en-US" w:eastAsia="zh-CN"/>
        </w:rPr>
      </w:pPr>
      <w:r>
        <w:rPr>
          <w:rFonts w:hint="eastAsia" w:ascii="仿宋" w:hAnsi="仿宋" w:eastAsia="仿宋"/>
          <w:b/>
          <w:bCs/>
          <w:sz w:val="30"/>
          <w:szCs w:val="30"/>
        </w:rPr>
        <w:t>项目单位：</w:t>
      </w:r>
      <w:r>
        <w:rPr>
          <w:rFonts w:hint="eastAsia" w:ascii="仿宋" w:hAnsi="仿宋" w:eastAsia="仿宋"/>
          <w:sz w:val="30"/>
          <w:szCs w:val="30"/>
          <w:lang w:val="en-US" w:eastAsia="zh-CN"/>
        </w:rPr>
        <w:t>遵化市民政局</w:t>
      </w:r>
    </w:p>
    <w:p>
      <w:pPr>
        <w:spacing w:line="360" w:lineRule="auto"/>
        <w:textAlignment w:val="baseline"/>
        <w:rPr>
          <w:rFonts w:ascii="仿宋" w:hAnsi="仿宋" w:eastAsia="仿宋"/>
          <w:sz w:val="30"/>
          <w:szCs w:val="30"/>
        </w:rPr>
      </w:pPr>
      <w:r>
        <w:rPr>
          <w:rFonts w:hint="eastAsia" w:ascii="仿宋" w:hAnsi="仿宋" w:eastAsia="仿宋"/>
          <w:b/>
          <w:bCs/>
          <w:sz w:val="30"/>
          <w:szCs w:val="30"/>
        </w:rPr>
        <w:t>评价机构：</w:t>
      </w:r>
      <w:r>
        <w:rPr>
          <w:rFonts w:hint="eastAsia" w:ascii="仿宋" w:hAnsi="仿宋" w:eastAsia="仿宋"/>
          <w:sz w:val="30"/>
          <w:szCs w:val="30"/>
        </w:rPr>
        <w:t>唐山市新正会计师事务所（普通合伙）</w:t>
      </w:r>
    </w:p>
    <w:p>
      <w:pPr>
        <w:spacing w:line="360" w:lineRule="auto"/>
        <w:rPr>
          <w:rFonts w:ascii="仿宋" w:hAnsi="仿宋" w:eastAsia="仿宋" w:cs="仿宋"/>
          <w:sz w:val="30"/>
          <w:szCs w:val="30"/>
        </w:rPr>
      </w:pPr>
      <w:r>
        <w:rPr>
          <w:rFonts w:hint="eastAsia" w:ascii="仿宋" w:hAnsi="仿宋" w:eastAsia="仿宋"/>
          <w:b/>
          <w:bCs/>
          <w:sz w:val="30"/>
          <w:szCs w:val="30"/>
        </w:rPr>
        <w:t>报告</w:t>
      </w:r>
      <w:r>
        <w:rPr>
          <w:rFonts w:hint="eastAsia" w:ascii="仿宋" w:hAnsi="仿宋" w:eastAsia="仿宋"/>
          <w:b/>
          <w:bCs/>
          <w:sz w:val="30"/>
          <w:szCs w:val="30"/>
          <w:highlight w:val="none"/>
        </w:rPr>
        <w:t>日期：</w:t>
      </w:r>
      <w:r>
        <w:rPr>
          <w:rFonts w:hint="eastAsia" w:ascii="仿宋" w:hAnsi="仿宋" w:eastAsia="仿宋" w:cs="仿宋"/>
          <w:sz w:val="30"/>
          <w:szCs w:val="30"/>
          <w:highlight w:val="none"/>
        </w:rPr>
        <w:t>二〇二三年</w:t>
      </w:r>
      <w:r>
        <w:rPr>
          <w:rFonts w:hint="eastAsia" w:ascii="仿宋" w:hAnsi="仿宋" w:eastAsia="仿宋" w:cs="仿宋"/>
          <w:sz w:val="30"/>
          <w:szCs w:val="30"/>
          <w:highlight w:val="none"/>
          <w:lang w:val="en-US" w:eastAsia="zh-CN"/>
        </w:rPr>
        <w:t>七</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三十一</w:t>
      </w:r>
      <w:r>
        <w:rPr>
          <w:rFonts w:hint="eastAsia" w:ascii="仿宋" w:hAnsi="仿宋" w:eastAsia="仿宋" w:cs="仿宋"/>
          <w:sz w:val="30"/>
          <w:szCs w:val="30"/>
          <w:highlight w:val="none"/>
        </w:rPr>
        <w:t>日</w:t>
      </w:r>
      <w:r>
        <w:rPr>
          <w:rFonts w:ascii="仿宋" w:hAnsi="仿宋" w:eastAsia="仿宋" w:cs="仿宋"/>
          <w:sz w:val="30"/>
          <w:szCs w:val="30"/>
        </w:rPr>
        <w:br w:type="page"/>
      </w:r>
    </w:p>
    <w:p>
      <w:pPr>
        <w:pStyle w:val="27"/>
        <w:bidi w:val="0"/>
        <w:rPr>
          <w:rFonts w:hint="eastAsia"/>
          <w:lang w:val="en-US" w:eastAsia="zh-CN"/>
        </w:rPr>
      </w:pPr>
      <w:r>
        <w:rPr>
          <w:rFonts w:hint="eastAsia"/>
          <w:lang w:val="en-US" w:eastAsia="zh-CN"/>
        </w:rPr>
        <w:t>遵化市民政局2022年高龄老人津贴项目</w:t>
      </w:r>
    </w:p>
    <w:p>
      <w:pPr>
        <w:pStyle w:val="27"/>
        <w:bidi w:val="0"/>
      </w:pPr>
      <w:r>
        <w:rPr>
          <w:rFonts w:hint="eastAsia"/>
        </w:rPr>
        <w:t>绩效评价报告</w:t>
      </w:r>
    </w:p>
    <w:p>
      <w:pPr>
        <w:spacing w:line="360" w:lineRule="auto"/>
        <w:textAlignment w:val="baseline"/>
        <w:rPr>
          <w:rFonts w:hint="eastAsia" w:ascii="仿宋" w:hAnsi="仿宋" w:eastAsia="仿宋" w:cs="仿宋_GB2312"/>
          <w:b/>
          <w:sz w:val="30"/>
          <w:szCs w:val="30"/>
          <w:lang w:val="en-US" w:eastAsia="zh-CN"/>
        </w:rPr>
      </w:pPr>
      <w:bookmarkStart w:id="0" w:name="_Toc29302675"/>
    </w:p>
    <w:p>
      <w:pPr>
        <w:spacing w:line="360" w:lineRule="auto"/>
        <w:textAlignment w:val="baseline"/>
        <w:rPr>
          <w:rFonts w:ascii="仿宋" w:hAnsi="仿宋" w:eastAsia="仿宋" w:cs="仿宋_GB2312"/>
          <w:b/>
          <w:sz w:val="30"/>
          <w:szCs w:val="30"/>
        </w:rPr>
      </w:pPr>
      <w:r>
        <w:rPr>
          <w:rFonts w:hint="eastAsia" w:ascii="仿宋" w:hAnsi="仿宋" w:eastAsia="仿宋" w:cs="仿宋_GB2312"/>
          <w:b/>
          <w:sz w:val="30"/>
          <w:szCs w:val="30"/>
          <w:lang w:val="en-US" w:eastAsia="zh-CN"/>
        </w:rPr>
        <w:t>遵化市财</w:t>
      </w:r>
      <w:r>
        <w:rPr>
          <w:rFonts w:hint="eastAsia" w:ascii="仿宋" w:hAnsi="仿宋" w:eastAsia="仿宋" w:cs="仿宋_GB2312"/>
          <w:b/>
          <w:sz w:val="30"/>
          <w:szCs w:val="30"/>
        </w:rPr>
        <w:t>政局：</w:t>
      </w:r>
      <w:bookmarkEnd w:id="0"/>
    </w:p>
    <w:p>
      <w:pPr>
        <w:pStyle w:val="30"/>
        <w:bidi w:val="0"/>
        <w:rPr>
          <w:lang w:val="zh-CN"/>
        </w:rPr>
      </w:pPr>
      <w:r>
        <w:rPr>
          <w:rFonts w:hint="eastAsia"/>
          <w:lang w:val="zh-CN"/>
        </w:rPr>
        <w:t>为了解遵化市民政局2022年高龄老人津贴项目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民政局2022年高龄老人津贴项目进行绩效评价。在绩效评价过程中，我们结合项目的实际情况，实施了包括询问查证、实地查看等我们认为必要的程序。经评价，该项目综合绩效评价得分</w:t>
      </w:r>
      <w:r>
        <w:rPr>
          <w:rFonts w:hint="eastAsia"/>
          <w:lang w:val="en-US"/>
        </w:rPr>
        <w:t>82.5</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sz w:val="30"/>
          <w:szCs w:val="30"/>
          <w:lang w:val="zh-CN" w:bidi="zh-CN"/>
        </w:rPr>
      </w:pPr>
    </w:p>
    <w:p>
      <w:pPr>
        <w:rPr>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kern w:val="2"/>
                <w:sz w:val="30"/>
                <w:szCs w:val="30"/>
              </w:rPr>
            </w:pPr>
            <w:r>
              <w:rPr>
                <w:rFonts w:hint="eastAsia" w:ascii="仿宋" w:hAnsi="仿宋" w:eastAsia="仿宋" w:cs="仿宋"/>
                <w:b/>
                <w:kern w:val="2"/>
                <w:sz w:val="30"/>
                <w:szCs w:val="30"/>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kern w:val="2"/>
                <w:sz w:val="30"/>
                <w:szCs w:val="30"/>
              </w:rPr>
            </w:pPr>
            <w:r>
              <w:rPr>
                <w:rFonts w:hint="eastAsia" w:ascii="仿宋" w:hAnsi="仿宋" w:eastAsia="仿宋" w:cs="仿宋"/>
                <w:b/>
                <w:kern w:val="2"/>
                <w:sz w:val="30"/>
                <w:szCs w:val="30"/>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kern w:val="2"/>
                <w:sz w:val="30"/>
                <w:szCs w:val="30"/>
              </w:rPr>
            </w:pPr>
            <w:r>
              <w:rPr>
                <w:rFonts w:hint="eastAsia" w:ascii="仿宋" w:hAnsi="仿宋" w:eastAsia="仿宋" w:cs="仿宋"/>
                <w:b/>
                <w:sz w:val="30"/>
                <w:szCs w:val="30"/>
              </w:rPr>
              <w:t xml:space="preserve">               </w:t>
            </w:r>
            <w:r>
              <w:rPr>
                <w:rFonts w:hint="eastAsia" w:ascii="仿宋" w:hAnsi="仿宋" w:eastAsia="仿宋" w:cs="仿宋"/>
                <w:b/>
                <w:sz w:val="30"/>
                <w:szCs w:val="30"/>
                <w:highlight w:val="none"/>
              </w:rPr>
              <w:t xml:space="preserve">      二〇二三年</w:t>
            </w:r>
            <w:r>
              <w:rPr>
                <w:rFonts w:hint="eastAsia" w:ascii="仿宋" w:hAnsi="仿宋" w:eastAsia="仿宋" w:cs="仿宋"/>
                <w:b/>
                <w:sz w:val="30"/>
                <w:szCs w:val="30"/>
                <w:highlight w:val="none"/>
                <w:lang w:val="en-US" w:eastAsia="zh-CN"/>
              </w:rPr>
              <w:t>七</w:t>
            </w:r>
            <w:r>
              <w:rPr>
                <w:rFonts w:hint="eastAsia" w:ascii="仿宋" w:hAnsi="仿宋" w:eastAsia="仿宋" w:cs="仿宋"/>
                <w:b/>
                <w:sz w:val="30"/>
                <w:szCs w:val="30"/>
                <w:highlight w:val="none"/>
              </w:rPr>
              <w:t>月</w:t>
            </w:r>
            <w:r>
              <w:rPr>
                <w:rFonts w:hint="eastAsia" w:ascii="仿宋" w:hAnsi="仿宋" w:eastAsia="仿宋" w:cs="仿宋"/>
                <w:b/>
                <w:sz w:val="30"/>
                <w:szCs w:val="30"/>
                <w:highlight w:val="none"/>
                <w:lang w:val="en-US" w:eastAsia="zh-CN"/>
              </w:rPr>
              <w:t>三十一</w:t>
            </w:r>
            <w:r>
              <w:rPr>
                <w:rFonts w:hint="eastAsia" w:ascii="仿宋" w:hAnsi="仿宋" w:eastAsia="仿宋" w:cs="仿宋"/>
                <w:b/>
                <w:sz w:val="30"/>
                <w:szCs w:val="30"/>
                <w:highlight w:val="none"/>
              </w:rPr>
              <w:t>日</w:t>
            </w:r>
          </w:p>
        </w:tc>
      </w:tr>
    </w:tbl>
    <w:p>
      <w:pPr>
        <w:spacing w:after="48" w:afterLines="20" w:line="520" w:lineRule="exact"/>
        <w:textAlignment w:val="baseline"/>
        <w:rPr>
          <w:rFonts w:hint="eastAsia" w:ascii="方正小标宋简体" w:hAnsi="方正小标宋简体" w:eastAsia="方正小标宋简体" w:cs="方正小标宋简体"/>
          <w:bCs/>
          <w:sz w:val="44"/>
          <w:szCs w:val="44"/>
          <w:lang w:eastAsia="zh-CN"/>
        </w:rPr>
      </w:pPr>
      <w:r>
        <w:rPr>
          <w:rFonts w:ascii="仿宋" w:hAnsi="仿宋" w:eastAsia="仿宋" w:cs="仿宋"/>
          <w:sz w:val="30"/>
          <w:szCs w:val="30"/>
        </w:rPr>
        <w:br w:type="page"/>
      </w:r>
    </w:p>
    <w:sdt>
      <w:sdtPr>
        <w:rPr>
          <w:rFonts w:hint="eastAsia" w:ascii="方正小标宋简体" w:hAnsi="方正小标宋简体" w:eastAsia="方正小标宋简体" w:cs="方正小标宋简体"/>
          <w:bCs/>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sz w:val="32"/>
          <w:szCs w:val="32"/>
        </w:rPr>
      </w:sdtEndPr>
      <w:sdtContent>
        <w:sdt>
          <w:sdtPr>
            <w:rPr>
              <w:rFonts w:hint="eastAsia" w:ascii="方正小标宋简体" w:hAnsi="方正小标宋简体" w:eastAsia="方正小标宋简体" w:cs="方正小标宋简体"/>
              <w:bCs/>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sz w:val="32"/>
              <w:szCs w:val="32"/>
            </w:rPr>
          </w:sdtEndPr>
          <w:sdtContent>
            <w:p>
              <w:pPr>
                <w:tabs>
                  <w:tab w:val="center" w:pos="4482"/>
                  <w:tab w:val="left" w:pos="6403"/>
                </w:tabs>
                <w:spacing w:after="48" w:afterLines="20" w:line="520" w:lineRule="exact"/>
                <w:jc w:val="center"/>
                <w:rPr>
                  <w:b/>
                  <w:bCs/>
                  <w:sz w:val="44"/>
                  <w:szCs w:val="44"/>
                </w:rPr>
              </w:pPr>
              <w:r>
                <w:rPr>
                  <w:rFonts w:hint="eastAsia" w:ascii="方正小标宋简体" w:hAnsi="方正小标宋简体" w:eastAsia="方正小标宋简体" w:cs="方正小标宋简体"/>
                  <w:bCs/>
                  <w:sz w:val="44"/>
                  <w:szCs w:val="44"/>
                </w:rPr>
                <w:t>目    录</w:t>
              </w:r>
            </w:p>
            <w:p>
              <w:pPr>
                <w:pStyle w:val="15"/>
                <w:tabs>
                  <w:tab w:val="right" w:leader="dot" w:pos="8845"/>
                </w:tabs>
                <w:rPr>
                  <w:sz w:val="28"/>
                  <w:szCs w:val="28"/>
                </w:rPr>
              </w:pPr>
              <w:r>
                <w:rPr>
                  <w:rFonts w:hAnsi="宋体"/>
                  <w:b/>
                  <w:bCs/>
                  <w:sz w:val="28"/>
                  <w:szCs w:val="28"/>
                </w:rPr>
                <w:fldChar w:fldCharType="begin"/>
              </w:r>
              <w:r>
                <w:rPr>
                  <w:rFonts w:hAnsi="宋体"/>
                  <w:b/>
                  <w:bCs/>
                  <w:sz w:val="28"/>
                  <w:szCs w:val="28"/>
                </w:rPr>
                <w:instrText xml:space="preserve">TOC \o "1-2" \h \u </w:instrText>
              </w:r>
              <w:r>
                <w:rPr>
                  <w:rFonts w:hAnsi="宋体"/>
                  <w:b/>
                  <w:bCs/>
                  <w:sz w:val="28"/>
                  <w:szCs w:val="28"/>
                </w:rPr>
                <w:fldChar w:fldCharType="separate"/>
              </w:r>
              <w:r>
                <w:rPr>
                  <w:rFonts w:hAnsi="宋体"/>
                  <w:bCs/>
                  <w:sz w:val="28"/>
                  <w:szCs w:val="28"/>
                </w:rPr>
                <w:fldChar w:fldCharType="begin"/>
              </w:r>
              <w:r>
                <w:rPr>
                  <w:rFonts w:hAnsi="宋体"/>
                  <w:bCs/>
                  <w:sz w:val="28"/>
                  <w:szCs w:val="28"/>
                </w:rPr>
                <w:instrText xml:space="preserve"> HYPERLINK \l _Toc21063 </w:instrText>
              </w:r>
              <w:r>
                <w:rPr>
                  <w:rFonts w:hAnsi="宋体"/>
                  <w:bCs/>
                  <w:sz w:val="28"/>
                  <w:szCs w:val="28"/>
                </w:rPr>
                <w:fldChar w:fldCharType="separate"/>
              </w:r>
              <w:r>
                <w:rPr>
                  <w:rFonts w:hint="eastAsia" w:ascii="黑体" w:hAnsi="黑体" w:eastAsia="黑体" w:cs="黑体"/>
                  <w:bCs/>
                  <w:sz w:val="28"/>
                  <w:szCs w:val="28"/>
                </w:rPr>
                <w:t>一、项目基本情况</w:t>
              </w:r>
              <w:r>
                <w:rPr>
                  <w:sz w:val="28"/>
                  <w:szCs w:val="28"/>
                </w:rPr>
                <w:tab/>
              </w:r>
              <w:r>
                <w:rPr>
                  <w:sz w:val="28"/>
                  <w:szCs w:val="28"/>
                </w:rPr>
                <w:fldChar w:fldCharType="begin"/>
              </w:r>
              <w:r>
                <w:rPr>
                  <w:sz w:val="28"/>
                  <w:szCs w:val="28"/>
                </w:rPr>
                <w:instrText xml:space="preserve"> PAGEREF _Toc21063 \h </w:instrText>
              </w:r>
              <w:r>
                <w:rPr>
                  <w:sz w:val="28"/>
                  <w:szCs w:val="28"/>
                </w:rPr>
                <w:fldChar w:fldCharType="separate"/>
              </w:r>
              <w:r>
                <w:rPr>
                  <w:sz w:val="28"/>
                  <w:szCs w:val="28"/>
                </w:rPr>
                <w:t>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_Toc16294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_Toc16294 \h </w:instrText>
              </w:r>
              <w:r>
                <w:rPr>
                  <w:sz w:val="28"/>
                  <w:szCs w:val="28"/>
                </w:rPr>
                <w:fldChar w:fldCharType="separate"/>
              </w:r>
              <w:r>
                <w:rPr>
                  <w:sz w:val="28"/>
                  <w:szCs w:val="28"/>
                </w:rPr>
                <w:t>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_Toc10631 </w:instrText>
              </w:r>
              <w:r>
                <w:rPr>
                  <w:rFonts w:hAnsi="宋体"/>
                  <w:bCs/>
                  <w:sz w:val="28"/>
                  <w:szCs w:val="28"/>
                </w:rPr>
                <w:fldChar w:fldCharType="separate"/>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rPr>
                <w:t>项目绩效目标</w:t>
              </w:r>
              <w:r>
                <w:rPr>
                  <w:sz w:val="28"/>
                  <w:szCs w:val="28"/>
                </w:rPr>
                <w:tab/>
              </w:r>
              <w:r>
                <w:rPr>
                  <w:sz w:val="28"/>
                  <w:szCs w:val="28"/>
                </w:rPr>
                <w:fldChar w:fldCharType="begin"/>
              </w:r>
              <w:r>
                <w:rPr>
                  <w:sz w:val="28"/>
                  <w:szCs w:val="28"/>
                </w:rPr>
                <w:instrText xml:space="preserve"> PAGEREF _Toc10631 \h </w:instrText>
              </w:r>
              <w:r>
                <w:rPr>
                  <w:sz w:val="28"/>
                  <w:szCs w:val="28"/>
                </w:rPr>
                <w:fldChar w:fldCharType="separate"/>
              </w:r>
              <w:r>
                <w:rPr>
                  <w:sz w:val="28"/>
                  <w:szCs w:val="28"/>
                </w:rPr>
                <w:t>1</w:t>
              </w:r>
              <w:r>
                <w:rPr>
                  <w:sz w:val="28"/>
                  <w:szCs w:val="28"/>
                </w:rPr>
                <w:fldChar w:fldCharType="end"/>
              </w:r>
              <w:r>
                <w:rPr>
                  <w:rFonts w:hAnsi="宋体"/>
                  <w:bCs/>
                  <w:sz w:val="28"/>
                  <w:szCs w:val="28"/>
                </w:rPr>
                <w:fldChar w:fldCharType="end"/>
              </w:r>
            </w:p>
            <w:p>
              <w:pPr>
                <w:pStyle w:val="15"/>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_Toc3224 </w:instrText>
              </w:r>
              <w:r>
                <w:rPr>
                  <w:rFonts w:hAnsi="宋体"/>
                  <w:bCs/>
                  <w:sz w:val="28"/>
                  <w:szCs w:val="28"/>
                </w:rPr>
                <w:fldChar w:fldCharType="separate"/>
              </w:r>
              <w:r>
                <w:rPr>
                  <w:rFonts w:hint="eastAsia" w:ascii="黑体" w:hAnsi="黑体" w:eastAsia="黑体" w:cs="黑体"/>
                  <w:bCs/>
                  <w:sz w:val="28"/>
                  <w:szCs w:val="28"/>
                </w:rPr>
                <w:t>二、项目实施情况</w:t>
              </w:r>
              <w:r>
                <w:rPr>
                  <w:sz w:val="28"/>
                  <w:szCs w:val="28"/>
                </w:rPr>
                <w:tab/>
              </w:r>
              <w:r>
                <w:rPr>
                  <w:sz w:val="28"/>
                  <w:szCs w:val="28"/>
                </w:rPr>
                <w:fldChar w:fldCharType="begin"/>
              </w:r>
              <w:r>
                <w:rPr>
                  <w:sz w:val="28"/>
                  <w:szCs w:val="28"/>
                </w:rPr>
                <w:instrText xml:space="preserve"> PAGEREF _Toc3224 \h </w:instrText>
              </w:r>
              <w:r>
                <w:rPr>
                  <w:sz w:val="28"/>
                  <w:szCs w:val="28"/>
                </w:rPr>
                <w:fldChar w:fldCharType="separate"/>
              </w:r>
              <w:r>
                <w:rPr>
                  <w:sz w:val="28"/>
                  <w:szCs w:val="28"/>
                </w:rPr>
                <w:t>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_Toc7476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_Toc7476 \h </w:instrText>
              </w:r>
              <w:r>
                <w:rPr>
                  <w:sz w:val="28"/>
                  <w:szCs w:val="28"/>
                </w:rPr>
                <w:fldChar w:fldCharType="separate"/>
              </w:r>
              <w:r>
                <w:rPr>
                  <w:sz w:val="28"/>
                  <w:szCs w:val="28"/>
                </w:rPr>
                <w:t>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_Toc10793 </w:instrText>
              </w:r>
              <w:r>
                <w:rPr>
                  <w:rFonts w:hAnsi="宋体"/>
                  <w:bCs/>
                  <w:sz w:val="28"/>
                  <w:szCs w:val="28"/>
                </w:rPr>
                <w:fldChar w:fldCharType="separate"/>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rPr>
                <w:t>项目组织实施管理情况</w:t>
              </w:r>
              <w:r>
                <w:rPr>
                  <w:sz w:val="28"/>
                  <w:szCs w:val="28"/>
                </w:rPr>
                <w:tab/>
              </w:r>
              <w:r>
                <w:rPr>
                  <w:sz w:val="28"/>
                  <w:szCs w:val="28"/>
                </w:rPr>
                <w:fldChar w:fldCharType="begin"/>
              </w:r>
              <w:r>
                <w:rPr>
                  <w:sz w:val="28"/>
                  <w:szCs w:val="28"/>
                </w:rPr>
                <w:instrText xml:space="preserve"> PAGEREF _Toc10793 \h </w:instrText>
              </w:r>
              <w:r>
                <w:rPr>
                  <w:sz w:val="28"/>
                  <w:szCs w:val="28"/>
                </w:rPr>
                <w:fldChar w:fldCharType="separate"/>
              </w:r>
              <w:r>
                <w:rPr>
                  <w:sz w:val="28"/>
                  <w:szCs w:val="28"/>
                </w:rPr>
                <w:t>4</w:t>
              </w:r>
              <w:r>
                <w:rPr>
                  <w:sz w:val="28"/>
                  <w:szCs w:val="28"/>
                </w:rPr>
                <w:fldChar w:fldCharType="end"/>
              </w:r>
              <w:r>
                <w:rPr>
                  <w:rFonts w:hAnsi="宋体"/>
                  <w:bCs/>
                  <w:sz w:val="28"/>
                  <w:szCs w:val="28"/>
                </w:rPr>
                <w:fldChar w:fldCharType="end"/>
              </w:r>
            </w:p>
            <w:p>
              <w:pPr>
                <w:pStyle w:val="15"/>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_Toc16992 </w:instrText>
              </w:r>
              <w:r>
                <w:rPr>
                  <w:rFonts w:hAnsi="宋体"/>
                  <w:bCs/>
                  <w:sz w:val="28"/>
                  <w:szCs w:val="28"/>
                </w:rPr>
                <w:fldChar w:fldCharType="separate"/>
              </w:r>
              <w:r>
                <w:rPr>
                  <w:rFonts w:hint="eastAsia" w:ascii="黑体" w:hAnsi="黑体" w:eastAsia="黑体" w:cs="黑体"/>
                  <w:bCs/>
                  <w:sz w:val="28"/>
                  <w:szCs w:val="28"/>
                </w:rPr>
                <w:t>三、绩效评价工作情况</w:t>
              </w:r>
              <w:r>
                <w:rPr>
                  <w:sz w:val="28"/>
                  <w:szCs w:val="28"/>
                </w:rPr>
                <w:tab/>
              </w:r>
              <w:r>
                <w:rPr>
                  <w:sz w:val="28"/>
                  <w:szCs w:val="28"/>
                </w:rPr>
                <w:fldChar w:fldCharType="begin"/>
              </w:r>
              <w:r>
                <w:rPr>
                  <w:sz w:val="28"/>
                  <w:szCs w:val="28"/>
                </w:rPr>
                <w:instrText xml:space="preserve"> PAGEREF _Toc16992 \h </w:instrText>
              </w:r>
              <w:r>
                <w:rPr>
                  <w:sz w:val="28"/>
                  <w:szCs w:val="28"/>
                </w:rPr>
                <w:fldChar w:fldCharType="separate"/>
              </w:r>
              <w:r>
                <w:rPr>
                  <w:sz w:val="28"/>
                  <w:szCs w:val="28"/>
                </w:rPr>
                <w:t>4</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_Toc2597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_Toc2597 \h </w:instrText>
              </w:r>
              <w:r>
                <w:rPr>
                  <w:sz w:val="28"/>
                  <w:szCs w:val="28"/>
                </w:rPr>
                <w:fldChar w:fldCharType="separate"/>
              </w:r>
              <w:r>
                <w:rPr>
                  <w:sz w:val="28"/>
                  <w:szCs w:val="28"/>
                </w:rPr>
                <w:t>4</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_Toc22667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_Toc22667 \h </w:instrText>
              </w:r>
              <w:r>
                <w:rPr>
                  <w:sz w:val="28"/>
                  <w:szCs w:val="28"/>
                </w:rPr>
                <w:fldChar w:fldCharType="separate"/>
              </w:r>
              <w:r>
                <w:rPr>
                  <w:sz w:val="28"/>
                  <w:szCs w:val="28"/>
                </w:rPr>
                <w:t>5</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_Toc14185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_Toc14185 \h </w:instrText>
              </w:r>
              <w:r>
                <w:rPr>
                  <w:sz w:val="28"/>
                  <w:szCs w:val="28"/>
                </w:rPr>
                <w:fldChar w:fldCharType="separate"/>
              </w:r>
              <w:r>
                <w:rPr>
                  <w:sz w:val="28"/>
                  <w:szCs w:val="28"/>
                </w:rPr>
                <w:t>5</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_Toc19212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_Toc19212 \h </w:instrText>
              </w:r>
              <w:r>
                <w:rPr>
                  <w:sz w:val="28"/>
                  <w:szCs w:val="28"/>
                </w:rPr>
                <w:fldChar w:fldCharType="separate"/>
              </w:r>
              <w:r>
                <w:rPr>
                  <w:sz w:val="28"/>
                  <w:szCs w:val="28"/>
                </w:rPr>
                <w:t>6</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_Toc5147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_Toc5147 \h </w:instrText>
              </w:r>
              <w:r>
                <w:rPr>
                  <w:sz w:val="28"/>
                  <w:szCs w:val="28"/>
                </w:rPr>
                <w:fldChar w:fldCharType="separate"/>
              </w:r>
              <w:r>
                <w:rPr>
                  <w:sz w:val="28"/>
                  <w:szCs w:val="28"/>
                </w:rPr>
                <w:t>7</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_Toc12022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_Toc12022 \h </w:instrText>
              </w:r>
              <w:r>
                <w:rPr>
                  <w:sz w:val="28"/>
                  <w:szCs w:val="28"/>
                </w:rPr>
                <w:fldChar w:fldCharType="separate"/>
              </w:r>
              <w:r>
                <w:rPr>
                  <w:sz w:val="28"/>
                  <w:szCs w:val="28"/>
                </w:rPr>
                <w:t>8</w:t>
              </w:r>
              <w:r>
                <w:rPr>
                  <w:sz w:val="28"/>
                  <w:szCs w:val="28"/>
                </w:rPr>
                <w:fldChar w:fldCharType="end"/>
              </w:r>
              <w:r>
                <w:rPr>
                  <w:rFonts w:hAnsi="宋体"/>
                  <w:bCs/>
                  <w:sz w:val="28"/>
                  <w:szCs w:val="28"/>
                </w:rPr>
                <w:fldChar w:fldCharType="end"/>
              </w:r>
            </w:p>
            <w:p>
              <w:pPr>
                <w:pStyle w:val="15"/>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_Toc13948 </w:instrText>
              </w:r>
              <w:r>
                <w:rPr>
                  <w:rFonts w:hAnsi="宋体"/>
                  <w:bCs/>
                  <w:sz w:val="28"/>
                  <w:szCs w:val="28"/>
                </w:rPr>
                <w:fldChar w:fldCharType="separate"/>
              </w:r>
              <w:r>
                <w:rPr>
                  <w:rFonts w:hint="eastAsia" w:ascii="黑体" w:hAnsi="黑体" w:eastAsia="黑体" w:cs="黑体"/>
                  <w:bCs/>
                  <w:sz w:val="28"/>
                  <w:szCs w:val="28"/>
                </w:rPr>
                <w:t>四、项目绩效情况</w:t>
              </w:r>
              <w:r>
                <w:rPr>
                  <w:sz w:val="28"/>
                  <w:szCs w:val="28"/>
                </w:rPr>
                <w:tab/>
              </w:r>
              <w:r>
                <w:rPr>
                  <w:sz w:val="28"/>
                  <w:szCs w:val="28"/>
                </w:rPr>
                <w:fldChar w:fldCharType="begin"/>
              </w:r>
              <w:r>
                <w:rPr>
                  <w:sz w:val="28"/>
                  <w:szCs w:val="28"/>
                </w:rPr>
                <w:instrText xml:space="preserve"> PAGEREF _Toc13948 \h </w:instrText>
              </w:r>
              <w:r>
                <w:rPr>
                  <w:sz w:val="28"/>
                  <w:szCs w:val="28"/>
                </w:rPr>
                <w:fldChar w:fldCharType="separate"/>
              </w:r>
              <w:r>
                <w:rPr>
                  <w:sz w:val="28"/>
                  <w:szCs w:val="28"/>
                </w:rPr>
                <w:t>10</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_Toc10521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_Toc10521 \h </w:instrText>
              </w:r>
              <w:r>
                <w:rPr>
                  <w:sz w:val="28"/>
                  <w:szCs w:val="28"/>
                </w:rPr>
                <w:fldChar w:fldCharType="separate"/>
              </w:r>
              <w:r>
                <w:rPr>
                  <w:sz w:val="28"/>
                  <w:szCs w:val="28"/>
                </w:rPr>
                <w:t>10</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_Toc16742 </w:instrText>
              </w:r>
              <w:r>
                <w:rPr>
                  <w:rFonts w:hAnsi="宋体"/>
                  <w:bCs/>
                  <w:sz w:val="28"/>
                  <w:szCs w:val="28"/>
                </w:rPr>
                <w:fldChar w:fldCharType="separate"/>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rPr>
                <w:t>项目效益</w:t>
              </w:r>
              <w:r>
                <w:rPr>
                  <w:sz w:val="28"/>
                  <w:szCs w:val="28"/>
                </w:rPr>
                <w:tab/>
              </w:r>
              <w:r>
                <w:rPr>
                  <w:sz w:val="28"/>
                  <w:szCs w:val="28"/>
                </w:rPr>
                <w:fldChar w:fldCharType="begin"/>
              </w:r>
              <w:r>
                <w:rPr>
                  <w:sz w:val="28"/>
                  <w:szCs w:val="28"/>
                </w:rPr>
                <w:instrText xml:space="preserve"> PAGEREF _Toc16742 \h </w:instrText>
              </w:r>
              <w:r>
                <w:rPr>
                  <w:sz w:val="28"/>
                  <w:szCs w:val="28"/>
                </w:rPr>
                <w:fldChar w:fldCharType="separate"/>
              </w:r>
              <w:r>
                <w:rPr>
                  <w:sz w:val="28"/>
                  <w:szCs w:val="28"/>
                </w:rPr>
                <w:t>10</w:t>
              </w:r>
              <w:r>
                <w:rPr>
                  <w:sz w:val="28"/>
                  <w:szCs w:val="28"/>
                </w:rPr>
                <w:fldChar w:fldCharType="end"/>
              </w:r>
              <w:r>
                <w:rPr>
                  <w:rFonts w:hAnsi="宋体"/>
                  <w:bCs/>
                  <w:sz w:val="28"/>
                  <w:szCs w:val="28"/>
                </w:rPr>
                <w:fldChar w:fldCharType="end"/>
              </w:r>
            </w:p>
            <w:p>
              <w:pPr>
                <w:pStyle w:val="15"/>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_Toc17670 </w:instrText>
              </w:r>
              <w:r>
                <w:rPr>
                  <w:rFonts w:hAnsi="宋体"/>
                  <w:bCs/>
                  <w:sz w:val="28"/>
                  <w:szCs w:val="28"/>
                </w:rPr>
                <w:fldChar w:fldCharType="separate"/>
              </w:r>
              <w:r>
                <w:rPr>
                  <w:rFonts w:hint="eastAsia" w:ascii="黑体" w:hAnsi="黑体" w:eastAsia="黑体" w:cs="黑体"/>
                  <w:bCs/>
                  <w:sz w:val="28"/>
                  <w:szCs w:val="28"/>
                </w:rPr>
                <w:t>五、综合评价情况及评价结论</w:t>
              </w:r>
              <w:r>
                <w:rPr>
                  <w:sz w:val="28"/>
                  <w:szCs w:val="28"/>
                </w:rPr>
                <w:tab/>
              </w:r>
              <w:r>
                <w:rPr>
                  <w:sz w:val="28"/>
                  <w:szCs w:val="28"/>
                </w:rPr>
                <w:fldChar w:fldCharType="begin"/>
              </w:r>
              <w:r>
                <w:rPr>
                  <w:sz w:val="28"/>
                  <w:szCs w:val="28"/>
                </w:rPr>
                <w:instrText xml:space="preserve"> PAGEREF _Toc17670 \h </w:instrText>
              </w:r>
              <w:r>
                <w:rPr>
                  <w:sz w:val="28"/>
                  <w:szCs w:val="28"/>
                </w:rPr>
                <w:fldChar w:fldCharType="separate"/>
              </w:r>
              <w:r>
                <w:rPr>
                  <w:sz w:val="28"/>
                  <w:szCs w:val="28"/>
                </w:rPr>
                <w:t>10</w:t>
              </w:r>
              <w:r>
                <w:rPr>
                  <w:sz w:val="28"/>
                  <w:szCs w:val="28"/>
                </w:rPr>
                <w:fldChar w:fldCharType="end"/>
              </w:r>
              <w:r>
                <w:rPr>
                  <w:rFonts w:hAnsi="宋体"/>
                  <w:bCs/>
                  <w:sz w:val="28"/>
                  <w:szCs w:val="28"/>
                </w:rPr>
                <w:fldChar w:fldCharType="end"/>
              </w:r>
            </w:p>
            <w:p>
              <w:pPr>
                <w:pStyle w:val="15"/>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_Toc15805 </w:instrText>
              </w:r>
              <w:r>
                <w:rPr>
                  <w:rFonts w:hAnsi="宋体"/>
                  <w:bCs/>
                  <w:sz w:val="28"/>
                  <w:szCs w:val="28"/>
                </w:rPr>
                <w:fldChar w:fldCharType="separate"/>
              </w:r>
              <w:r>
                <w:rPr>
                  <w:rFonts w:hint="eastAsia" w:ascii="黑体" w:hAnsi="黑体" w:eastAsia="黑体" w:cs="黑体"/>
                  <w:bCs/>
                  <w:sz w:val="28"/>
                  <w:szCs w:val="28"/>
                  <w:lang w:val="en-US" w:eastAsia="zh-CN"/>
                </w:rPr>
                <w:t>六、</w:t>
              </w:r>
              <w:r>
                <w:rPr>
                  <w:rFonts w:hint="eastAsia" w:ascii="黑体" w:hAnsi="黑体" w:eastAsia="黑体" w:cs="黑体"/>
                  <w:bCs/>
                  <w:sz w:val="28"/>
                  <w:szCs w:val="28"/>
                </w:rPr>
                <w:t>存在的主要问题</w:t>
              </w:r>
              <w:r>
                <w:rPr>
                  <w:sz w:val="28"/>
                  <w:szCs w:val="28"/>
                </w:rPr>
                <w:tab/>
              </w:r>
              <w:r>
                <w:rPr>
                  <w:sz w:val="28"/>
                  <w:szCs w:val="28"/>
                </w:rPr>
                <w:fldChar w:fldCharType="begin"/>
              </w:r>
              <w:r>
                <w:rPr>
                  <w:sz w:val="28"/>
                  <w:szCs w:val="28"/>
                </w:rPr>
                <w:instrText xml:space="preserve"> PAGEREF _Toc15805 \h </w:instrText>
              </w:r>
              <w:r>
                <w:rPr>
                  <w:sz w:val="28"/>
                  <w:szCs w:val="28"/>
                </w:rPr>
                <w:fldChar w:fldCharType="separate"/>
              </w:r>
              <w:r>
                <w:rPr>
                  <w:sz w:val="28"/>
                  <w:szCs w:val="28"/>
                </w:rPr>
                <w:t>11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_Toc19781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（一）以现金方式发放津贴</w:t>
              </w:r>
              <w:r>
                <w:rPr>
                  <w:sz w:val="28"/>
                  <w:szCs w:val="28"/>
                </w:rPr>
                <w:tab/>
              </w:r>
              <w:r>
                <w:rPr>
                  <w:sz w:val="28"/>
                  <w:szCs w:val="28"/>
                </w:rPr>
                <w:fldChar w:fldCharType="begin"/>
              </w:r>
              <w:r>
                <w:rPr>
                  <w:sz w:val="28"/>
                  <w:szCs w:val="28"/>
                </w:rPr>
                <w:instrText xml:space="preserve"> PAGEREF _Toc19781 \h </w:instrText>
              </w:r>
              <w:r>
                <w:rPr>
                  <w:sz w:val="28"/>
                  <w:szCs w:val="28"/>
                </w:rPr>
                <w:fldChar w:fldCharType="separate"/>
              </w:r>
              <w:r>
                <w:rPr>
                  <w:sz w:val="28"/>
                  <w:szCs w:val="28"/>
                </w:rPr>
                <w:t>11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_Toc25685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（二）津贴发放不合规</w:t>
              </w:r>
              <w:r>
                <w:rPr>
                  <w:sz w:val="28"/>
                  <w:szCs w:val="28"/>
                </w:rPr>
                <w:tab/>
              </w:r>
              <w:r>
                <w:rPr>
                  <w:sz w:val="28"/>
                  <w:szCs w:val="28"/>
                </w:rPr>
                <w:fldChar w:fldCharType="begin"/>
              </w:r>
              <w:r>
                <w:rPr>
                  <w:sz w:val="28"/>
                  <w:szCs w:val="28"/>
                </w:rPr>
                <w:instrText xml:space="preserve"> PAGEREF _Toc25685 \h </w:instrText>
              </w:r>
              <w:r>
                <w:rPr>
                  <w:sz w:val="28"/>
                  <w:szCs w:val="28"/>
                </w:rPr>
                <w:fldChar w:fldCharType="separate"/>
              </w:r>
              <w:r>
                <w:rPr>
                  <w:sz w:val="28"/>
                  <w:szCs w:val="28"/>
                </w:rPr>
                <w:t>11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_Toc30234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（三）业务程序执行不规范</w:t>
              </w:r>
              <w:r>
                <w:rPr>
                  <w:sz w:val="28"/>
                  <w:szCs w:val="28"/>
                </w:rPr>
                <w:tab/>
              </w:r>
              <w:r>
                <w:rPr>
                  <w:sz w:val="28"/>
                  <w:szCs w:val="28"/>
                </w:rPr>
                <w:fldChar w:fldCharType="begin"/>
              </w:r>
              <w:r>
                <w:rPr>
                  <w:sz w:val="28"/>
                  <w:szCs w:val="28"/>
                </w:rPr>
                <w:instrText xml:space="preserve"> PAGEREF _Toc30234 \h </w:instrText>
              </w:r>
              <w:r>
                <w:rPr>
                  <w:sz w:val="28"/>
                  <w:szCs w:val="28"/>
                </w:rPr>
                <w:fldChar w:fldCharType="separate"/>
              </w:r>
              <w:r>
                <w:rPr>
                  <w:sz w:val="28"/>
                  <w:szCs w:val="28"/>
                </w:rPr>
                <w:t>11</w:t>
              </w:r>
              <w:r>
                <w:rPr>
                  <w:sz w:val="28"/>
                  <w:szCs w:val="28"/>
                </w:rPr>
                <w:fldChar w:fldCharType="end"/>
              </w:r>
              <w:r>
                <w:rPr>
                  <w:rFonts w:hAnsi="宋体"/>
                  <w:bCs/>
                  <w:sz w:val="28"/>
                  <w:szCs w:val="28"/>
                </w:rPr>
                <w:fldChar w:fldCharType="end"/>
              </w:r>
            </w:p>
            <w:p>
              <w:pPr>
                <w:pStyle w:val="17"/>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_Toc1054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（四）绩效指标设置不规范</w:t>
              </w:r>
              <w:r>
                <w:rPr>
                  <w:sz w:val="28"/>
                  <w:szCs w:val="28"/>
                </w:rPr>
                <w:tab/>
              </w:r>
              <w:r>
                <w:rPr>
                  <w:sz w:val="28"/>
                  <w:szCs w:val="28"/>
                </w:rPr>
                <w:fldChar w:fldCharType="begin"/>
              </w:r>
              <w:r>
                <w:rPr>
                  <w:sz w:val="28"/>
                  <w:szCs w:val="28"/>
                </w:rPr>
                <w:instrText xml:space="preserve"> PAGEREF _Toc1054 \h </w:instrText>
              </w:r>
              <w:r>
                <w:rPr>
                  <w:sz w:val="28"/>
                  <w:szCs w:val="28"/>
                </w:rPr>
                <w:fldChar w:fldCharType="separate"/>
              </w:r>
              <w:r>
                <w:rPr>
                  <w:sz w:val="28"/>
                  <w:szCs w:val="28"/>
                </w:rPr>
                <w:t>12</w:t>
              </w:r>
              <w:r>
                <w:rPr>
                  <w:sz w:val="28"/>
                  <w:szCs w:val="28"/>
                </w:rPr>
                <w:fldChar w:fldCharType="end"/>
              </w:r>
              <w:r>
                <w:rPr>
                  <w:rFonts w:hAnsi="宋体"/>
                  <w:bCs/>
                  <w:sz w:val="28"/>
                  <w:szCs w:val="28"/>
                </w:rPr>
                <w:fldChar w:fldCharType="end"/>
              </w:r>
            </w:p>
            <w:p>
              <w:pPr>
                <w:pStyle w:val="15"/>
                <w:tabs>
                  <w:tab w:val="right" w:leader="dot" w:pos="8845"/>
                </w:tabs>
                <w:rPr>
                  <w:sz w:val="28"/>
                  <w:szCs w:val="28"/>
                </w:rPr>
              </w:pPr>
              <w:r>
                <w:rPr>
                  <w:rFonts w:hAnsi="宋体"/>
                  <w:bCs/>
                  <w:sz w:val="28"/>
                  <w:szCs w:val="28"/>
                </w:rPr>
                <w:fldChar w:fldCharType="begin"/>
              </w:r>
              <w:r>
                <w:rPr>
                  <w:rFonts w:hAnsi="宋体"/>
                  <w:bCs/>
                  <w:sz w:val="28"/>
                  <w:szCs w:val="28"/>
                </w:rPr>
                <w:instrText xml:space="preserve"> HYPERLINK \l _Toc30601 </w:instrText>
              </w:r>
              <w:r>
                <w:rPr>
                  <w:rFonts w:hAnsi="宋体"/>
                  <w:bCs/>
                  <w:sz w:val="28"/>
                  <w:szCs w:val="28"/>
                </w:rPr>
                <w:fldChar w:fldCharType="separate"/>
              </w:r>
              <w:r>
                <w:rPr>
                  <w:rFonts w:hint="eastAsia" w:ascii="黑体" w:hAnsi="黑体" w:eastAsia="黑体" w:cs="黑体"/>
                  <w:bCs/>
                  <w:sz w:val="28"/>
                  <w:szCs w:val="28"/>
                </w:rPr>
                <w:t>七、意见建议</w:t>
              </w:r>
              <w:r>
                <w:rPr>
                  <w:sz w:val="28"/>
                  <w:szCs w:val="28"/>
                </w:rPr>
                <w:tab/>
              </w:r>
              <w:r>
                <w:rPr>
                  <w:sz w:val="28"/>
                  <w:szCs w:val="28"/>
                </w:rPr>
                <w:fldChar w:fldCharType="begin"/>
              </w:r>
              <w:r>
                <w:rPr>
                  <w:sz w:val="28"/>
                  <w:szCs w:val="28"/>
                </w:rPr>
                <w:instrText xml:space="preserve"> PAGEREF _Toc30601 \h </w:instrText>
              </w:r>
              <w:r>
                <w:rPr>
                  <w:sz w:val="28"/>
                  <w:szCs w:val="28"/>
                </w:rPr>
                <w:fldChar w:fldCharType="separate"/>
              </w:r>
              <w:r>
                <w:rPr>
                  <w:sz w:val="28"/>
                  <w:szCs w:val="28"/>
                </w:rPr>
                <w:t>12</w:t>
              </w:r>
              <w:r>
                <w:rPr>
                  <w:sz w:val="28"/>
                  <w:szCs w:val="28"/>
                </w:rPr>
                <w:fldChar w:fldCharType="end"/>
              </w:r>
              <w:r>
                <w:rPr>
                  <w:rFonts w:hAnsi="宋体"/>
                  <w:bCs/>
                  <w:sz w:val="28"/>
                  <w:szCs w:val="28"/>
                </w:rPr>
                <w:fldChar w:fldCharType="end"/>
              </w:r>
            </w:p>
            <w:p>
              <w:pPr>
                <w:spacing w:line="360" w:lineRule="auto"/>
                <w:jc w:val="center"/>
                <w:rPr>
                  <w:rFonts w:asciiTheme="majorEastAsia" w:hAnsiTheme="majorEastAsia" w:eastAsiaTheme="majorEastAsia"/>
                  <w:b/>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sz w:val="28"/>
                  <w:szCs w:val="28"/>
                </w:rPr>
                <w:fldChar w:fldCharType="end"/>
              </w:r>
            </w:p>
          </w:sdtContent>
        </w:sdt>
      </w:sdtContent>
    </w:sdt>
    <w:p>
      <w:pPr>
        <w:pStyle w:val="2"/>
        <w:ind w:left="400" w:firstLine="400"/>
      </w:pPr>
      <w:bookmarkStart w:id="1" w:name="_Toc57373818"/>
      <w:bookmarkEnd w:id="1"/>
      <w:bookmarkStart w:id="2" w:name="_Toc57373821"/>
    </w:p>
    <w:bookmarkEnd w:id="2"/>
    <w:p>
      <w:pPr>
        <w:pStyle w:val="27"/>
        <w:bidi w:val="0"/>
        <w:rPr>
          <w:rFonts w:hint="eastAsia"/>
          <w:lang w:eastAsia="zh-CN"/>
        </w:rPr>
      </w:pPr>
      <w:r>
        <w:rPr>
          <w:rFonts w:hint="eastAsia"/>
          <w:lang w:eastAsia="zh-CN"/>
        </w:rPr>
        <w:t>遵化市民政局2022年高龄老人津贴项目</w:t>
      </w:r>
    </w:p>
    <w:p>
      <w:pPr>
        <w:pStyle w:val="27"/>
        <w:bidi w:val="0"/>
      </w:pPr>
      <w:r>
        <w:rPr>
          <w:rFonts w:hint="eastAsia"/>
        </w:rPr>
        <w:t>绩效评价报告</w:t>
      </w:r>
    </w:p>
    <w:p>
      <w:pPr>
        <w:pStyle w:val="29"/>
        <w:bidi w:val="0"/>
      </w:pPr>
      <w:bookmarkStart w:id="3" w:name="_Toc29302676"/>
      <w:bookmarkStart w:id="4" w:name="_Toc21063"/>
      <w:r>
        <w:rPr>
          <w:rFonts w:hint="eastAsia"/>
        </w:rPr>
        <w:t>一、项目基本情况</w:t>
      </w:r>
      <w:bookmarkEnd w:id="3"/>
      <w:bookmarkEnd w:id="4"/>
    </w:p>
    <w:p>
      <w:pPr>
        <w:pStyle w:val="28"/>
        <w:bidi w:val="0"/>
        <w:rPr>
          <w:rFonts w:hint="eastAsia" w:ascii="华文楷体" w:hAnsi="华文楷体" w:eastAsia="华文楷体" w:cs="华文楷体"/>
          <w:bCs/>
          <w:szCs w:val="30"/>
        </w:rPr>
      </w:pPr>
      <w:bookmarkStart w:id="5" w:name="_Toc29302677"/>
      <w:bookmarkStart w:id="6" w:name="_Toc16294"/>
      <w:r>
        <w:rPr>
          <w:rFonts w:hint="eastAsia"/>
        </w:rPr>
        <w:t>（一）项目概况</w:t>
      </w:r>
      <w:bookmarkEnd w:id="5"/>
      <w:bookmarkEnd w:id="6"/>
    </w:p>
    <w:p>
      <w:pPr>
        <w:pStyle w:val="30"/>
        <w:bidi w:val="0"/>
        <w:rPr>
          <w:rFonts w:hint="default" w:ascii="仿宋" w:hAnsi="仿宋" w:eastAsia="仿宋" w:cs="仿宋_GB2312"/>
          <w:szCs w:val="30"/>
          <w:lang w:val="en-US" w:eastAsia="zh-CN" w:bidi="zh-CN"/>
        </w:rPr>
      </w:pPr>
      <w:r>
        <w:rPr>
          <w:rFonts w:hint="eastAsia"/>
          <w:lang w:val="en-US" w:eastAsia="zh-CN"/>
        </w:rPr>
        <w:t>依据《遵化市人民政府办公室关于在全市建立高龄老人生活补贴制度的实施意见》（遵政办【2013】6号）要求，遵化市民政局（以下简称“民政局”）为具有遵化市户籍，且年满 80 周岁及以上(含80周岁)的老年人发放高龄津贴，按年龄实行分档发放，标准为 80-84周岁，每人每年150元;85-89周岁，每人每年200元;90-99周岁，每人每年400元。关于去世老人当年发放标准为：6月30日前去世的老年人，80-89周岁的老年人每人发放100元；90-99周岁老年人每人发放200元。</w:t>
      </w:r>
    </w:p>
    <w:p>
      <w:pPr>
        <w:pStyle w:val="28"/>
        <w:bidi w:val="0"/>
        <w:rPr>
          <w:rFonts w:hint="eastAsia" w:ascii="华文楷体" w:hAnsi="华文楷体" w:eastAsia="华文楷体" w:cs="华文楷体"/>
          <w:bCs/>
          <w:szCs w:val="30"/>
        </w:rPr>
      </w:pPr>
      <w:bookmarkStart w:id="7" w:name="_Toc29302678"/>
      <w:bookmarkStart w:id="8" w:name="_Toc10631"/>
      <w:r>
        <w:rPr>
          <w:rFonts w:hint="eastAsia"/>
          <w:lang w:eastAsia="zh-CN"/>
        </w:rPr>
        <w:t>（</w:t>
      </w:r>
      <w:r>
        <w:rPr>
          <w:rFonts w:hint="eastAsia"/>
          <w:lang w:val="en-US" w:eastAsia="zh-CN"/>
        </w:rPr>
        <w:t>二）</w:t>
      </w:r>
      <w:r>
        <w:rPr>
          <w:rFonts w:hint="eastAsia"/>
        </w:rPr>
        <w:t>项目绩效目标</w:t>
      </w:r>
      <w:bookmarkEnd w:id="7"/>
      <w:bookmarkEnd w:id="8"/>
    </w:p>
    <w:p>
      <w:pPr>
        <w:pStyle w:val="30"/>
        <w:bidi w:val="0"/>
        <w:rPr>
          <w:rFonts w:hint="default" w:ascii="仿宋" w:hAnsi="仿宋" w:eastAsia="仿宋" w:cs="仿宋_GB2312"/>
          <w:szCs w:val="30"/>
          <w:lang w:val="en-US" w:eastAsia="zh-CN" w:bidi="zh-CN"/>
        </w:rPr>
      </w:pPr>
      <w:r>
        <w:rPr>
          <w:rFonts w:hint="eastAsia"/>
          <w:lang w:val="en-US" w:eastAsia="zh-CN"/>
        </w:rPr>
        <w:t>认真落实高龄津贴政策，及时足额发放高龄老人津贴，</w:t>
      </w:r>
      <w:bookmarkStart w:id="9" w:name="_Toc29302679"/>
      <w:r>
        <w:rPr>
          <w:rFonts w:hint="eastAsia"/>
          <w:lang w:val="en-US" w:eastAsia="zh-CN"/>
        </w:rPr>
        <w:t>使他们共享改革成果，提高高龄老人的生活质量。</w:t>
      </w:r>
    </w:p>
    <w:p>
      <w:pPr>
        <w:pStyle w:val="29"/>
        <w:bidi w:val="0"/>
        <w:rPr>
          <w:rFonts w:hint="eastAsia" w:ascii="黑体" w:hAnsi="黑体" w:eastAsia="黑体" w:cs="黑体"/>
          <w:bCs/>
          <w:szCs w:val="30"/>
        </w:rPr>
      </w:pPr>
      <w:bookmarkStart w:id="10" w:name="_Toc3224"/>
      <w:r>
        <w:rPr>
          <w:rFonts w:hint="eastAsia"/>
        </w:rPr>
        <w:t>二、项目实施情况</w:t>
      </w:r>
      <w:bookmarkEnd w:id="10"/>
    </w:p>
    <w:p>
      <w:pPr>
        <w:pStyle w:val="28"/>
        <w:bidi w:val="0"/>
        <w:rPr>
          <w:rFonts w:hint="eastAsia"/>
        </w:rPr>
      </w:pPr>
      <w:bookmarkStart w:id="11" w:name="_Toc7476"/>
      <w:r>
        <w:rPr>
          <w:rFonts w:hint="eastAsia"/>
        </w:rPr>
        <w:t>（一）项目资金</w:t>
      </w:r>
      <w:r>
        <w:rPr>
          <w:rFonts w:hint="eastAsia"/>
          <w:lang w:val="en-US" w:eastAsia="zh-CN"/>
        </w:rPr>
        <w:t>到位、</w:t>
      </w:r>
      <w:r>
        <w:rPr>
          <w:rFonts w:hint="eastAsia"/>
        </w:rPr>
        <w:t>使用及管理情况</w:t>
      </w:r>
      <w:bookmarkEnd w:id="11"/>
    </w:p>
    <w:p>
      <w:pPr>
        <w:pStyle w:val="30"/>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30"/>
        <w:bidi w:val="0"/>
        <w:rPr>
          <w:rFonts w:hint="default"/>
          <w:lang w:val="en-US" w:eastAsia="zh-CN"/>
        </w:rPr>
      </w:pPr>
      <w:r>
        <w:rPr>
          <w:rFonts w:hint="eastAsia"/>
          <w:lang w:val="en-US" w:eastAsia="zh-CN"/>
        </w:rPr>
        <w:t>根据相关批复文件要求，2022年高龄老人津贴资金项目经批准预算资金342.98万元，截至2022年底，资金到位342.98万元。资金到位率100%。</w:t>
      </w:r>
    </w:p>
    <w:p>
      <w:pPr>
        <w:pStyle w:val="30"/>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30"/>
        <w:bidi w:val="0"/>
        <w:rPr>
          <w:rFonts w:hint="eastAsia"/>
          <w:lang w:val="en-US" w:eastAsia="zh-CN"/>
        </w:rPr>
      </w:pPr>
      <w:r>
        <w:rPr>
          <w:rFonts w:hint="default"/>
          <w:lang w:val="en-US" w:eastAsia="zh-CN"/>
        </w:rPr>
        <w:t>截至2022年底</w:t>
      </w:r>
      <w:r>
        <w:rPr>
          <w:rFonts w:hint="eastAsia"/>
          <w:lang w:val="en-US" w:eastAsia="zh-CN"/>
        </w:rPr>
        <w:t>，民政局支付2022年高龄老人津贴342.98万元，预算执行率100%，主要支付明细如下：</w:t>
      </w:r>
    </w:p>
    <w:p>
      <w:pPr>
        <w:pStyle w:val="26"/>
        <w:bidi w:val="0"/>
        <w:rPr>
          <w:rFonts w:hint="eastAsia"/>
          <w:lang w:val="en-US" w:eastAsia="zh-CN"/>
        </w:rPr>
      </w:pPr>
      <w:r>
        <w:rPr>
          <w:rFonts w:hint="eastAsia"/>
          <w:lang w:val="en-US" w:eastAsia="zh-CN"/>
        </w:rPr>
        <w:t>2022年高龄老人津贴项目支付明细表</w:t>
      </w:r>
    </w:p>
    <w:p>
      <w:pPr>
        <w:pStyle w:val="26"/>
        <w:bidi w:val="0"/>
        <w:rPr>
          <w:rFonts w:hint="eastAsia"/>
          <w:lang w:val="en-US" w:eastAsia="zh-CN"/>
        </w:rPr>
      </w:pPr>
      <w:r>
        <w:rPr>
          <w:rFonts w:hint="eastAsia"/>
          <w:lang w:val="en-US" w:eastAsia="zh-CN"/>
        </w:rPr>
        <w:t xml:space="preserve">                                                            </w:t>
      </w:r>
      <w:bookmarkStart w:id="50" w:name="_GoBack"/>
      <w:bookmarkEnd w:id="50"/>
      <w:r>
        <w:rPr>
          <w:rFonts w:hint="eastAsia"/>
          <w:lang w:val="en-US" w:eastAsia="zh-CN"/>
        </w:rPr>
        <w:t>单位：元</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4"/>
        <w:gridCol w:w="1354"/>
        <w:gridCol w:w="1354"/>
        <w:gridCol w:w="1164"/>
        <w:gridCol w:w="1069"/>
        <w:gridCol w:w="1069"/>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乡镇街道</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80-84周岁</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85-89周岁</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90-99周岁</w:t>
            </w:r>
          </w:p>
        </w:tc>
        <w:tc>
          <w:tcPr>
            <w:tcW w:w="1015" w:type="pct"/>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2022年6月30日前去世</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80-89周岁人数（金额）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90-99周岁人数（金额）</w:t>
            </w: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遵化镇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64,200.00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西留村乡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43,050.00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31,800.00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崔家庄乡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36,750.00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堡子店镇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79,950.00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64,200.00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3,800.00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193,150.00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汤泉乡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12,750.00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9,600.00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西下营乡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18,600.00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兴旺寨乡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33,150.00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38,400.00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96,950.00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马兰峪镇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40,200.00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28,000.00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东陵乡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35,550.00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32,800.00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平安城镇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98,250.00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70,800.00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5,500.00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256,150.00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东新庄镇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87,900.00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65,600.00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56,400.00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刘备寨乡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48,900.00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30,800.00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130,500.00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新店子镇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105,600.00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68,000.00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5,500.00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240,500.00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团瓢庄乡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71,250.00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36,400.00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153,450.00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党峪镇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61,350.00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131,350.00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地北头镇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53,100.00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37,400.00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34,800.00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125,300.00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娘娘庄乡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46,650.00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37,600.00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31,600.00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119,550.00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东旧寨镇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54,750.00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129,550.00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铁厂镇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42,750.00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苏家洼镇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50,850.00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38,000.00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119,850.00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侯家寨乡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21,000.00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49,400.00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西三里镇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32,400.00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23,800.00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建明镇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54,600.00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23,200.00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126,400.00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小厂乡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29,250.00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76,750.00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石门镇</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57,900.00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43,600.00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华明路街道</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51,450.00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29,200.00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文化路街道</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78,900.00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72,000.00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39,600.00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194,100.00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第一敬老院</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第二敬老院</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第三敬老院</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第四敬老院</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第五敬老院</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第六敬老院</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750.00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  计</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1,414,800.00 </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1,095,000.00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815,600.00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63,400.00 </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41,000.00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3,429,800.00 </w:t>
            </w:r>
          </w:p>
        </w:tc>
      </w:tr>
    </w:tbl>
    <w:p>
      <w:pPr>
        <w:jc w:val="right"/>
        <w:rPr>
          <w:rFonts w:hint="eastAsia" w:ascii="仿宋" w:hAnsi="仿宋" w:eastAsia="仿宋" w:cs="仿宋"/>
          <w:b/>
          <w:bCs/>
          <w:sz w:val="28"/>
          <w:szCs w:val="28"/>
          <w:lang w:val="en-US" w:eastAsia="zh-CN"/>
        </w:rPr>
      </w:pPr>
    </w:p>
    <w:p>
      <w:pPr>
        <w:pStyle w:val="30"/>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30"/>
        <w:bidi w:val="0"/>
        <w:rPr>
          <w:rFonts w:hint="eastAsia"/>
          <w:lang w:val="en-US"/>
        </w:rPr>
      </w:pPr>
      <w:r>
        <w:rPr>
          <w:rFonts w:hint="eastAsia"/>
          <w:lang w:val="en-US"/>
        </w:rPr>
        <w:t>为加强财务管理和监督，合理、有效、规范使用</w:t>
      </w:r>
      <w:r>
        <w:rPr>
          <w:rFonts w:hint="eastAsia"/>
          <w:lang w:val="en-US" w:eastAsia="zh-CN"/>
        </w:rPr>
        <w:t>高龄津贴、老年健康御险及慰问</w:t>
      </w:r>
      <w:r>
        <w:rPr>
          <w:rFonts w:hint="eastAsia"/>
          <w:lang w:val="en-US"/>
        </w:rPr>
        <w:t>项目资金，强化绩效和责任意识，有效提高资金使用效率，</w:t>
      </w:r>
      <w:r>
        <w:rPr>
          <w:rFonts w:hint="eastAsia"/>
          <w:lang w:val="en-US" w:eastAsia="zh-CN"/>
        </w:rPr>
        <w:t>民政局按照</w:t>
      </w:r>
      <w:r>
        <w:rPr>
          <w:rFonts w:hint="eastAsia"/>
          <w:lang w:val="en-US"/>
        </w:rPr>
        <w:t>《</w:t>
      </w:r>
      <w:r>
        <w:rPr>
          <w:rFonts w:hint="eastAsia"/>
          <w:lang w:val="en-US" w:eastAsia="zh-CN"/>
        </w:rPr>
        <w:t>遵化市民政局关于印发&lt;遵化市民政局财务管理办法&gt;的通知</w:t>
      </w:r>
      <w:r>
        <w:rPr>
          <w:rFonts w:hint="eastAsia"/>
          <w:lang w:val="en-US"/>
        </w:rPr>
        <w:t>》</w:t>
      </w:r>
      <w:r>
        <w:rPr>
          <w:rFonts w:hint="eastAsia"/>
          <w:lang w:val="en-US" w:eastAsia="zh-CN"/>
        </w:rPr>
        <w:t>《遵化市民政局关于印发&lt;专项资金监督管理办法&gt;的通知》</w:t>
      </w:r>
      <w:r>
        <w:rPr>
          <w:rFonts w:hint="eastAsia"/>
          <w:lang w:val="en-US"/>
        </w:rPr>
        <w:t>及相关会计制度规定申请财政资金，资金的拨付有完整的审批程序和手续，未出现违规使用资金行为。</w:t>
      </w:r>
    </w:p>
    <w:p>
      <w:pPr>
        <w:pStyle w:val="28"/>
        <w:bidi w:val="0"/>
        <w:rPr>
          <w:rFonts w:hint="eastAsia"/>
          <w:lang w:val="en-US" w:eastAsia="zh-CN"/>
        </w:rPr>
      </w:pPr>
      <w:bookmarkStart w:id="12" w:name="_Toc10793"/>
      <w:r>
        <w:rPr>
          <w:rFonts w:hint="eastAsia"/>
          <w:lang w:eastAsia="zh-CN"/>
        </w:rPr>
        <w:t>（</w:t>
      </w:r>
      <w:r>
        <w:rPr>
          <w:rFonts w:hint="eastAsia"/>
          <w:lang w:val="en-US" w:eastAsia="zh-CN"/>
        </w:rPr>
        <w:t>二</w:t>
      </w:r>
      <w:r>
        <w:rPr>
          <w:rFonts w:hint="eastAsia"/>
          <w:lang w:eastAsia="zh-CN"/>
        </w:rPr>
        <w:t>）</w:t>
      </w:r>
      <w:r>
        <w:rPr>
          <w:rFonts w:hint="eastAsia"/>
        </w:rPr>
        <w:t>项目组织实施管理情况</w:t>
      </w:r>
      <w:bookmarkEnd w:id="12"/>
    </w:p>
    <w:p>
      <w:pPr>
        <w:pStyle w:val="30"/>
        <w:bidi w:val="0"/>
        <w:rPr>
          <w:rFonts w:hint="eastAsia"/>
          <w:lang w:val="en-US" w:eastAsia="zh-CN"/>
        </w:rPr>
      </w:pPr>
      <w:r>
        <w:rPr>
          <w:rFonts w:hint="eastAsia"/>
          <w:lang w:val="en-US" w:eastAsia="zh-CN"/>
        </w:rPr>
        <w:t>1.审批程序：</w:t>
      </w:r>
    </w:p>
    <w:p>
      <w:pPr>
        <w:pStyle w:val="30"/>
        <w:bidi w:val="0"/>
        <w:rPr>
          <w:rFonts w:hint="eastAsia"/>
          <w:lang w:val="en-US" w:eastAsia="zh-CN"/>
        </w:rPr>
      </w:pPr>
      <w:r>
        <w:rPr>
          <w:rFonts w:hint="eastAsia"/>
          <w:lang w:val="en-US" w:eastAsia="zh-CN"/>
        </w:rPr>
        <w:t>高龄老人生活补贴以户籍为基础，实行属地管理，经申请审批后发放。严格按照个人申请，村(居)委会调查核实，乡镇、街道办事处社会事务办公室审核，民政局审批的程序办理。申请人提供户口本、身份证原件(没有身份证的由派出所出具户籍证明)及复印件和高龄老人生活津贴审批表于6月30日前到民政局老龄工作委员会办公室审批。</w:t>
      </w:r>
    </w:p>
    <w:p>
      <w:pPr>
        <w:pStyle w:val="30"/>
        <w:bidi w:val="0"/>
        <w:rPr>
          <w:rFonts w:hint="eastAsia"/>
          <w:lang w:val="en-US" w:eastAsia="zh-CN"/>
        </w:rPr>
      </w:pPr>
      <w:r>
        <w:rPr>
          <w:rFonts w:hint="eastAsia"/>
          <w:lang w:val="en-US" w:eastAsia="zh-CN"/>
        </w:rPr>
        <w:t>2.发放方法：</w:t>
      </w:r>
    </w:p>
    <w:p>
      <w:pPr>
        <w:pStyle w:val="30"/>
        <w:bidi w:val="0"/>
        <w:rPr>
          <w:rFonts w:hint="eastAsia"/>
          <w:lang w:val="en-US" w:eastAsia="zh-CN"/>
        </w:rPr>
      </w:pPr>
      <w:r>
        <w:rPr>
          <w:rFonts w:hint="eastAsia"/>
          <w:lang w:val="en-US" w:eastAsia="zh-CN"/>
        </w:rPr>
        <w:t>高龄老人生活补贴由民政局负责每年发放一次，每年重阳节前发放到人。</w:t>
      </w:r>
    </w:p>
    <w:p>
      <w:pPr>
        <w:pStyle w:val="29"/>
        <w:bidi w:val="0"/>
        <w:rPr>
          <w:rFonts w:hint="eastAsia"/>
        </w:rPr>
      </w:pPr>
      <w:bookmarkStart w:id="13" w:name="_Toc16992"/>
      <w:r>
        <w:rPr>
          <w:rFonts w:hint="eastAsia"/>
        </w:rPr>
        <w:t>三、绩效评价工作情况</w:t>
      </w:r>
      <w:bookmarkEnd w:id="9"/>
      <w:bookmarkEnd w:id="13"/>
    </w:p>
    <w:p>
      <w:pPr>
        <w:pStyle w:val="28"/>
        <w:bidi w:val="0"/>
        <w:rPr>
          <w:rFonts w:hint="eastAsia"/>
        </w:rPr>
      </w:pPr>
      <w:bookmarkStart w:id="14" w:name="_Toc2597"/>
      <w:bookmarkStart w:id="15" w:name="_Toc29302680"/>
      <w:r>
        <w:rPr>
          <w:rFonts w:hint="eastAsia"/>
        </w:rPr>
        <w:t>（一）绩效评价目的</w:t>
      </w:r>
      <w:bookmarkEnd w:id="14"/>
      <w:bookmarkEnd w:id="15"/>
    </w:p>
    <w:p>
      <w:pPr>
        <w:pStyle w:val="30"/>
        <w:bidi w:val="0"/>
        <w:rPr>
          <w:lang w:val="zh-CN"/>
        </w:rPr>
      </w:pPr>
      <w:bookmarkStart w:id="16" w:name="_Toc29302681"/>
      <w:r>
        <w:rPr>
          <w:rFonts w:hint="eastAsia"/>
          <w:lang w:val="zh-CN"/>
        </w:rPr>
        <w:t>1</w:t>
      </w:r>
      <w:r>
        <w:rPr>
          <w:rFonts w:hint="eastAsia"/>
          <w:lang w:val="en-US"/>
        </w:rPr>
        <w:t>.</w:t>
      </w:r>
      <w:r>
        <w:rPr>
          <w:rFonts w:hint="eastAsia"/>
          <w:lang w:val="zh-CN"/>
        </w:rPr>
        <w:t>通过对遵化市民政局2022年高龄老人津贴项目的绩效评价，了解和掌握项目实施的具体情况，评价其项目资金安排的科学性、合理性、规范性和资金使用成效，及时总结项目管理经验，完善项目管理办法，提高项目管理水平和资金的使用效益。</w:t>
      </w:r>
    </w:p>
    <w:p>
      <w:pPr>
        <w:pStyle w:val="30"/>
        <w:bidi w:val="0"/>
        <w:rPr>
          <w:lang w:val="zh-CN"/>
        </w:rPr>
      </w:pPr>
      <w:r>
        <w:rPr>
          <w:rFonts w:hint="eastAsia"/>
          <w:lang w:val="zh-CN"/>
        </w:rPr>
        <w:t>2</w:t>
      </w:r>
      <w:r>
        <w:rPr>
          <w:rFonts w:hint="eastAsia"/>
          <w:lang w:val="en-US"/>
        </w:rPr>
        <w:t>.</w:t>
      </w:r>
      <w:r>
        <w:rPr>
          <w:rFonts w:hint="eastAsia"/>
          <w:lang w:val="zh-CN"/>
        </w:rPr>
        <w:t>促使项目单位根据绩效评价中发现的问题，认真加以整改，及时调整和完善单位的工作计划和绩效目标并加强项目管理，提高管理水平，同时为项目后续资金投入、分配和管理提供决策依据。</w:t>
      </w:r>
    </w:p>
    <w:p>
      <w:pPr>
        <w:pStyle w:val="28"/>
        <w:bidi w:val="0"/>
        <w:rPr>
          <w:rFonts w:hint="eastAsia"/>
        </w:rPr>
      </w:pPr>
      <w:bookmarkStart w:id="17" w:name="_Toc22667"/>
      <w:r>
        <w:rPr>
          <w:rFonts w:hint="eastAsia"/>
        </w:rPr>
        <w:t>（二）绩效评价依据</w:t>
      </w:r>
      <w:bookmarkEnd w:id="16"/>
      <w:bookmarkEnd w:id="17"/>
    </w:p>
    <w:p>
      <w:pPr>
        <w:pStyle w:val="30"/>
        <w:bidi w:val="0"/>
        <w:rPr>
          <w:lang w:val="zh-CN"/>
        </w:rPr>
      </w:pPr>
      <w:r>
        <w:rPr>
          <w:rFonts w:hint="eastAsia"/>
          <w:lang w:val="zh-CN"/>
        </w:rPr>
        <w:t>1</w:t>
      </w:r>
      <w:r>
        <w:rPr>
          <w:rFonts w:hint="eastAsia"/>
          <w:lang w:val="en-US"/>
        </w:rPr>
        <w:t>.</w:t>
      </w:r>
      <w:r>
        <w:rPr>
          <w:lang w:val="zh-CN"/>
        </w:rPr>
        <w:t>《</w:t>
      </w:r>
      <w:r>
        <w:rPr>
          <w:rFonts w:hint="eastAsia"/>
          <w:lang w:val="zh-CN"/>
        </w:rPr>
        <w:t>中华人民共和国预算法</w:t>
      </w:r>
      <w:r>
        <w:rPr>
          <w:lang w:val="zh-CN"/>
        </w:rPr>
        <w:t>》</w:t>
      </w:r>
      <w:r>
        <w:rPr>
          <w:rFonts w:hint="eastAsia"/>
          <w:lang w:val="zh-CN"/>
        </w:rPr>
        <w:t>；</w:t>
      </w:r>
    </w:p>
    <w:p>
      <w:pPr>
        <w:pStyle w:val="30"/>
        <w:bidi w:val="0"/>
        <w:rPr>
          <w:lang w:val="zh-CN"/>
        </w:rPr>
      </w:pPr>
      <w:r>
        <w:rPr>
          <w:rFonts w:hint="eastAsia"/>
          <w:lang w:val="zh-CN"/>
        </w:rPr>
        <w:t>2</w:t>
      </w:r>
      <w:r>
        <w:rPr>
          <w:rFonts w:hint="eastAsia"/>
          <w:lang w:val="en-US"/>
        </w:rPr>
        <w:t>.</w:t>
      </w:r>
      <w:r>
        <w:rPr>
          <w:lang w:val="zh-CN"/>
        </w:rPr>
        <w:t>中共中央国务院《关于全面实施预算绩效管理的意见》(中发〔2018〕34号);</w:t>
      </w:r>
    </w:p>
    <w:p>
      <w:pPr>
        <w:pStyle w:val="30"/>
        <w:bidi w:val="0"/>
        <w:rPr>
          <w:lang w:val="zh-CN"/>
        </w:rPr>
      </w:pPr>
      <w:r>
        <w:rPr>
          <w:rFonts w:hint="eastAsia"/>
          <w:lang w:val="zh-CN"/>
        </w:rPr>
        <w:t>3</w:t>
      </w:r>
      <w:r>
        <w:rPr>
          <w:rFonts w:hint="eastAsia"/>
          <w:lang w:val="en-US"/>
        </w:rPr>
        <w:t>.</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30"/>
        <w:bidi w:val="0"/>
        <w:rPr>
          <w:rFonts w:hint="eastAsia"/>
          <w:lang w:val="zh-CN"/>
        </w:rPr>
      </w:pPr>
      <w:r>
        <w:rPr>
          <w:rFonts w:hint="eastAsia"/>
          <w:lang w:val="zh-CN"/>
        </w:rPr>
        <w:t>4</w:t>
      </w:r>
      <w:r>
        <w:rPr>
          <w:rFonts w:hint="eastAsia"/>
          <w:lang w:val="en-US"/>
        </w:rPr>
        <w:t>.</w:t>
      </w:r>
      <w:r>
        <w:rPr>
          <w:rFonts w:hint="eastAsia"/>
          <w:lang w:val="zh-CN"/>
        </w:rPr>
        <w:t>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30"/>
        <w:bidi w:val="0"/>
        <w:rPr>
          <w:rFonts w:hint="default"/>
          <w:lang w:val="en-US"/>
        </w:rPr>
      </w:pPr>
      <w:r>
        <w:rPr>
          <w:rFonts w:hint="eastAsia"/>
          <w:lang w:val="en-US"/>
        </w:rPr>
        <w:t>5.唐山市财政局关于印发《唐山市市级项目支出绩效重点评价管理办法》的通知（唐财绩〔2020〕5号）；</w:t>
      </w:r>
    </w:p>
    <w:p>
      <w:pPr>
        <w:pStyle w:val="30"/>
        <w:bidi w:val="0"/>
        <w:rPr>
          <w:lang w:val="zh-CN"/>
        </w:rPr>
      </w:pPr>
      <w:r>
        <w:rPr>
          <w:rFonts w:hint="eastAsia"/>
          <w:lang w:val="en-US"/>
        </w:rPr>
        <w:t>6.</w:t>
      </w:r>
      <w:r>
        <w:rPr>
          <w:lang w:val="zh-CN"/>
        </w:rPr>
        <w:t>唐山市委、市政府印发《唐山市全面实施预算绩效管理的实施意见》(唐发〔2019〕22号);</w:t>
      </w:r>
    </w:p>
    <w:p>
      <w:pPr>
        <w:pStyle w:val="30"/>
        <w:bidi w:val="0"/>
        <w:rPr>
          <w:lang w:val="zh-CN"/>
        </w:rPr>
      </w:pPr>
      <w:r>
        <w:rPr>
          <w:rFonts w:hint="eastAsia"/>
          <w:lang w:val="en-US"/>
        </w:rPr>
        <w:t>7.</w:t>
      </w:r>
      <w:r>
        <w:rPr>
          <w:rFonts w:hint="eastAsia"/>
          <w:lang w:val="zh-CN"/>
        </w:rPr>
        <w:t>唐山市财政局《唐山市分行业分领域绩效指标和标准体系》；</w:t>
      </w:r>
    </w:p>
    <w:p>
      <w:pPr>
        <w:pStyle w:val="30"/>
        <w:bidi w:val="0"/>
        <w:rPr>
          <w:lang w:val="zh-CN"/>
        </w:rPr>
      </w:pPr>
      <w:r>
        <w:rPr>
          <w:rFonts w:hint="eastAsia"/>
          <w:lang w:val="en-US"/>
        </w:rPr>
        <w:t>8.</w:t>
      </w:r>
      <w:r>
        <w:rPr>
          <w:rFonts w:hint="eastAsia"/>
          <w:lang w:val="zh-CN"/>
        </w:rPr>
        <w:t>中国注册会计师协会《会计师事务所财政支出绩效评价业务指引》（会协〔2016〕10号）；</w:t>
      </w:r>
    </w:p>
    <w:p>
      <w:pPr>
        <w:pStyle w:val="30"/>
        <w:bidi w:val="0"/>
      </w:pPr>
      <w:r>
        <w:rPr>
          <w:rFonts w:hint="eastAsia"/>
          <w:lang w:val="en-US"/>
        </w:rPr>
        <w:t>9.</w:t>
      </w:r>
      <w:r>
        <w:rPr>
          <w:rFonts w:hint="eastAsia"/>
          <w:lang w:val="zh-CN"/>
        </w:rPr>
        <w:t>其他相关依据。</w:t>
      </w:r>
      <w:bookmarkStart w:id="18" w:name="_bookmark12"/>
      <w:bookmarkEnd w:id="18"/>
      <w:bookmarkStart w:id="19" w:name="_bookmark13"/>
      <w:bookmarkEnd w:id="19"/>
      <w:bookmarkStart w:id="20" w:name="_bookmark11"/>
      <w:bookmarkEnd w:id="20"/>
    </w:p>
    <w:p>
      <w:pPr>
        <w:pStyle w:val="28"/>
        <w:bidi w:val="0"/>
        <w:rPr>
          <w:rFonts w:hint="eastAsia"/>
        </w:rPr>
      </w:pPr>
      <w:bookmarkStart w:id="21" w:name="_Toc29302682"/>
      <w:bookmarkStart w:id="22" w:name="_Toc14185"/>
      <w:r>
        <w:rPr>
          <w:rFonts w:hint="eastAsia"/>
        </w:rPr>
        <w:t>（三）评价对象、范围</w:t>
      </w:r>
      <w:bookmarkEnd w:id="21"/>
      <w:r>
        <w:rPr>
          <w:rFonts w:hint="eastAsia"/>
        </w:rPr>
        <w:t>及内容</w:t>
      </w:r>
      <w:bookmarkEnd w:id="22"/>
    </w:p>
    <w:p>
      <w:pPr>
        <w:pStyle w:val="30"/>
        <w:bidi w:val="0"/>
        <w:rPr>
          <w:lang w:val="zh-CN"/>
        </w:rPr>
      </w:pPr>
      <w:r>
        <w:rPr>
          <w:rFonts w:hint="eastAsia"/>
          <w:lang w:val="zh-CN"/>
        </w:rPr>
        <w:t>1.</w:t>
      </w:r>
      <w:r>
        <w:rPr>
          <w:rFonts w:hint="eastAsia"/>
        </w:rPr>
        <w:t>绩效评价的对象</w:t>
      </w:r>
    </w:p>
    <w:p>
      <w:pPr>
        <w:pStyle w:val="30"/>
        <w:bidi w:val="0"/>
        <w:rPr>
          <w:rFonts w:hint="eastAsia"/>
        </w:rPr>
      </w:pPr>
      <w:r>
        <w:rPr>
          <w:rFonts w:hint="eastAsia"/>
        </w:rPr>
        <w:t>遵化市民政局2022年高龄老人津贴项目。</w:t>
      </w:r>
    </w:p>
    <w:p>
      <w:pPr>
        <w:pStyle w:val="30"/>
        <w:bidi w:val="0"/>
        <w:rPr>
          <w:lang w:val="zh-CN"/>
        </w:rPr>
      </w:pPr>
      <w:r>
        <w:rPr>
          <w:rFonts w:hint="eastAsia"/>
          <w:lang w:val="zh-CN"/>
        </w:rPr>
        <w:t>2.绩效评价的范围</w:t>
      </w:r>
    </w:p>
    <w:p>
      <w:pPr>
        <w:pStyle w:val="30"/>
        <w:bidi w:val="0"/>
        <w:rPr>
          <w:lang w:val="zh-CN"/>
        </w:rPr>
      </w:pPr>
      <w:r>
        <w:rPr>
          <w:rFonts w:hint="eastAsia"/>
          <w:lang w:val="zh-CN"/>
        </w:rPr>
        <w:t>遵化市民政局2022年高龄老人津贴项目完成情况、服务经费投入的运行情况、项目实施后产生的绩效情况。</w:t>
      </w:r>
    </w:p>
    <w:p>
      <w:pPr>
        <w:pStyle w:val="30"/>
        <w:bidi w:val="0"/>
        <w:rPr>
          <w:lang w:val="zh-CN"/>
        </w:rPr>
      </w:pPr>
      <w:r>
        <w:rPr>
          <w:rFonts w:hint="eastAsia"/>
          <w:lang w:val="zh-CN"/>
        </w:rPr>
        <w:t>3.</w:t>
      </w:r>
      <w:r>
        <w:rPr>
          <w:rFonts w:hint="eastAsia"/>
        </w:rPr>
        <w:t>绩效评价的内容</w:t>
      </w:r>
    </w:p>
    <w:p>
      <w:pPr>
        <w:pStyle w:val="30"/>
        <w:bidi w:val="0"/>
      </w:pPr>
      <w:bookmarkStart w:id="23" w:name="_Hlk79574200"/>
      <w:bookmarkStart w:id="24" w:name="_Toc29302683"/>
      <w:r>
        <w:rPr>
          <w:rFonts w:hint="eastAsia"/>
        </w:rPr>
        <w:t>（</w:t>
      </w:r>
      <w:r>
        <w:t>1</w:t>
      </w:r>
      <w:r>
        <w:rPr>
          <w:rFonts w:hint="eastAsia"/>
        </w:rPr>
        <w:t>）绩效目标的设定情况。重点评价绩效目标设立的充分性、明确性、合理性以及细化程度。</w:t>
      </w:r>
    </w:p>
    <w:p>
      <w:pPr>
        <w:pStyle w:val="30"/>
        <w:bidi w:val="0"/>
      </w:pPr>
      <w:r>
        <w:rPr>
          <w:rFonts w:hint="eastAsia"/>
        </w:rPr>
        <w:t>（</w:t>
      </w:r>
      <w:r>
        <w:t>2</w:t>
      </w:r>
      <w:r>
        <w:rPr>
          <w:rFonts w:hint="eastAsia"/>
        </w:rPr>
        <w:t>）资金投入和使用情况。重点评价资金分配过程、投入方式、资金到位、预算执行和结果。</w:t>
      </w:r>
    </w:p>
    <w:p>
      <w:pPr>
        <w:pStyle w:val="30"/>
        <w:bidi w:val="0"/>
      </w:pPr>
      <w:r>
        <w:rPr>
          <w:rFonts w:hint="eastAsia"/>
        </w:rPr>
        <w:t>（</w:t>
      </w:r>
      <w:r>
        <w:t>3</w:t>
      </w:r>
      <w:r>
        <w:rPr>
          <w:rFonts w:hint="eastAsia"/>
        </w:rPr>
        <w:t>）为实现绩效目标制定的制度、采取的措施等，包括项目管理制度、财务管理制度和绩效跟踪管理措施等。</w:t>
      </w:r>
    </w:p>
    <w:p>
      <w:pPr>
        <w:pStyle w:val="30"/>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经济效益、可持续性</w:t>
      </w:r>
      <w:r>
        <w:rPr>
          <w:rFonts w:hint="eastAsia"/>
          <w:lang w:val="zh-CN"/>
        </w:rPr>
        <w:t>及满意度。</w:t>
      </w:r>
    </w:p>
    <w:bookmarkEnd w:id="23"/>
    <w:p>
      <w:pPr>
        <w:pStyle w:val="30"/>
        <w:bidi w:val="0"/>
        <w:rPr>
          <w:lang w:val="zh-CN"/>
        </w:rPr>
      </w:pPr>
      <w:r>
        <w:rPr>
          <w:rFonts w:hint="eastAsia"/>
          <w:lang w:val="zh-CN"/>
        </w:rPr>
        <w:t>（5）其他相关内容。</w:t>
      </w:r>
    </w:p>
    <w:p>
      <w:pPr>
        <w:pStyle w:val="28"/>
        <w:bidi w:val="0"/>
        <w:rPr>
          <w:rFonts w:hint="eastAsia"/>
        </w:rPr>
      </w:pPr>
      <w:bookmarkStart w:id="25" w:name="_Toc19212"/>
      <w:r>
        <w:rPr>
          <w:rFonts w:hint="eastAsia"/>
        </w:rPr>
        <w:t>（四）绩效评价指标体系</w:t>
      </w:r>
      <w:bookmarkEnd w:id="24"/>
      <w:bookmarkEnd w:id="25"/>
    </w:p>
    <w:p>
      <w:pPr>
        <w:pStyle w:val="30"/>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en-US"/>
        </w:rPr>
        <w:t>决策</w:t>
      </w:r>
      <w:r>
        <w:rPr>
          <w:rFonts w:hint="eastAsia"/>
          <w:lang w:val="zh-CN"/>
        </w:rPr>
        <w:t>指标”“过程指标”“产出指标”“效益指标”4个一级评价指标、10个二级评价指标、1</w:t>
      </w:r>
      <w:r>
        <w:rPr>
          <w:rFonts w:hint="eastAsia"/>
          <w:lang w:val="en-US"/>
        </w:rPr>
        <w:t>9</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30"/>
        <w:bidi w:val="0"/>
        <w:rPr>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30"/>
        <w:bidi w:val="0"/>
      </w:pPr>
      <w:r>
        <w:rPr>
          <w:rFonts w:hint="eastAsia"/>
        </w:rPr>
        <w:t>2</w:t>
      </w:r>
      <w:r>
        <w:rPr>
          <w:rFonts w:hint="eastAsia"/>
          <w:lang w:eastAsia="zh-CN"/>
        </w:rPr>
        <w:t>.</w:t>
      </w:r>
      <w:r>
        <w:rPr>
          <w:rFonts w:hint="eastAsia"/>
        </w:rPr>
        <w:t>过程指标：包含资金管理和组织实施，主要考核项目资金到位率、预算执行率、资金使用合规性以及制度建设的健全性、执行的有效性以及程序实施的规范性等。</w:t>
      </w:r>
    </w:p>
    <w:p>
      <w:pPr>
        <w:pStyle w:val="30"/>
        <w:bidi w:val="0"/>
      </w:pPr>
      <w:r>
        <w:rPr>
          <w:rFonts w:hint="eastAsia"/>
        </w:rPr>
        <w:t>3</w:t>
      </w:r>
      <w:r>
        <w:rPr>
          <w:rFonts w:hint="eastAsia"/>
          <w:lang w:eastAsia="zh-CN"/>
        </w:rPr>
        <w:t>.</w:t>
      </w:r>
      <w:r>
        <w:rPr>
          <w:rFonts w:hint="eastAsia"/>
        </w:rPr>
        <w:t>产出指标：包含产出数量、产出质量、产出时效和产出成本，对各项具体指标完成情况进行定性及定量分析评价。</w:t>
      </w:r>
    </w:p>
    <w:p>
      <w:pPr>
        <w:pStyle w:val="30"/>
        <w:bidi w:val="0"/>
        <w:rPr>
          <w:lang w:val="zh-CN"/>
        </w:rPr>
      </w:pPr>
      <w:r>
        <w:rPr>
          <w:rFonts w:hint="eastAsia"/>
        </w:rPr>
        <w:t>4</w:t>
      </w:r>
      <w:r>
        <w:rPr>
          <w:rFonts w:hint="eastAsia"/>
          <w:lang w:eastAsia="zh-CN"/>
        </w:rPr>
        <w:t>.</w:t>
      </w:r>
      <w:r>
        <w:rPr>
          <w:rFonts w:hint="eastAsia"/>
        </w:rPr>
        <w:t>效益指标：</w:t>
      </w:r>
      <w:r>
        <w:rPr>
          <w:rFonts w:hint="eastAsia"/>
          <w:lang w:val="zh-CN"/>
        </w:rPr>
        <w:t>包含社会效益、</w:t>
      </w:r>
      <w:r>
        <w:rPr>
          <w:rFonts w:hint="eastAsia"/>
          <w:lang w:val="en-US"/>
        </w:rPr>
        <w:t>经济效益</w:t>
      </w:r>
      <w:r>
        <w:rPr>
          <w:rFonts w:hint="eastAsia"/>
          <w:lang w:val="zh-CN"/>
        </w:rPr>
        <w:t>、</w:t>
      </w:r>
      <w:r>
        <w:rPr>
          <w:rFonts w:hint="eastAsia"/>
        </w:rPr>
        <w:t>可持续影响及</w:t>
      </w:r>
      <w:r>
        <w:rPr>
          <w:rFonts w:hint="eastAsia"/>
          <w:lang w:val="zh-CN"/>
        </w:rPr>
        <w:t>满意度，主要反映和考核项目实施所产生的效益及社会公众或服务对象对项目实施效果的满意程度。</w:t>
      </w:r>
    </w:p>
    <w:p>
      <w:pPr>
        <w:pStyle w:val="30"/>
        <w:bidi w:val="0"/>
        <w:rPr>
          <w:rFonts w:ascii="仿宋" w:hAnsi="仿宋" w:eastAsia="仿宋" w:cs="仿宋_GB2312"/>
          <w:szCs w:val="30"/>
          <w:lang w:val="zh-CN" w:bidi="zh-CN"/>
        </w:rPr>
      </w:pPr>
      <w:r>
        <w:rPr>
          <w:rFonts w:hint="eastAsia"/>
          <w:lang w:val="zh-CN"/>
        </w:rPr>
        <w:t>指标体系和评分标准参见附表2《</w:t>
      </w:r>
      <w:r>
        <w:rPr>
          <w:rFonts w:hint="eastAsia"/>
          <w:lang w:val="en-US"/>
        </w:rPr>
        <w:t>遵化市民政局2022年高龄老人津贴项目</w:t>
      </w:r>
      <w:r>
        <w:rPr>
          <w:rFonts w:hint="eastAsia"/>
          <w:lang w:val="zh-CN"/>
        </w:rPr>
        <w:t>绩效评价指标表》。</w:t>
      </w:r>
    </w:p>
    <w:p>
      <w:pPr>
        <w:pStyle w:val="28"/>
        <w:bidi w:val="0"/>
        <w:rPr>
          <w:rFonts w:hint="eastAsia"/>
        </w:rPr>
      </w:pPr>
      <w:bookmarkStart w:id="26" w:name="_Toc29302684"/>
      <w:bookmarkStart w:id="27" w:name="_Toc5147"/>
      <w:bookmarkStart w:id="28" w:name="_Toc29302685"/>
      <w:r>
        <w:rPr>
          <w:rFonts w:hint="eastAsia"/>
        </w:rPr>
        <w:t>（五）绩效评价原则、评价方法</w:t>
      </w:r>
      <w:bookmarkEnd w:id="26"/>
      <w:bookmarkEnd w:id="27"/>
    </w:p>
    <w:p>
      <w:pPr>
        <w:pStyle w:val="30"/>
        <w:bidi w:val="0"/>
        <w:rPr>
          <w:lang w:val="zh-CN"/>
        </w:rPr>
      </w:pPr>
      <w:r>
        <w:rPr>
          <w:rFonts w:hint="eastAsia"/>
          <w:lang w:val="zh-CN"/>
        </w:rPr>
        <w:t>1.绩效评价原则</w:t>
      </w:r>
    </w:p>
    <w:p>
      <w:pPr>
        <w:pStyle w:val="30"/>
        <w:bidi w:val="0"/>
      </w:pPr>
      <w:r>
        <w:rPr>
          <w:rFonts w:hint="eastAsia"/>
        </w:rPr>
        <w:t>科学规范：绩效评价注重财政资金支出的经济性、效率性和有效性，严格执行规定的程序，采用定量与定性分析相结合的方法。</w:t>
      </w:r>
    </w:p>
    <w:p>
      <w:pPr>
        <w:pStyle w:val="30"/>
        <w:bidi w:val="0"/>
      </w:pPr>
      <w:r>
        <w:rPr>
          <w:rFonts w:hint="eastAsia"/>
        </w:rPr>
        <w:t>公正公开：绩效评价客观、公正，标准统一、资料可靠，依法公开并接受监督。</w:t>
      </w:r>
    </w:p>
    <w:p>
      <w:pPr>
        <w:pStyle w:val="30"/>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30"/>
        <w:bidi w:val="0"/>
        <w:rPr>
          <w:lang w:val="zh-CN"/>
        </w:rPr>
      </w:pPr>
      <w:r>
        <w:rPr>
          <w:rFonts w:hint="eastAsia"/>
          <w:lang w:val="zh-CN"/>
        </w:rPr>
        <w:t>2.绩效评价方法</w:t>
      </w:r>
    </w:p>
    <w:p>
      <w:pPr>
        <w:pStyle w:val="30"/>
        <w:bidi w:val="0"/>
      </w:pPr>
      <w:r>
        <w:t>成本效益分析法：在绩效评价指标分析过程中，将项目实施投入的资金、人员及技术力量等与项目产出、效益进行关联性分析，以判断项目投入与产出是否成比例。</w:t>
      </w:r>
    </w:p>
    <w:p>
      <w:pPr>
        <w:pStyle w:val="30"/>
        <w:bidi w:val="0"/>
      </w:pPr>
      <w:bookmarkStart w:id="29" w:name="_bookmark14"/>
      <w:bookmarkEnd w:id="29"/>
      <w:r>
        <w:t>比较分析法</w:t>
      </w:r>
      <w:r>
        <w:rPr>
          <w:rFonts w:hint="eastAsia"/>
        </w:rPr>
        <w:t>：</w:t>
      </w:r>
      <w:r>
        <w:t>通过对项目的实际产出和取得效益与计划标准及设定目标进行对比，判断项目的绩效产出和效益的实现程度。</w:t>
      </w:r>
    </w:p>
    <w:p>
      <w:pPr>
        <w:pStyle w:val="30"/>
        <w:bidi w:val="0"/>
      </w:pPr>
      <w:r>
        <w:t>因素分析法</w:t>
      </w:r>
      <w:r>
        <w:rPr>
          <w:rFonts w:hint="eastAsia"/>
        </w:rPr>
        <w:t>：</w:t>
      </w:r>
      <w:r>
        <w:t>在对共性指标的评价时，主要通过对设置考察点进行因素分析，来确定对应指标的实现程度和存在问题。</w:t>
      </w:r>
    </w:p>
    <w:p>
      <w:pPr>
        <w:pStyle w:val="30"/>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30"/>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8"/>
        <w:spacing w:line="360" w:lineRule="auto"/>
        <w:ind w:firstLine="600" w:firstLineChars="200"/>
        <w:jc w:val="left"/>
        <w:outlineLvl w:val="1"/>
        <w:rPr>
          <w:rFonts w:hint="eastAsia" w:ascii="华文楷体" w:hAnsi="华文楷体" w:eastAsia="华文楷体" w:cs="华文楷体"/>
          <w:bCs/>
          <w:sz w:val="30"/>
          <w:szCs w:val="30"/>
        </w:rPr>
      </w:pPr>
      <w:bookmarkStart w:id="30" w:name="_Toc12022"/>
      <w:r>
        <w:rPr>
          <w:rFonts w:hint="eastAsia" w:ascii="华文楷体" w:hAnsi="华文楷体" w:eastAsia="华文楷体" w:cs="华文楷体"/>
          <w:bCs/>
          <w:sz w:val="30"/>
          <w:szCs w:val="30"/>
        </w:rPr>
        <w:t>（六）绩效评价工作过程</w:t>
      </w:r>
      <w:bookmarkEnd w:id="28"/>
      <w:bookmarkEnd w:id="30"/>
    </w:p>
    <w:p>
      <w:pPr>
        <w:pStyle w:val="30"/>
        <w:bidi w:val="0"/>
        <w:rPr>
          <w:lang w:val="zh-CN"/>
        </w:rPr>
      </w:pPr>
      <w:bookmarkStart w:id="31" w:name="_Toc35502614"/>
      <w:bookmarkStart w:id="32" w:name="_Toc56500100"/>
      <w:bookmarkStart w:id="33" w:name="_Toc29302686"/>
      <w:r>
        <w:rPr>
          <w:rFonts w:hint="eastAsia"/>
          <w:lang w:val="zh-CN"/>
        </w:rPr>
        <w:t>1.评价前期准备阶段</w:t>
      </w:r>
      <w:bookmarkEnd w:id="31"/>
      <w:bookmarkEnd w:id="32"/>
    </w:p>
    <w:p>
      <w:pPr>
        <w:pStyle w:val="30"/>
        <w:bidi w:val="0"/>
        <w:rPr>
          <w:lang w:val="zh-CN"/>
        </w:rPr>
      </w:pPr>
      <w:r>
        <w:rPr>
          <w:rFonts w:hint="eastAsia"/>
          <w:lang w:val="zh-CN"/>
        </w:rPr>
        <w:t>（1）财政局召开三方会议并介绍绩效评价相关情况，向</w:t>
      </w:r>
      <w:r>
        <w:rPr>
          <w:rFonts w:hint="eastAsia"/>
          <w:lang w:val="en-US"/>
        </w:rPr>
        <w:t>民政局</w:t>
      </w:r>
      <w:r>
        <w:rPr>
          <w:rFonts w:hint="eastAsia"/>
          <w:lang w:val="zh-CN"/>
        </w:rPr>
        <w:t>下达《绩效评价通知书》，事务所向</w:t>
      </w:r>
      <w:r>
        <w:rPr>
          <w:rFonts w:hint="eastAsia"/>
          <w:lang w:val="en-US"/>
        </w:rPr>
        <w:t>民政局</w:t>
      </w:r>
      <w:r>
        <w:rPr>
          <w:rFonts w:hint="eastAsia"/>
          <w:lang w:val="zh-CN"/>
        </w:rPr>
        <w:t>发放《绩效评价资料清单》并确定资料提交时间。</w:t>
      </w:r>
    </w:p>
    <w:p>
      <w:pPr>
        <w:pStyle w:val="30"/>
        <w:bidi w:val="0"/>
        <w:rPr>
          <w:lang w:val="zh-CN"/>
        </w:rPr>
      </w:pPr>
      <w:r>
        <w:rPr>
          <w:rFonts w:hint="eastAsia"/>
          <w:lang w:val="zh-CN"/>
        </w:rPr>
        <w:t>（2）成立评价组，明确工作范围和职责，提出本次绩效评价的要求，初步确定评价的总体时间安排。</w:t>
      </w:r>
    </w:p>
    <w:p>
      <w:pPr>
        <w:pStyle w:val="30"/>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30"/>
        <w:bidi w:val="0"/>
        <w:rPr>
          <w:lang w:val="zh-CN"/>
        </w:rPr>
      </w:pPr>
      <w:bookmarkStart w:id="34" w:name="_Toc56500101"/>
      <w:bookmarkStart w:id="35" w:name="_Toc35502615"/>
      <w:r>
        <w:rPr>
          <w:rFonts w:hint="eastAsia"/>
          <w:lang w:val="zh-CN"/>
        </w:rPr>
        <w:t>2.评价指标体系设计阶段</w:t>
      </w:r>
      <w:bookmarkEnd w:id="34"/>
      <w:bookmarkEnd w:id="35"/>
    </w:p>
    <w:p>
      <w:pPr>
        <w:pStyle w:val="30"/>
        <w:bidi w:val="0"/>
      </w:pPr>
      <w:bookmarkStart w:id="36" w:name="_Toc56500102"/>
      <w:bookmarkStart w:id="37"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30"/>
        <w:bidi w:val="0"/>
      </w:pPr>
      <w:r>
        <w:rPr>
          <w:rFonts w:hint="eastAsia"/>
        </w:rPr>
        <w:t>（</w:t>
      </w:r>
      <w:r>
        <w:t>2</w:t>
      </w:r>
      <w:r>
        <w:rPr>
          <w:rFonts w:hint="eastAsia"/>
        </w:rPr>
        <w:t>）拟定的指标体系，在征求项目单位意见后进行补充和完善。</w:t>
      </w:r>
    </w:p>
    <w:p>
      <w:pPr>
        <w:pStyle w:val="30"/>
        <w:bidi w:val="0"/>
        <w:rPr>
          <w:lang w:val="zh-CN"/>
        </w:rPr>
      </w:pPr>
      <w:r>
        <w:rPr>
          <w:rFonts w:hint="eastAsia"/>
          <w:lang w:val="zh-CN"/>
        </w:rPr>
        <w:t>3.评价实施阶段</w:t>
      </w:r>
      <w:bookmarkEnd w:id="36"/>
      <w:bookmarkEnd w:id="37"/>
    </w:p>
    <w:p>
      <w:pPr>
        <w:pStyle w:val="30"/>
        <w:bidi w:val="0"/>
      </w:pPr>
      <w:r>
        <w:rPr>
          <w:rFonts w:hint="eastAsia"/>
        </w:rPr>
        <w:t>（</w:t>
      </w:r>
      <w:r>
        <w:t>1</w:t>
      </w:r>
      <w:r>
        <w:rPr>
          <w:rFonts w:hint="eastAsia"/>
        </w:rPr>
        <w:t>）对项目单位提交的项目资料进行汇总、整理</w:t>
      </w:r>
      <w:r>
        <w:rPr>
          <w:rFonts w:hint="eastAsia"/>
          <w:lang w:eastAsia="zh-CN"/>
        </w:rPr>
        <w:t>，</w:t>
      </w:r>
      <w:r>
        <w:rPr>
          <w:rFonts w:hint="eastAsia"/>
        </w:rPr>
        <w:t>检查、核实项目资料中的数据后，确定检查重点和疑点问题、检查方法及具体时间安排等。</w:t>
      </w:r>
    </w:p>
    <w:p>
      <w:pPr>
        <w:pStyle w:val="30"/>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30"/>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30"/>
        <w:bidi w:val="0"/>
        <w:rPr>
          <w:lang w:val="zh-CN"/>
        </w:rPr>
      </w:pPr>
      <w:bookmarkStart w:id="38" w:name="_Toc56500103"/>
      <w:bookmarkStart w:id="39" w:name="_Toc35502617"/>
      <w:r>
        <w:rPr>
          <w:rFonts w:hint="eastAsia"/>
          <w:lang w:val="zh-CN"/>
        </w:rPr>
        <w:t>4.评价报告阶段</w:t>
      </w:r>
      <w:bookmarkEnd w:id="38"/>
      <w:bookmarkEnd w:id="39"/>
    </w:p>
    <w:p>
      <w:pPr>
        <w:pStyle w:val="30"/>
        <w:bidi w:val="0"/>
        <w:rPr>
          <w:lang w:val="zh-CN"/>
        </w:rPr>
      </w:pPr>
      <w:r>
        <w:rPr>
          <w:rFonts w:hint="eastAsia"/>
          <w:lang w:val="zh-CN"/>
        </w:rPr>
        <w:t>（1）对项目的相关资料进行分析汇总。</w:t>
      </w:r>
    </w:p>
    <w:p>
      <w:pPr>
        <w:pStyle w:val="30"/>
        <w:bidi w:val="0"/>
        <w:rPr>
          <w:rFonts w:ascii="仿宋" w:hAnsi="仿宋" w:eastAsia="仿宋" w:cs="仿宋_GB2312"/>
          <w:szCs w:val="32"/>
          <w:lang w:val="zh-CN" w:bidi="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遵化市民政局2022年高龄老人津贴项目</w:t>
      </w:r>
      <w:r>
        <w:rPr>
          <w:rFonts w:hint="eastAsia"/>
          <w:lang w:val="zh-CN"/>
        </w:rPr>
        <w:t>绩效评价报告（包括文字和表格部分）。</w:t>
      </w:r>
      <w:r>
        <w:rPr>
          <w:rFonts w:hint="eastAsia" w:ascii="仿宋" w:hAnsi="仿宋" w:eastAsia="仿宋" w:cs="仿宋_GB2312"/>
          <w:szCs w:val="30"/>
          <w:lang w:val="zh-CN" w:bidi="zh-CN"/>
        </w:rPr>
        <w:t xml:space="preserve"> </w:t>
      </w:r>
      <w:r>
        <w:rPr>
          <w:rFonts w:hint="eastAsia" w:ascii="仿宋" w:hAnsi="仿宋" w:eastAsia="仿宋" w:cs="仿宋_GB2312"/>
          <w:szCs w:val="32"/>
          <w:lang w:val="zh-CN" w:bidi="zh-CN"/>
        </w:rPr>
        <w:t xml:space="preserve">  </w:t>
      </w:r>
    </w:p>
    <w:p>
      <w:pPr>
        <w:pStyle w:val="29"/>
        <w:bidi w:val="0"/>
      </w:pPr>
      <w:bookmarkStart w:id="40" w:name="_Toc13948"/>
      <w:r>
        <w:rPr>
          <w:rFonts w:hint="eastAsia"/>
        </w:rPr>
        <w:t>四、</w:t>
      </w:r>
      <w:bookmarkEnd w:id="33"/>
      <w:r>
        <w:rPr>
          <w:rFonts w:hint="eastAsia"/>
        </w:rPr>
        <w:t>项目绩效情况</w:t>
      </w:r>
      <w:bookmarkEnd w:id="40"/>
    </w:p>
    <w:p>
      <w:pPr>
        <w:pStyle w:val="28"/>
        <w:bidi w:val="0"/>
        <w:rPr>
          <w:rFonts w:hint="eastAsia" w:ascii="华文楷体" w:hAnsi="华文楷体" w:eastAsia="华文楷体" w:cs="华文楷体"/>
          <w:bCs/>
          <w:szCs w:val="30"/>
        </w:rPr>
      </w:pPr>
      <w:bookmarkStart w:id="41" w:name="_Toc10521"/>
      <w:r>
        <w:rPr>
          <w:rFonts w:hint="eastAsia"/>
        </w:rPr>
        <w:t>（一）项目产出</w:t>
      </w:r>
      <w:bookmarkEnd w:id="41"/>
    </w:p>
    <w:p>
      <w:pPr>
        <w:pStyle w:val="30"/>
        <w:bidi w:val="0"/>
        <w:rPr>
          <w:rFonts w:hint="default"/>
          <w:lang w:val="en-US" w:eastAsia="zh-CN"/>
        </w:rPr>
      </w:pPr>
      <w:r>
        <w:rPr>
          <w:rFonts w:hint="eastAsia"/>
          <w:lang w:val="en-US" w:eastAsia="zh-CN"/>
        </w:rPr>
        <w:t>2022年民政局共为17785名80周岁以上高龄老人发放津贴342.98万元，达到了预期目标17000人且项目成本控制在预算目标范围内。</w:t>
      </w:r>
    </w:p>
    <w:p>
      <w:pPr>
        <w:pStyle w:val="28"/>
        <w:bidi w:val="0"/>
        <w:rPr>
          <w:rFonts w:hint="eastAsia" w:ascii="华文楷体" w:hAnsi="华文楷体" w:eastAsia="华文楷体" w:cs="华文楷体"/>
          <w:bCs/>
          <w:szCs w:val="30"/>
          <w:lang w:val="en-US" w:eastAsia="zh-CN"/>
        </w:rPr>
      </w:pPr>
      <w:bookmarkStart w:id="42" w:name="_Toc16742"/>
      <w:r>
        <w:rPr>
          <w:rFonts w:hint="eastAsia"/>
          <w:lang w:eastAsia="zh-CN"/>
        </w:rPr>
        <w:t>（</w:t>
      </w:r>
      <w:r>
        <w:rPr>
          <w:rFonts w:hint="eastAsia"/>
          <w:lang w:val="en-US" w:eastAsia="zh-CN"/>
        </w:rPr>
        <w:t>二</w:t>
      </w:r>
      <w:r>
        <w:rPr>
          <w:rFonts w:hint="eastAsia"/>
          <w:lang w:eastAsia="zh-CN"/>
        </w:rPr>
        <w:t>）</w:t>
      </w:r>
      <w:r>
        <w:rPr>
          <w:rFonts w:hint="eastAsia"/>
        </w:rPr>
        <w:t>项目效益</w:t>
      </w:r>
      <w:bookmarkEnd w:id="42"/>
    </w:p>
    <w:p>
      <w:pPr>
        <w:pStyle w:val="30"/>
        <w:bidi w:val="0"/>
        <w:rPr>
          <w:rFonts w:hint="eastAsia"/>
          <w:lang w:val="en-US" w:eastAsia="zh-CN"/>
        </w:rPr>
      </w:pPr>
      <w:r>
        <w:rPr>
          <w:rFonts w:hint="eastAsia"/>
          <w:lang w:val="en-US" w:eastAsia="zh-CN"/>
        </w:rPr>
        <w:t>高龄津贴项目受益对象为80周岁以上的高龄老人，属于社会的弱势群体，一旦生活遇到困难，基本没有任何经济来源，完全靠政府救助，该项目的实施在一定程度上解决了弱势群体生存问题，提升了老年人的生活水平，平衡了社会矛盾，维护了社会稳定，促进了社会公平正义。</w:t>
      </w:r>
    </w:p>
    <w:p>
      <w:pPr>
        <w:pStyle w:val="29"/>
        <w:bidi w:val="0"/>
        <w:rPr>
          <w:rFonts w:hint="eastAsia"/>
        </w:rPr>
      </w:pPr>
      <w:bookmarkStart w:id="43" w:name="_Toc17670"/>
      <w:r>
        <w:rPr>
          <w:rFonts w:hint="eastAsia"/>
        </w:rPr>
        <w:t>五、综合评价情况及评价结论</w:t>
      </w:r>
      <w:bookmarkEnd w:id="43"/>
    </w:p>
    <w:p>
      <w:pPr>
        <w:pStyle w:val="30"/>
        <w:bidi w:val="0"/>
        <w:rPr>
          <w:rFonts w:hint="eastAsia"/>
          <w:lang w:val="zh-CN"/>
        </w:rPr>
      </w:pPr>
      <w:r>
        <w:rPr>
          <w:rFonts w:hint="eastAsia"/>
          <w:lang w:val="zh-CN"/>
        </w:rPr>
        <w:t>依据遵化市民政局2022年高龄老人津贴项目绩效评价指标和相关数据，对照评分标准和绩效分值，通过对决策、过程、产出与效益四个方面的逐项分析评价，遵化市民政局2022年高龄老人津贴项目绩效评价得分</w:t>
      </w:r>
      <w:r>
        <w:rPr>
          <w:rFonts w:hint="eastAsia"/>
          <w:lang w:val="en-US"/>
        </w:rPr>
        <w:t>82.50</w:t>
      </w:r>
      <w:r>
        <w:rPr>
          <w:rFonts w:hint="eastAsia"/>
          <w:lang w:val="zh-CN"/>
        </w:rPr>
        <w:t>分，综合评价等级为“</w:t>
      </w:r>
      <w:r>
        <w:rPr>
          <w:rFonts w:hint="eastAsia"/>
          <w:lang w:val="en-US"/>
        </w:rPr>
        <w:t>良</w:t>
      </w:r>
      <w:r>
        <w:rPr>
          <w:rFonts w:hint="eastAsia"/>
          <w:lang w:val="zh-CN"/>
        </w:rPr>
        <w:t>”。具体情况如下：</w:t>
      </w:r>
    </w:p>
    <w:p>
      <w:pPr>
        <w:pStyle w:val="2"/>
        <w:rPr>
          <w:lang w:val="zh-CN"/>
        </w:rPr>
      </w:pPr>
    </w:p>
    <w:p>
      <w:pPr>
        <w:pStyle w:val="26"/>
        <w:bidi w:val="0"/>
        <w:rPr>
          <w:rFonts w:hint="eastAsia"/>
        </w:rPr>
      </w:pPr>
      <w:r>
        <w:rPr>
          <w:rFonts w:hint="eastAsia"/>
          <w:lang w:eastAsia="zh-CN"/>
        </w:rPr>
        <w:t>遵化市民政局2022年高龄老人津贴项目</w:t>
      </w:r>
    </w:p>
    <w:p>
      <w:pPr>
        <w:pStyle w:val="26"/>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sz w:val="24"/>
                <w:szCs w:val="24"/>
              </w:rPr>
            </w:pPr>
            <w:r>
              <w:rPr>
                <w:rFonts w:hint="eastAsia" w:ascii="仿宋" w:hAnsi="仿宋" w:eastAsia="仿宋" w:cs="宋体"/>
                <w:b/>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sz w:val="24"/>
                <w:szCs w:val="24"/>
              </w:rPr>
            </w:pPr>
            <w:r>
              <w:rPr>
                <w:rFonts w:hint="eastAsia" w:ascii="仿宋" w:hAnsi="仿宋" w:eastAsia="仿宋" w:cs="宋体"/>
                <w:b/>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sz w:val="24"/>
                <w:szCs w:val="24"/>
              </w:rPr>
            </w:pPr>
            <w:r>
              <w:rPr>
                <w:rFonts w:hint="eastAsia" w:ascii="仿宋" w:hAnsi="仿宋" w:eastAsia="仿宋" w:cs="宋体"/>
                <w:b/>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sz w:val="24"/>
                <w:szCs w:val="24"/>
              </w:rPr>
            </w:pPr>
            <w:r>
              <w:rPr>
                <w:rFonts w:hint="eastAsia" w:ascii="仿宋" w:hAnsi="仿宋" w:eastAsia="仿宋" w:cs="宋体"/>
                <w:b/>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sz w:val="24"/>
                <w:szCs w:val="24"/>
              </w:rPr>
            </w:pPr>
            <w:r>
              <w:rPr>
                <w:rFonts w:hint="eastAsia" w:ascii="仿宋" w:hAnsi="仿宋" w:eastAsia="仿宋" w:cs="宋体"/>
                <w:bCs/>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sz w:val="24"/>
                <w:szCs w:val="24"/>
                <w:lang w:bidi="zh-CN"/>
              </w:rPr>
            </w:pPr>
            <w:r>
              <w:rPr>
                <w:rFonts w:hint="eastAsia" w:ascii="仿宋" w:hAnsi="仿宋" w:eastAsia="仿宋" w:cs="仿宋_GB2312"/>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sz w:val="24"/>
                <w:szCs w:val="24"/>
                <w:lang w:val="en-US" w:bidi="zh-CN"/>
              </w:rPr>
            </w:pPr>
            <w:r>
              <w:rPr>
                <w:rFonts w:hint="eastAsia" w:ascii="仿宋" w:hAnsi="仿宋" w:eastAsia="仿宋" w:cs="仿宋_GB2312"/>
                <w:sz w:val="24"/>
                <w:szCs w:val="24"/>
                <w:lang w:val="en-US" w:bidi="zh-CN"/>
              </w:rPr>
              <w:t>10.50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sz w:val="24"/>
                <w:szCs w:val="24"/>
              </w:rPr>
            </w:pPr>
            <w:r>
              <w:rPr>
                <w:rFonts w:hint="eastAsia" w:ascii="仿宋" w:hAnsi="仿宋" w:eastAsia="仿宋" w:cs="宋体"/>
                <w:bCs/>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sz w:val="24"/>
                <w:szCs w:val="24"/>
                <w:lang w:bidi="zh-CN"/>
              </w:rPr>
            </w:pPr>
            <w:r>
              <w:rPr>
                <w:rFonts w:hint="eastAsia" w:ascii="仿宋" w:hAnsi="仿宋" w:eastAsia="仿宋" w:cs="仿宋_GB2312"/>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sz w:val="24"/>
                <w:szCs w:val="24"/>
                <w:lang w:val="en-US" w:bidi="zh-CN"/>
              </w:rPr>
            </w:pPr>
            <w:r>
              <w:rPr>
                <w:rFonts w:hint="eastAsia" w:ascii="仿宋" w:hAnsi="仿宋" w:eastAsia="仿宋" w:cs="仿宋_GB2312"/>
                <w:sz w:val="24"/>
                <w:szCs w:val="24"/>
                <w:lang w:val="en-US" w:bidi="zh-CN"/>
              </w:rPr>
              <w:t>27.00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93.10%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sz w:val="24"/>
                <w:szCs w:val="24"/>
              </w:rPr>
            </w:pPr>
            <w:r>
              <w:rPr>
                <w:rFonts w:hint="eastAsia" w:ascii="仿宋" w:hAnsi="仿宋" w:eastAsia="仿宋" w:cs="宋体"/>
                <w:bCs/>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sz w:val="24"/>
                <w:szCs w:val="24"/>
                <w:lang w:bidi="zh-CN"/>
              </w:rPr>
            </w:pPr>
            <w:r>
              <w:rPr>
                <w:rFonts w:hint="eastAsia" w:ascii="仿宋" w:hAnsi="仿宋" w:eastAsia="仿宋" w:cs="仿宋_GB2312"/>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sz w:val="24"/>
                <w:szCs w:val="24"/>
                <w:lang w:val="en-US" w:bidi="zh-CN"/>
              </w:rPr>
            </w:pPr>
            <w:r>
              <w:rPr>
                <w:rFonts w:hint="eastAsia" w:ascii="仿宋" w:hAnsi="仿宋" w:eastAsia="仿宋" w:cs="仿宋_GB2312"/>
                <w:sz w:val="24"/>
                <w:szCs w:val="24"/>
                <w:lang w:val="en-US" w:bidi="zh-CN"/>
              </w:rPr>
              <w:t>28.00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sz w:val="24"/>
                <w:szCs w:val="24"/>
              </w:rPr>
            </w:pPr>
            <w:r>
              <w:rPr>
                <w:rFonts w:hint="eastAsia" w:ascii="仿宋" w:hAnsi="仿宋" w:eastAsia="仿宋" w:cs="宋体"/>
                <w:bCs/>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sz w:val="24"/>
                <w:szCs w:val="24"/>
                <w:lang w:bidi="zh-CN"/>
              </w:rPr>
            </w:pPr>
            <w:r>
              <w:rPr>
                <w:rFonts w:hint="eastAsia" w:ascii="仿宋" w:hAnsi="仿宋" w:eastAsia="仿宋" w:cs="仿宋_GB2312"/>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sz w:val="24"/>
                <w:szCs w:val="24"/>
                <w:lang w:val="en-US" w:bidi="zh-CN"/>
              </w:rPr>
            </w:pPr>
            <w:r>
              <w:rPr>
                <w:rFonts w:hint="eastAsia" w:ascii="仿宋" w:hAnsi="仿宋" w:eastAsia="仿宋" w:cs="仿宋_GB2312"/>
                <w:sz w:val="24"/>
                <w:szCs w:val="24"/>
                <w:lang w:val="en-US" w:bidi="zh-CN"/>
              </w:rPr>
              <w:t>17.00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sz w:val="24"/>
                <w:szCs w:val="24"/>
              </w:rPr>
            </w:pPr>
            <w:r>
              <w:rPr>
                <w:rFonts w:hint="eastAsia" w:ascii="仿宋" w:hAnsi="仿宋" w:eastAsia="仿宋" w:cs="宋体"/>
                <w:bCs/>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sz w:val="24"/>
                <w:szCs w:val="24"/>
              </w:rPr>
            </w:pPr>
            <w:r>
              <w:rPr>
                <w:rFonts w:hint="eastAsia" w:ascii="仿宋" w:hAnsi="仿宋" w:eastAsia="仿宋" w:cs="仿宋_GB2312"/>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82.50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82.50%</w:t>
            </w:r>
          </w:p>
        </w:tc>
      </w:tr>
    </w:tbl>
    <w:p>
      <w:pPr>
        <w:autoSpaceDE/>
        <w:autoSpaceDN/>
        <w:adjustRightInd/>
        <w:jc w:val="both"/>
        <w:rPr>
          <w:rFonts w:ascii="Calibri" w:hAnsi="Calibri"/>
          <w:kern w:val="2"/>
          <w:sz w:val="21"/>
          <w:szCs w:val="22"/>
        </w:rPr>
      </w:pPr>
    </w:p>
    <w:p>
      <w:pPr>
        <w:spacing w:before="468" w:beforeLines="150" w:line="360" w:lineRule="auto"/>
        <w:ind w:firstLine="600" w:firstLineChars="200"/>
        <w:outlineLvl w:val="0"/>
        <w:rPr>
          <w:rFonts w:hint="default" w:ascii="黑体" w:hAnsi="黑体" w:eastAsia="黑体" w:cs="黑体"/>
          <w:bCs/>
          <w:sz w:val="30"/>
          <w:szCs w:val="30"/>
          <w:lang w:val="en-US" w:eastAsia="zh-CN"/>
        </w:rPr>
      </w:pPr>
      <w:bookmarkStart w:id="44" w:name="_Toc15805"/>
      <w:r>
        <w:rPr>
          <w:rFonts w:hint="eastAsia" w:ascii="黑体" w:hAnsi="黑体" w:eastAsia="黑体" w:cs="黑体"/>
          <w:bCs/>
          <w:sz w:val="30"/>
          <w:szCs w:val="30"/>
          <w:lang w:val="en-US" w:eastAsia="zh-CN"/>
        </w:rPr>
        <w:t>六、</w:t>
      </w:r>
      <w:r>
        <w:rPr>
          <w:rFonts w:hint="eastAsia" w:ascii="黑体" w:hAnsi="黑体" w:eastAsia="黑体" w:cs="黑体"/>
          <w:bCs/>
          <w:sz w:val="30"/>
          <w:szCs w:val="30"/>
        </w:rPr>
        <w:t>存在的主要问题</w:t>
      </w:r>
      <w:bookmarkEnd w:id="44"/>
    </w:p>
    <w:p>
      <w:pPr>
        <w:pStyle w:val="28"/>
        <w:bidi w:val="0"/>
        <w:rPr>
          <w:rFonts w:hint="default"/>
          <w:lang w:val="en-US" w:eastAsia="zh-CN"/>
        </w:rPr>
      </w:pPr>
      <w:bookmarkStart w:id="45" w:name="_Toc19781"/>
      <w:r>
        <w:rPr>
          <w:rFonts w:hint="eastAsia"/>
          <w:lang w:val="en-US" w:eastAsia="zh-CN"/>
        </w:rPr>
        <w:t>（一）以现金方式发放津贴</w:t>
      </w:r>
      <w:bookmarkEnd w:id="45"/>
    </w:p>
    <w:p>
      <w:pPr>
        <w:pStyle w:val="30"/>
        <w:bidi w:val="0"/>
        <w:rPr>
          <w:rFonts w:hint="default"/>
          <w:lang w:val="en-US" w:eastAsia="zh-CN"/>
        </w:rPr>
      </w:pPr>
      <w:r>
        <w:rPr>
          <w:rFonts w:hint="eastAsia"/>
          <w:lang w:val="en-US" w:eastAsia="zh-CN"/>
        </w:rPr>
        <w:t>部分乡镇存在以现金方式发放津贴的情况，且项目单位未提供养老院现金发放资料，评价组也未能对养老院老人进行走访，现金发放方式不利于资金监管及有效追踪，无法判断资金发放的真实性。</w:t>
      </w:r>
    </w:p>
    <w:p>
      <w:pPr>
        <w:pStyle w:val="28"/>
        <w:bidi w:val="0"/>
        <w:rPr>
          <w:rFonts w:hint="default" w:ascii="华文楷体" w:hAnsi="华文楷体" w:eastAsia="华文楷体" w:cs="华文楷体"/>
          <w:bCs/>
          <w:szCs w:val="30"/>
          <w:lang w:val="en-US" w:eastAsia="zh-CN"/>
        </w:rPr>
      </w:pPr>
      <w:bookmarkStart w:id="46" w:name="_Toc25685"/>
      <w:r>
        <w:rPr>
          <w:rFonts w:hint="eastAsia"/>
          <w:lang w:val="en-US" w:eastAsia="zh-CN"/>
        </w:rPr>
        <w:t>（二）津贴发放不合规</w:t>
      </w:r>
      <w:bookmarkEnd w:id="46"/>
    </w:p>
    <w:p>
      <w:pPr>
        <w:pStyle w:val="30"/>
        <w:bidi w:val="0"/>
        <w:rPr>
          <w:rFonts w:hint="default"/>
          <w:lang w:val="en-US" w:eastAsia="zh-CN"/>
        </w:rPr>
      </w:pPr>
      <w:r>
        <w:rPr>
          <w:rFonts w:hint="eastAsia"/>
          <w:lang w:val="en-US" w:eastAsia="zh-CN"/>
        </w:rPr>
        <w:t>《遵化市人民政府办公室关于在全市建立高龄老人生活补贴制度的实施意见》文件要求高龄老人生活补贴由民政部门负责每年发放一次，每年重阳节发放到人。根据项目单位提供的相关资料，评价组发现津贴发放时间为2022年12月与文件要求的重阳节发放不符。</w:t>
      </w:r>
    </w:p>
    <w:p>
      <w:pPr>
        <w:pStyle w:val="28"/>
        <w:bidi w:val="0"/>
        <w:rPr>
          <w:rFonts w:hint="default" w:ascii="华文楷体" w:hAnsi="华文楷体" w:eastAsia="华文楷体" w:cs="华文楷体"/>
          <w:bCs/>
          <w:szCs w:val="30"/>
          <w:lang w:val="en-US" w:eastAsia="zh-CN"/>
        </w:rPr>
      </w:pPr>
      <w:bookmarkStart w:id="47" w:name="_Toc30234"/>
      <w:r>
        <w:rPr>
          <w:rFonts w:hint="eastAsia"/>
          <w:lang w:val="en-US" w:eastAsia="zh-CN"/>
        </w:rPr>
        <w:t>（三）业务程序执行不规范</w:t>
      </w:r>
      <w:bookmarkEnd w:id="47"/>
    </w:p>
    <w:p>
      <w:pPr>
        <w:pStyle w:val="30"/>
        <w:bidi w:val="0"/>
        <w:rPr>
          <w:rFonts w:hint="default"/>
          <w:lang w:val="en-US" w:eastAsia="zh-CN"/>
        </w:rPr>
      </w:pPr>
      <w:r>
        <w:rPr>
          <w:rFonts w:hint="eastAsia"/>
          <w:lang w:val="en-US" w:eastAsia="zh-CN"/>
        </w:rPr>
        <w:t>2021年5月17日遵化市民政局下发了《遵化市关于2022年度高龄老人生活补贴数据统计的通知》，要求各乡镇（街道）对高龄老人进行数据统计，评价组未见各乡镇走访摸底资料。经沟通，各乡镇对高龄老人的统计方式为村民主动上报，该方式存在漏洞不利于全面摸排。</w:t>
      </w:r>
    </w:p>
    <w:p>
      <w:pPr>
        <w:pStyle w:val="28"/>
        <w:bidi w:val="0"/>
        <w:rPr>
          <w:rFonts w:hint="default" w:ascii="华文楷体" w:hAnsi="华文楷体" w:eastAsia="华文楷体" w:cs="华文楷体"/>
          <w:bCs/>
          <w:szCs w:val="30"/>
          <w:lang w:val="en-US" w:eastAsia="zh-CN"/>
        </w:rPr>
      </w:pPr>
      <w:bookmarkStart w:id="48" w:name="_Toc1054"/>
      <w:r>
        <w:rPr>
          <w:rFonts w:hint="eastAsia"/>
          <w:lang w:val="en-US" w:eastAsia="zh-CN"/>
        </w:rPr>
        <w:t>（四）绩效指标设置不规范</w:t>
      </w:r>
      <w:bookmarkEnd w:id="48"/>
    </w:p>
    <w:p>
      <w:pPr>
        <w:pStyle w:val="30"/>
        <w:bidi w:val="0"/>
        <w:rPr>
          <w:rFonts w:hint="default" w:ascii="仿宋" w:hAnsi="仿宋" w:eastAsia="仿宋" w:cs="仿宋_GB2312"/>
          <w:szCs w:val="30"/>
          <w:highlight w:val="none"/>
          <w:lang w:val="en-US" w:eastAsia="zh-CN" w:bidi="zh-CN"/>
        </w:rPr>
      </w:pPr>
      <w:r>
        <w:rPr>
          <w:rFonts w:hint="eastAsia"/>
          <w:lang w:val="en-US" w:eastAsia="zh-CN"/>
        </w:rPr>
        <w:t>根据项目单位提供的高龄老人津贴绩效目标表，发现绩效指标设置不规范，例如：社会效益指标中促进生态文明建设与本项目内容关联性较弱。</w:t>
      </w:r>
    </w:p>
    <w:p>
      <w:pPr>
        <w:pStyle w:val="29"/>
        <w:bidi w:val="0"/>
        <w:rPr>
          <w:lang w:val="zh-CN"/>
        </w:rPr>
      </w:pPr>
      <w:bookmarkStart w:id="49" w:name="_Toc30601"/>
      <w:r>
        <w:rPr>
          <w:rFonts w:hint="eastAsia"/>
        </w:rPr>
        <w:t>七、意见建议</w:t>
      </w:r>
      <w:bookmarkEnd w:id="49"/>
    </w:p>
    <w:p>
      <w:pPr>
        <w:pStyle w:val="30"/>
        <w:bidi w:val="0"/>
        <w:rPr>
          <w:rFonts w:hint="default"/>
          <w:lang w:val="en-US"/>
        </w:rPr>
      </w:pPr>
      <w:r>
        <w:rPr>
          <w:rFonts w:hint="eastAsia"/>
          <w:lang w:val="en-US"/>
        </w:rPr>
        <w:t>1.按照《遵化市人民政府办公室关于在全市建立高龄老人生活补贴制度的实施意见》等文件要求，落实资金及时、安全、高效地发放到高龄老年人手中，强化资金保障。加强对街道办事处、社区（村）的管理，定期抽查，对未按规定的标准、程序和时限办理审核的，未及时上报核减的，责令整改到位，并追求相关人员责任。</w:t>
      </w:r>
    </w:p>
    <w:p>
      <w:pPr>
        <w:pStyle w:val="30"/>
        <w:bidi w:val="0"/>
        <w:rPr>
          <w:rFonts w:hint="eastAsia"/>
          <w:lang w:val="en-US"/>
        </w:rPr>
      </w:pPr>
      <w:r>
        <w:rPr>
          <w:rFonts w:hint="eastAsia"/>
          <w:lang w:val="en-US"/>
        </w:rPr>
        <w:t>2.进一步提升预算编制水平，根据实际情况合理编制预算，预算资金申请和安排要做到精准，相关业务科室申报当年预算资金时，对业务形势要预判到位，充分调研各资金使用的需求，做好当年的资金分配方案，避免出现预算安排与资金实际支出不相匹配现象。</w:t>
      </w:r>
    </w:p>
    <w:p>
      <w:pPr>
        <w:pStyle w:val="30"/>
        <w:bidi w:val="0"/>
        <w:rPr>
          <w:rFonts w:hint="default" w:ascii="仿宋" w:hAnsi="仿宋" w:eastAsia="仿宋" w:cs="仿宋_GB2312"/>
          <w:szCs w:val="30"/>
          <w:lang w:val="en-US" w:bidi="zh-CN"/>
        </w:rPr>
      </w:pPr>
      <w:r>
        <w:rPr>
          <w:rFonts w:hint="eastAsia"/>
          <w:lang w:val="en-US"/>
        </w:rPr>
        <w:t>3.建议民政局进行走访摸底工作，提高统计数据的准确性和全面性。</w:t>
      </w:r>
    </w:p>
    <w:p>
      <w:pPr>
        <w:spacing w:line="360" w:lineRule="auto"/>
        <w:ind w:firstLine="320" w:firstLineChars="100"/>
        <w:jc w:val="both"/>
        <w:textAlignment w:val="baseline"/>
        <w:rPr>
          <w:rStyle w:val="52"/>
          <w:rFonts w:hint="eastAsia"/>
          <w:lang w:val="zh-CN"/>
        </w:rPr>
      </w:pPr>
    </w:p>
    <w:p>
      <w:pPr>
        <w:spacing w:line="360" w:lineRule="auto"/>
        <w:ind w:firstLine="320" w:firstLineChars="100"/>
        <w:jc w:val="both"/>
        <w:textAlignment w:val="baseline"/>
        <w:rPr>
          <w:rStyle w:val="52"/>
          <w:rFonts w:hint="eastAsia"/>
          <w:lang w:val="zh-CN"/>
        </w:rPr>
      </w:pPr>
    </w:p>
    <w:p>
      <w:pPr>
        <w:spacing w:line="360" w:lineRule="auto"/>
        <w:ind w:firstLine="320" w:firstLineChars="100"/>
        <w:jc w:val="both"/>
        <w:textAlignment w:val="baseline"/>
        <w:rPr>
          <w:rStyle w:val="52"/>
          <w:rFonts w:hint="eastAsia"/>
          <w:lang w:val="zh-CN"/>
        </w:rPr>
      </w:pPr>
    </w:p>
    <w:p>
      <w:pPr>
        <w:spacing w:line="360" w:lineRule="auto"/>
        <w:ind w:firstLine="320" w:firstLineChars="100"/>
        <w:jc w:val="both"/>
        <w:textAlignment w:val="baseline"/>
        <w:rPr>
          <w:rFonts w:ascii="仿宋" w:hAnsi="仿宋" w:eastAsia="仿宋" w:cs="仿宋_GB2312"/>
          <w:b/>
          <w:bCs/>
          <w:sz w:val="30"/>
          <w:szCs w:val="30"/>
          <w:highlight w:val="none"/>
          <w:lang w:val="zh-CN" w:bidi="zh-CN"/>
        </w:rPr>
      </w:pPr>
      <w:r>
        <w:rPr>
          <w:rStyle w:val="52"/>
          <w:rFonts w:hint="eastAsia"/>
          <w:lang w:val="zh-CN"/>
        </w:rPr>
        <w:t>附表：</w:t>
      </w:r>
      <w:r>
        <w:rPr>
          <w:rFonts w:hint="eastAsia" w:ascii="仿宋" w:hAnsi="仿宋" w:eastAsia="仿宋" w:cs="仿宋_GB2312"/>
          <w:b/>
          <w:bCs/>
          <w:sz w:val="30"/>
          <w:szCs w:val="30"/>
          <w:highlight w:val="none"/>
          <w:lang w:val="zh-CN" w:bidi="zh-CN"/>
        </w:rPr>
        <w:t xml:space="preserve"> </w:t>
      </w:r>
    </w:p>
    <w:p>
      <w:pPr>
        <w:pStyle w:val="30"/>
        <w:bidi w:val="0"/>
        <w:rPr>
          <w:rFonts w:hint="eastAsia"/>
          <w:lang w:val="zh-CN"/>
        </w:rPr>
      </w:pPr>
      <w:r>
        <w:rPr>
          <w:rFonts w:hint="eastAsia"/>
          <w:lang w:val="en-US"/>
        </w:rPr>
        <w:t>1.</w:t>
      </w:r>
      <w:r>
        <w:rPr>
          <w:rFonts w:hint="eastAsia"/>
          <w:lang w:val="zh-CN"/>
        </w:rPr>
        <w:t>遵化市民政局2022年高龄老人津贴项目绩效评价得分情况表</w:t>
      </w:r>
    </w:p>
    <w:p>
      <w:pPr>
        <w:pStyle w:val="30"/>
        <w:bidi w:val="0"/>
        <w:rPr>
          <w:rFonts w:hint="eastAsia"/>
          <w:lang w:val="zh-CN"/>
        </w:rPr>
      </w:pPr>
      <w:r>
        <w:rPr>
          <w:rFonts w:hint="eastAsia"/>
          <w:lang w:val="en-US"/>
        </w:rPr>
        <w:t>2.</w:t>
      </w:r>
      <w:r>
        <w:rPr>
          <w:rFonts w:hint="eastAsia"/>
          <w:lang w:val="zh-CN"/>
        </w:rPr>
        <w:t>遵化市民政局2022年高龄老人津贴项目绩效评价指标表</w:t>
      </w:r>
    </w:p>
    <w:p>
      <w:pPr>
        <w:pStyle w:val="30"/>
        <w:bidi w:val="0"/>
        <w:rPr>
          <w:rFonts w:hint="eastAsia"/>
          <w:lang w:val="en-US"/>
        </w:rPr>
      </w:pPr>
      <w:r>
        <w:rPr>
          <w:rFonts w:hint="eastAsia"/>
          <w:lang w:val="en-US"/>
        </w:rPr>
        <w:t>3.遵化市民政局2022年高龄老人津贴项目绩效评价随机电话调查问卷汇总表</w:t>
      </w:r>
    </w:p>
    <w:p>
      <w:pPr>
        <w:pStyle w:val="30"/>
        <w:bidi w:val="0"/>
        <w:rPr>
          <w:rFonts w:hint="eastAsia"/>
          <w:lang w:val="en-US"/>
        </w:rPr>
      </w:pPr>
      <w:r>
        <w:rPr>
          <w:rFonts w:hint="eastAsia"/>
          <w:lang w:val="en-US"/>
        </w:rPr>
        <w:t>4.遵化市民政局2022年高龄老人津贴项目绩效评价随机电话调查问卷统计表</w:t>
      </w:r>
    </w:p>
    <w:p>
      <w:pPr>
        <w:spacing w:line="360" w:lineRule="auto"/>
        <w:ind w:firstLine="600" w:firstLineChars="200"/>
        <w:jc w:val="both"/>
        <w:textAlignment w:val="baseline"/>
        <w:rPr>
          <w:rFonts w:hint="default" w:ascii="仿宋" w:hAnsi="仿宋" w:eastAsia="仿宋" w:cs="仿宋_GB2312"/>
          <w:sz w:val="30"/>
          <w:szCs w:val="30"/>
          <w:lang w:val="en-US" w:bidi="zh-CN"/>
        </w:rPr>
      </w:pP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71E4E8-5EE2-4911-B4E5-6F4676FEAB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DE0DC3-D49E-4CB0-8543-1096C8B50A36}"/>
  </w:font>
  <w:font w:name="仿宋">
    <w:panose1 w:val="02010609060101010101"/>
    <w:charset w:val="86"/>
    <w:family w:val="modern"/>
    <w:pitch w:val="default"/>
    <w:sig w:usb0="800002BF" w:usb1="38CF7CFA" w:usb2="00000016" w:usb3="00000000" w:csb0="00040001" w:csb1="00000000"/>
    <w:embedRegular r:id="rId3" w:fontKey="{800C35DA-41B1-4FF3-BA19-4EFCA511A774}"/>
  </w:font>
  <w:font w:name="方正小标宋简体">
    <w:panose1 w:val="02000000000000000000"/>
    <w:charset w:val="86"/>
    <w:family w:val="auto"/>
    <w:pitch w:val="default"/>
    <w:sig w:usb0="00000001" w:usb1="08000000" w:usb2="00000000" w:usb3="00000000" w:csb0="00040000" w:csb1="00000000"/>
    <w:embedRegular r:id="rId4" w:fontKey="{B8136E8F-2C2F-4C5D-BE1E-302C10A5792A}"/>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00"/>
    <w:family w:val="auto"/>
    <w:pitch w:val="default"/>
    <w:sig w:usb0="00000000" w:usb1="00000000" w:usb2="00000000" w:usb3="00000000" w:csb0="00000000" w:csb1="00000000"/>
    <w:embedRegular r:id="rId5" w:fontKey="{93F6914F-5995-462D-8F3A-792036D65A2E}"/>
  </w:font>
  <w:font w:name="新宋体">
    <w:panose1 w:val="02010609030101010101"/>
    <w:charset w:val="86"/>
    <w:family w:val="modern"/>
    <w:pitch w:val="default"/>
    <w:sig w:usb0="00000283" w:usb1="288F0000" w:usb2="00000006" w:usb3="00000000" w:csb0="00040001" w:csb1="00000000"/>
    <w:embedRegular r:id="rId6" w:fontKey="{6B865D90-ED61-4D4F-97B4-944574E18361}"/>
  </w:font>
  <w:font w:name="华文楷体">
    <w:panose1 w:val="02010600040101010101"/>
    <w:charset w:val="86"/>
    <w:family w:val="auto"/>
    <w:pitch w:val="default"/>
    <w:sig w:usb0="00000287" w:usb1="080F0000" w:usb2="00000000" w:usb3="00000000" w:csb0="0004009F" w:csb1="DFD70000"/>
    <w:embedRegular r:id="rId7" w:fontKey="{F677CBD3-ECB8-43FA-9766-C5D428DDF245}"/>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2082800</wp:posOffset>
              </wp:positionH>
              <wp:positionV relativeFrom="paragraph">
                <wp:posOffset>22860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第</w:t>
                          </w:r>
                          <w:r>
                            <w:rPr>
                              <w:rFonts w:hint="eastAsia"/>
                              <w:lang w:val="en-US" w:eastAsia="zh-CN"/>
                            </w:rPr>
                            <w:t xml:space="preserve"> </w:t>
                          </w:r>
                          <w:r>
                            <w:t xml:space="preserve"> </w:t>
                          </w:r>
                          <w:r>
                            <w:fldChar w:fldCharType="begin"/>
                          </w:r>
                          <w:r>
                            <w:instrText xml:space="preserve"> PAGE  \* MERGEFORMAT </w:instrText>
                          </w:r>
                          <w:r>
                            <w:fldChar w:fldCharType="separate"/>
                          </w:r>
                          <w:r>
                            <w:t>5</w:t>
                          </w:r>
                          <w:r>
                            <w:fldChar w:fldCharType="end"/>
                          </w:r>
                          <w:r>
                            <w:rPr>
                              <w:rFonts w:hint="eastAsia"/>
                              <w:lang w:val="en-US" w:eastAsia="zh-CN"/>
                            </w:rPr>
                            <w:t xml:space="preserve"> </w:t>
                          </w:r>
                          <w:r>
                            <w:t xml:space="preserve"> 页 共</w:t>
                          </w:r>
                          <w:r>
                            <w:rPr>
                              <w:rFonts w:hint="eastAsia"/>
                              <w:lang w:val="en-US" w:eastAsia="zh-CN"/>
                            </w:rPr>
                            <w:t xml:space="preserve">  13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4pt;margin-top:1.8pt;height:144pt;width:144pt;mso-position-horizontal-relative:margin;mso-wrap-style:none;z-index:251661312;mso-width-relative:page;mso-height-relative:page;" filled="f" stroked="f" coordsize="21600,21600" o:gfxdata="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bUN7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13"/>
                    </w:pPr>
                    <w:r>
                      <w:t>第</w:t>
                    </w:r>
                    <w:r>
                      <w:rPr>
                        <w:rFonts w:hint="eastAsia"/>
                        <w:lang w:val="en-US" w:eastAsia="zh-CN"/>
                      </w:rPr>
                      <w:t xml:space="preserve"> </w:t>
                    </w:r>
                    <w:r>
                      <w:t xml:space="preserve"> </w:t>
                    </w:r>
                    <w:r>
                      <w:fldChar w:fldCharType="begin"/>
                    </w:r>
                    <w:r>
                      <w:instrText xml:space="preserve"> PAGE  \* MERGEFORMAT </w:instrText>
                    </w:r>
                    <w:r>
                      <w:fldChar w:fldCharType="separate"/>
                    </w:r>
                    <w:r>
                      <w:t>5</w:t>
                    </w:r>
                    <w:r>
                      <w:fldChar w:fldCharType="end"/>
                    </w:r>
                    <w:r>
                      <w:rPr>
                        <w:rFonts w:hint="eastAsia"/>
                        <w:lang w:val="en-US" w:eastAsia="zh-CN"/>
                      </w:rPr>
                      <w:t xml:space="preserve"> </w:t>
                    </w:r>
                    <w:r>
                      <w:t xml:space="preserve"> 页 共</w:t>
                    </w:r>
                    <w:r>
                      <w:rPr>
                        <w:rFonts w:hint="eastAsia"/>
                        <w:lang w:val="en-US" w:eastAsia="zh-CN"/>
                      </w:rPr>
                      <w:t xml:space="preserve">  13  </w:t>
                    </w:r>
                    <w:r>
                      <w:t>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hint="default" w:eastAsia="宋体"/>
        <w:lang w:val="en-US" w:eastAsia="zh-CN"/>
      </w:rPr>
    </w:pPr>
    <w:r>
      <w:rPr>
        <w:rFonts w:hint="eastAsia"/>
      </w:rPr>
      <w:t xml:space="preserve">                                            遵化市民政局2022年高龄老人津贴项目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TVlNDZlNWZkMTJmOGMxYjMyNjNiMTI5YWU3ZjQ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77B29"/>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0158FF"/>
    <w:rsid w:val="014A6477"/>
    <w:rsid w:val="016A4733"/>
    <w:rsid w:val="01DB6127"/>
    <w:rsid w:val="021E3870"/>
    <w:rsid w:val="02454A65"/>
    <w:rsid w:val="029A6BF0"/>
    <w:rsid w:val="033C0E47"/>
    <w:rsid w:val="03676147"/>
    <w:rsid w:val="03870342"/>
    <w:rsid w:val="0414147C"/>
    <w:rsid w:val="04447FB3"/>
    <w:rsid w:val="04732647"/>
    <w:rsid w:val="04881231"/>
    <w:rsid w:val="04B073F7"/>
    <w:rsid w:val="04BF1184"/>
    <w:rsid w:val="04D501F8"/>
    <w:rsid w:val="04D8694E"/>
    <w:rsid w:val="04DF7CDC"/>
    <w:rsid w:val="05263468"/>
    <w:rsid w:val="053C2D88"/>
    <w:rsid w:val="05F85E18"/>
    <w:rsid w:val="06720373"/>
    <w:rsid w:val="06A3524A"/>
    <w:rsid w:val="06AC0F25"/>
    <w:rsid w:val="06BD6003"/>
    <w:rsid w:val="0723353A"/>
    <w:rsid w:val="079B0D10"/>
    <w:rsid w:val="07CD74CD"/>
    <w:rsid w:val="07FE68AF"/>
    <w:rsid w:val="080731E8"/>
    <w:rsid w:val="08CC65D1"/>
    <w:rsid w:val="08E3549B"/>
    <w:rsid w:val="08ED4403"/>
    <w:rsid w:val="08F91A09"/>
    <w:rsid w:val="09212263"/>
    <w:rsid w:val="092254AC"/>
    <w:rsid w:val="09B039F5"/>
    <w:rsid w:val="09E50FA8"/>
    <w:rsid w:val="09EF276F"/>
    <w:rsid w:val="0A2F247A"/>
    <w:rsid w:val="0A515F40"/>
    <w:rsid w:val="0A56459C"/>
    <w:rsid w:val="0A621193"/>
    <w:rsid w:val="0AC7587B"/>
    <w:rsid w:val="0B8503B4"/>
    <w:rsid w:val="0C0727E4"/>
    <w:rsid w:val="0C4F33C0"/>
    <w:rsid w:val="0CAB5F3B"/>
    <w:rsid w:val="0E0124A9"/>
    <w:rsid w:val="0E2877D0"/>
    <w:rsid w:val="0F232C0E"/>
    <w:rsid w:val="0FE31D5A"/>
    <w:rsid w:val="0FF00FEF"/>
    <w:rsid w:val="0FF30ADF"/>
    <w:rsid w:val="103935E9"/>
    <w:rsid w:val="1041184B"/>
    <w:rsid w:val="10C30531"/>
    <w:rsid w:val="11115459"/>
    <w:rsid w:val="113078D0"/>
    <w:rsid w:val="11402BDE"/>
    <w:rsid w:val="11651A69"/>
    <w:rsid w:val="11877731"/>
    <w:rsid w:val="11904838"/>
    <w:rsid w:val="11AB23AA"/>
    <w:rsid w:val="120314AE"/>
    <w:rsid w:val="12C86D4A"/>
    <w:rsid w:val="12D51881"/>
    <w:rsid w:val="131A3A8E"/>
    <w:rsid w:val="131F4B85"/>
    <w:rsid w:val="1354447C"/>
    <w:rsid w:val="135F143F"/>
    <w:rsid w:val="13BD38DE"/>
    <w:rsid w:val="13C8306A"/>
    <w:rsid w:val="141F00F5"/>
    <w:rsid w:val="14281A18"/>
    <w:rsid w:val="14990C2C"/>
    <w:rsid w:val="14CA009D"/>
    <w:rsid w:val="14CC62F3"/>
    <w:rsid w:val="151237B6"/>
    <w:rsid w:val="151937C6"/>
    <w:rsid w:val="15552857"/>
    <w:rsid w:val="155B6F0B"/>
    <w:rsid w:val="15637BC9"/>
    <w:rsid w:val="15684156"/>
    <w:rsid w:val="15B009D3"/>
    <w:rsid w:val="15DF4FB2"/>
    <w:rsid w:val="17457E73"/>
    <w:rsid w:val="17EC1A1B"/>
    <w:rsid w:val="186B171B"/>
    <w:rsid w:val="188E339C"/>
    <w:rsid w:val="18CB25F9"/>
    <w:rsid w:val="18FC27B3"/>
    <w:rsid w:val="191552EC"/>
    <w:rsid w:val="1966140A"/>
    <w:rsid w:val="19924EC5"/>
    <w:rsid w:val="19E279BD"/>
    <w:rsid w:val="1A5201C0"/>
    <w:rsid w:val="1AAF4411"/>
    <w:rsid w:val="1B3C45FF"/>
    <w:rsid w:val="1B3E15C9"/>
    <w:rsid w:val="1B6B767C"/>
    <w:rsid w:val="1BCC2910"/>
    <w:rsid w:val="1BE96DA4"/>
    <w:rsid w:val="1C1D13BE"/>
    <w:rsid w:val="1C381D54"/>
    <w:rsid w:val="1C5754D7"/>
    <w:rsid w:val="1C5C013C"/>
    <w:rsid w:val="1C817C78"/>
    <w:rsid w:val="1C8B27CB"/>
    <w:rsid w:val="1C9472C7"/>
    <w:rsid w:val="1C955465"/>
    <w:rsid w:val="1CA837F5"/>
    <w:rsid w:val="1CF87735"/>
    <w:rsid w:val="1D2037C2"/>
    <w:rsid w:val="1D342B2C"/>
    <w:rsid w:val="1D3E2115"/>
    <w:rsid w:val="1D6030FE"/>
    <w:rsid w:val="1D7F08B9"/>
    <w:rsid w:val="1DDC7057"/>
    <w:rsid w:val="1E917E41"/>
    <w:rsid w:val="1EF36955"/>
    <w:rsid w:val="1F75556F"/>
    <w:rsid w:val="1F993BDF"/>
    <w:rsid w:val="1FFD37A2"/>
    <w:rsid w:val="20492CFD"/>
    <w:rsid w:val="21040C2B"/>
    <w:rsid w:val="21154D5A"/>
    <w:rsid w:val="21674E89"/>
    <w:rsid w:val="217D2515"/>
    <w:rsid w:val="21CA5B44"/>
    <w:rsid w:val="21CC10A8"/>
    <w:rsid w:val="21E52EF0"/>
    <w:rsid w:val="221C682C"/>
    <w:rsid w:val="22460F43"/>
    <w:rsid w:val="235A28F4"/>
    <w:rsid w:val="235C560E"/>
    <w:rsid w:val="238E4C84"/>
    <w:rsid w:val="247C5F47"/>
    <w:rsid w:val="254E0526"/>
    <w:rsid w:val="25CD4AC1"/>
    <w:rsid w:val="26081DA8"/>
    <w:rsid w:val="26A46F60"/>
    <w:rsid w:val="26F15921"/>
    <w:rsid w:val="271411BF"/>
    <w:rsid w:val="275B0FEC"/>
    <w:rsid w:val="27731796"/>
    <w:rsid w:val="283521E4"/>
    <w:rsid w:val="284101E2"/>
    <w:rsid w:val="285919D0"/>
    <w:rsid w:val="286363AA"/>
    <w:rsid w:val="286C7C9A"/>
    <w:rsid w:val="289D7DA2"/>
    <w:rsid w:val="28FE52E6"/>
    <w:rsid w:val="29915199"/>
    <w:rsid w:val="29EB2AFB"/>
    <w:rsid w:val="2A2B2EF8"/>
    <w:rsid w:val="2A6B4B74"/>
    <w:rsid w:val="2AE5579D"/>
    <w:rsid w:val="2B0C1FDA"/>
    <w:rsid w:val="2B39349F"/>
    <w:rsid w:val="2B3B74A1"/>
    <w:rsid w:val="2BE47802"/>
    <w:rsid w:val="2C572ADA"/>
    <w:rsid w:val="2C680433"/>
    <w:rsid w:val="2CC4234D"/>
    <w:rsid w:val="2CED1AD6"/>
    <w:rsid w:val="2D27150C"/>
    <w:rsid w:val="2D8D5727"/>
    <w:rsid w:val="2E7B1D09"/>
    <w:rsid w:val="2EE70873"/>
    <w:rsid w:val="2F116A70"/>
    <w:rsid w:val="2F5D3F8F"/>
    <w:rsid w:val="2F6824F8"/>
    <w:rsid w:val="2F6955C8"/>
    <w:rsid w:val="2F7E2A72"/>
    <w:rsid w:val="2FA01BB6"/>
    <w:rsid w:val="2FA31782"/>
    <w:rsid w:val="30186BC7"/>
    <w:rsid w:val="309679D2"/>
    <w:rsid w:val="309A110F"/>
    <w:rsid w:val="30AB67A3"/>
    <w:rsid w:val="30E47124"/>
    <w:rsid w:val="30EC7BBC"/>
    <w:rsid w:val="31142C78"/>
    <w:rsid w:val="31524731"/>
    <w:rsid w:val="31567508"/>
    <w:rsid w:val="3244098C"/>
    <w:rsid w:val="324A1C5E"/>
    <w:rsid w:val="327708BF"/>
    <w:rsid w:val="32902492"/>
    <w:rsid w:val="329428E2"/>
    <w:rsid w:val="32D67687"/>
    <w:rsid w:val="32E14A9C"/>
    <w:rsid w:val="33187F90"/>
    <w:rsid w:val="33293091"/>
    <w:rsid w:val="333C7F24"/>
    <w:rsid w:val="33422A74"/>
    <w:rsid w:val="336165A4"/>
    <w:rsid w:val="33B40C60"/>
    <w:rsid w:val="33DC52B5"/>
    <w:rsid w:val="346321BB"/>
    <w:rsid w:val="350607E9"/>
    <w:rsid w:val="35134323"/>
    <w:rsid w:val="356674DA"/>
    <w:rsid w:val="357D7B33"/>
    <w:rsid w:val="35EB79DF"/>
    <w:rsid w:val="360D457A"/>
    <w:rsid w:val="364041CF"/>
    <w:rsid w:val="3646059A"/>
    <w:rsid w:val="365E4655"/>
    <w:rsid w:val="36B55F55"/>
    <w:rsid w:val="36F15EFF"/>
    <w:rsid w:val="37210C65"/>
    <w:rsid w:val="37DC2837"/>
    <w:rsid w:val="37EF5A09"/>
    <w:rsid w:val="387719FE"/>
    <w:rsid w:val="38B60A92"/>
    <w:rsid w:val="39455BFF"/>
    <w:rsid w:val="394F34E1"/>
    <w:rsid w:val="39BE0ACC"/>
    <w:rsid w:val="39D81EB7"/>
    <w:rsid w:val="3A2118F6"/>
    <w:rsid w:val="3A583A1A"/>
    <w:rsid w:val="3AD153F6"/>
    <w:rsid w:val="3B3B6D13"/>
    <w:rsid w:val="3B3F3604"/>
    <w:rsid w:val="3B621599"/>
    <w:rsid w:val="3B9235C8"/>
    <w:rsid w:val="3B9E00AB"/>
    <w:rsid w:val="3BD35511"/>
    <w:rsid w:val="3C956CEC"/>
    <w:rsid w:val="3CD2571E"/>
    <w:rsid w:val="3D4E71D1"/>
    <w:rsid w:val="3DEA67CE"/>
    <w:rsid w:val="3DEC5291"/>
    <w:rsid w:val="3DF5764D"/>
    <w:rsid w:val="3E1D0FEC"/>
    <w:rsid w:val="3E3059EE"/>
    <w:rsid w:val="3E79102E"/>
    <w:rsid w:val="3EBD718B"/>
    <w:rsid w:val="3F0464D4"/>
    <w:rsid w:val="3F051733"/>
    <w:rsid w:val="3F085D27"/>
    <w:rsid w:val="3F5C0126"/>
    <w:rsid w:val="3F680149"/>
    <w:rsid w:val="3FBE5A35"/>
    <w:rsid w:val="400D3374"/>
    <w:rsid w:val="403D4BAE"/>
    <w:rsid w:val="40503350"/>
    <w:rsid w:val="406A6ED2"/>
    <w:rsid w:val="406B3BF6"/>
    <w:rsid w:val="41175B2C"/>
    <w:rsid w:val="426C06D4"/>
    <w:rsid w:val="428772C9"/>
    <w:rsid w:val="42DE24EF"/>
    <w:rsid w:val="430F2F5F"/>
    <w:rsid w:val="431E7646"/>
    <w:rsid w:val="43370383"/>
    <w:rsid w:val="43941B0C"/>
    <w:rsid w:val="43B725E2"/>
    <w:rsid w:val="43CF5401"/>
    <w:rsid w:val="43EC1B77"/>
    <w:rsid w:val="443F1AB1"/>
    <w:rsid w:val="4490644F"/>
    <w:rsid w:val="45020FF2"/>
    <w:rsid w:val="4577621F"/>
    <w:rsid w:val="45E91091"/>
    <w:rsid w:val="465C608A"/>
    <w:rsid w:val="46910613"/>
    <w:rsid w:val="469330D2"/>
    <w:rsid w:val="46D06B85"/>
    <w:rsid w:val="47305B9A"/>
    <w:rsid w:val="474451A1"/>
    <w:rsid w:val="47550BE4"/>
    <w:rsid w:val="47985460"/>
    <w:rsid w:val="47BA48C9"/>
    <w:rsid w:val="47FF497A"/>
    <w:rsid w:val="47FF5D08"/>
    <w:rsid w:val="481F55E7"/>
    <w:rsid w:val="483E2CF5"/>
    <w:rsid w:val="484241B8"/>
    <w:rsid w:val="48847F4B"/>
    <w:rsid w:val="48924C93"/>
    <w:rsid w:val="48AC5B47"/>
    <w:rsid w:val="48C17D43"/>
    <w:rsid w:val="48D53720"/>
    <w:rsid w:val="49B83491"/>
    <w:rsid w:val="4A011BC3"/>
    <w:rsid w:val="4A0261D6"/>
    <w:rsid w:val="4A215C27"/>
    <w:rsid w:val="4AB12DAB"/>
    <w:rsid w:val="4ABF5054"/>
    <w:rsid w:val="4B9A0C47"/>
    <w:rsid w:val="4BDB7219"/>
    <w:rsid w:val="4BEC5028"/>
    <w:rsid w:val="4C45046E"/>
    <w:rsid w:val="4C885B30"/>
    <w:rsid w:val="4CD64D36"/>
    <w:rsid w:val="4CF00129"/>
    <w:rsid w:val="4D4C7943"/>
    <w:rsid w:val="4D994499"/>
    <w:rsid w:val="4D9C466F"/>
    <w:rsid w:val="4E2F2C3D"/>
    <w:rsid w:val="4E42762C"/>
    <w:rsid w:val="4E577EB0"/>
    <w:rsid w:val="4EDC036F"/>
    <w:rsid w:val="4F4F52B5"/>
    <w:rsid w:val="4FB0653A"/>
    <w:rsid w:val="50183B56"/>
    <w:rsid w:val="50D37CC2"/>
    <w:rsid w:val="50D70E34"/>
    <w:rsid w:val="510E1881"/>
    <w:rsid w:val="515626A1"/>
    <w:rsid w:val="515B02E3"/>
    <w:rsid w:val="51984A67"/>
    <w:rsid w:val="51B04DD1"/>
    <w:rsid w:val="51B16329"/>
    <w:rsid w:val="521340EE"/>
    <w:rsid w:val="527F6735"/>
    <w:rsid w:val="528C359C"/>
    <w:rsid w:val="52955ABE"/>
    <w:rsid w:val="537A2BAA"/>
    <w:rsid w:val="53B042EA"/>
    <w:rsid w:val="53B84F4D"/>
    <w:rsid w:val="53E050EE"/>
    <w:rsid w:val="549F0B94"/>
    <w:rsid w:val="54A62B0A"/>
    <w:rsid w:val="54CA4600"/>
    <w:rsid w:val="54EF5C55"/>
    <w:rsid w:val="54FF3DA0"/>
    <w:rsid w:val="55095F58"/>
    <w:rsid w:val="55703336"/>
    <w:rsid w:val="55A345CB"/>
    <w:rsid w:val="563A5AA7"/>
    <w:rsid w:val="56DF3DDB"/>
    <w:rsid w:val="573A09B4"/>
    <w:rsid w:val="575F7F14"/>
    <w:rsid w:val="58022C3B"/>
    <w:rsid w:val="58353010"/>
    <w:rsid w:val="586B4C84"/>
    <w:rsid w:val="5880260C"/>
    <w:rsid w:val="593C7F45"/>
    <w:rsid w:val="59843E65"/>
    <w:rsid w:val="59902CF9"/>
    <w:rsid w:val="59EF2BBB"/>
    <w:rsid w:val="5A251C79"/>
    <w:rsid w:val="5A295C01"/>
    <w:rsid w:val="5A867B53"/>
    <w:rsid w:val="5AC62645"/>
    <w:rsid w:val="5B3B4064"/>
    <w:rsid w:val="5B4F263B"/>
    <w:rsid w:val="5B9B4B09"/>
    <w:rsid w:val="5B9E24E1"/>
    <w:rsid w:val="5BEA3B93"/>
    <w:rsid w:val="5BFF688F"/>
    <w:rsid w:val="5C21005E"/>
    <w:rsid w:val="5C425CFC"/>
    <w:rsid w:val="5C4721D0"/>
    <w:rsid w:val="5CD866B9"/>
    <w:rsid w:val="5D172CE4"/>
    <w:rsid w:val="5D6B2D4E"/>
    <w:rsid w:val="5DB30E04"/>
    <w:rsid w:val="5DB914D0"/>
    <w:rsid w:val="5DCB3ACF"/>
    <w:rsid w:val="5DD41E9B"/>
    <w:rsid w:val="5E2729E7"/>
    <w:rsid w:val="5E532196"/>
    <w:rsid w:val="5E8E347A"/>
    <w:rsid w:val="5EAE2860"/>
    <w:rsid w:val="5EB637BD"/>
    <w:rsid w:val="5EB82246"/>
    <w:rsid w:val="5F1960B4"/>
    <w:rsid w:val="5FA44493"/>
    <w:rsid w:val="601813E9"/>
    <w:rsid w:val="6037369D"/>
    <w:rsid w:val="60430294"/>
    <w:rsid w:val="606904C2"/>
    <w:rsid w:val="60B86515"/>
    <w:rsid w:val="60F177F9"/>
    <w:rsid w:val="61FE6F13"/>
    <w:rsid w:val="61FF42D8"/>
    <w:rsid w:val="62123618"/>
    <w:rsid w:val="622B0FE0"/>
    <w:rsid w:val="622F7804"/>
    <w:rsid w:val="62887D4A"/>
    <w:rsid w:val="62B27EF5"/>
    <w:rsid w:val="63BF2892"/>
    <w:rsid w:val="64053666"/>
    <w:rsid w:val="64310AF6"/>
    <w:rsid w:val="647924D6"/>
    <w:rsid w:val="6556579E"/>
    <w:rsid w:val="657D3664"/>
    <w:rsid w:val="65833FDE"/>
    <w:rsid w:val="65AC4F28"/>
    <w:rsid w:val="65E60204"/>
    <w:rsid w:val="65F67C7C"/>
    <w:rsid w:val="661D131D"/>
    <w:rsid w:val="663223CC"/>
    <w:rsid w:val="665912E8"/>
    <w:rsid w:val="677B4FB0"/>
    <w:rsid w:val="679109C9"/>
    <w:rsid w:val="67AE693B"/>
    <w:rsid w:val="67C07D37"/>
    <w:rsid w:val="68295019"/>
    <w:rsid w:val="684C7ED7"/>
    <w:rsid w:val="68790CF7"/>
    <w:rsid w:val="68AD4C39"/>
    <w:rsid w:val="690B5C60"/>
    <w:rsid w:val="69392234"/>
    <w:rsid w:val="697366D8"/>
    <w:rsid w:val="69834ACA"/>
    <w:rsid w:val="69A073F1"/>
    <w:rsid w:val="69B67396"/>
    <w:rsid w:val="69DF5BF6"/>
    <w:rsid w:val="6A494BEF"/>
    <w:rsid w:val="6A4C6F19"/>
    <w:rsid w:val="6AA3564D"/>
    <w:rsid w:val="6AC553E7"/>
    <w:rsid w:val="6B340F05"/>
    <w:rsid w:val="6B427AC6"/>
    <w:rsid w:val="6B841E8D"/>
    <w:rsid w:val="6B8668CF"/>
    <w:rsid w:val="6BAC4F3F"/>
    <w:rsid w:val="6BB43DF4"/>
    <w:rsid w:val="6C060AF4"/>
    <w:rsid w:val="6C1242E2"/>
    <w:rsid w:val="6C951E77"/>
    <w:rsid w:val="6D0C38B6"/>
    <w:rsid w:val="6D4B0788"/>
    <w:rsid w:val="6D5C48D6"/>
    <w:rsid w:val="6D981C1F"/>
    <w:rsid w:val="6DF26E74"/>
    <w:rsid w:val="6EAE2D14"/>
    <w:rsid w:val="6FE00B1A"/>
    <w:rsid w:val="70605ECF"/>
    <w:rsid w:val="70700C31"/>
    <w:rsid w:val="707B434A"/>
    <w:rsid w:val="708A18BC"/>
    <w:rsid w:val="70DC62C7"/>
    <w:rsid w:val="71065E7A"/>
    <w:rsid w:val="71416E99"/>
    <w:rsid w:val="7224387D"/>
    <w:rsid w:val="724506DD"/>
    <w:rsid w:val="72560A78"/>
    <w:rsid w:val="72BF19FC"/>
    <w:rsid w:val="736B56E0"/>
    <w:rsid w:val="73CD43C4"/>
    <w:rsid w:val="742131F8"/>
    <w:rsid w:val="744D7DC9"/>
    <w:rsid w:val="74844CAB"/>
    <w:rsid w:val="74884203"/>
    <w:rsid w:val="75475CD9"/>
    <w:rsid w:val="75947C5B"/>
    <w:rsid w:val="75BE71C5"/>
    <w:rsid w:val="75E63B0A"/>
    <w:rsid w:val="76533A9A"/>
    <w:rsid w:val="76E21684"/>
    <w:rsid w:val="77006FDD"/>
    <w:rsid w:val="774374FF"/>
    <w:rsid w:val="7748203A"/>
    <w:rsid w:val="77640DC4"/>
    <w:rsid w:val="77811976"/>
    <w:rsid w:val="77863E64"/>
    <w:rsid w:val="78100182"/>
    <w:rsid w:val="78186DD1"/>
    <w:rsid w:val="78726D8B"/>
    <w:rsid w:val="78781C9B"/>
    <w:rsid w:val="78FA0BE2"/>
    <w:rsid w:val="78FA19E0"/>
    <w:rsid w:val="79033361"/>
    <w:rsid w:val="795409C4"/>
    <w:rsid w:val="7A4078C7"/>
    <w:rsid w:val="7A561C55"/>
    <w:rsid w:val="7B7362DB"/>
    <w:rsid w:val="7BB83E64"/>
    <w:rsid w:val="7C1D4A5F"/>
    <w:rsid w:val="7CCD0704"/>
    <w:rsid w:val="7CF229CE"/>
    <w:rsid w:val="7CFB18E6"/>
    <w:rsid w:val="7D5B7A20"/>
    <w:rsid w:val="7D5D44AD"/>
    <w:rsid w:val="7D9F5EF4"/>
    <w:rsid w:val="7DC66335"/>
    <w:rsid w:val="7DC83252"/>
    <w:rsid w:val="7DC87769"/>
    <w:rsid w:val="7DD00041"/>
    <w:rsid w:val="7DF05160"/>
    <w:rsid w:val="7E064983"/>
    <w:rsid w:val="7E3754C0"/>
    <w:rsid w:val="7E3A1CAB"/>
    <w:rsid w:val="7E5F5E41"/>
    <w:rsid w:val="7E905F18"/>
    <w:rsid w:val="7F276CD8"/>
    <w:rsid w:val="7F4601AF"/>
    <w:rsid w:val="7F533B5D"/>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37"/>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38"/>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39"/>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31"/>
    <w:qFormat/>
    <w:uiPriority w:val="0"/>
    <w:rPr>
      <w:rFonts w:hAnsiTheme="minorHAnsi" w:eastAsiaTheme="minorEastAsia" w:cstheme="minorBidi"/>
      <w:kern w:val="2"/>
      <w:sz w:val="21"/>
      <w:szCs w:val="22"/>
    </w:rPr>
  </w:style>
  <w:style w:type="paragraph" w:styleId="8">
    <w:name w:val="Body Text"/>
    <w:basedOn w:val="1"/>
    <w:link w:val="46"/>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33"/>
    <w:qFormat/>
    <w:uiPriority w:val="0"/>
    <w:pPr>
      <w:autoSpaceDE/>
      <w:autoSpaceDN/>
      <w:jc w:val="both"/>
      <w:textAlignment w:val="baseline"/>
    </w:pPr>
    <w:rPr>
      <w:rFonts w:hAnsi="Courier New"/>
      <w:kern w:val="2"/>
      <w:sz w:val="24"/>
    </w:rPr>
  </w:style>
  <w:style w:type="paragraph" w:styleId="11">
    <w:name w:val="Date"/>
    <w:basedOn w:val="1"/>
    <w:next w:val="1"/>
    <w:link w:val="43"/>
    <w:semiHidden/>
    <w:unhideWhenUsed/>
    <w:qFormat/>
    <w:uiPriority w:val="99"/>
    <w:pPr>
      <w:ind w:left="100" w:leftChars="2500"/>
    </w:pPr>
  </w:style>
  <w:style w:type="paragraph" w:styleId="12">
    <w:name w:val="Balloon Text"/>
    <w:basedOn w:val="1"/>
    <w:link w:val="35"/>
    <w:semiHidden/>
    <w:unhideWhenUsed/>
    <w:qFormat/>
    <w:uiPriority w:val="99"/>
    <w:rPr>
      <w:sz w:val="18"/>
      <w:szCs w:val="18"/>
    </w:rPr>
  </w:style>
  <w:style w:type="paragraph" w:styleId="13">
    <w:name w:val="footer"/>
    <w:basedOn w:val="1"/>
    <w:link w:val="32"/>
    <w:qFormat/>
    <w:uiPriority w:val="99"/>
    <w:pPr>
      <w:tabs>
        <w:tab w:val="center" w:pos="4153"/>
        <w:tab w:val="right" w:pos="8306"/>
      </w:tabs>
      <w:snapToGrid w:val="0"/>
    </w:pPr>
    <w:rPr>
      <w:sz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41"/>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49"/>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qFormat/>
    <w:uiPriority w:val="0"/>
    <w:rPr>
      <w:sz w:val="21"/>
      <w:szCs w:val="21"/>
    </w:rPr>
  </w:style>
  <w:style w:type="character" w:styleId="25">
    <w:name w:val="footnote reference"/>
    <w:basedOn w:val="21"/>
    <w:semiHidden/>
    <w:unhideWhenUsed/>
    <w:qFormat/>
    <w:uiPriority w:val="99"/>
    <w:rPr>
      <w:vertAlign w:val="superscript"/>
    </w:rPr>
  </w:style>
  <w:style w:type="paragraph" w:customStyle="1" w:styleId="26">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27">
    <w:name w:val="新正大标题"/>
    <w:basedOn w:val="8"/>
    <w:next w:val="4"/>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paragraph" w:customStyle="1" w:styleId="28">
    <w:name w:val="新正二级标题"/>
    <w:basedOn w:val="1"/>
    <w:next w:val="1"/>
    <w:qFormat/>
    <w:uiPriority w:val="0"/>
    <w:pPr>
      <w:adjustRightInd/>
      <w:spacing w:line="560" w:lineRule="exact"/>
      <w:ind w:firstLine="643" w:firstLineChars="200"/>
      <w:outlineLvl w:val="1"/>
    </w:pPr>
    <w:rPr>
      <w:rFonts w:hint="eastAsia" w:ascii="方正楷体_GB2312" w:hAnsi="方正楷体_GB2312" w:eastAsia="方正楷体_GB2312" w:cs="方正楷体_GB2312"/>
      <w:b/>
      <w:color w:val="auto"/>
      <w:sz w:val="32"/>
      <w:szCs w:val="32"/>
      <w:lang w:val="zh-CN" w:bidi="zh-CN"/>
    </w:rPr>
  </w:style>
  <w:style w:type="paragraph" w:customStyle="1" w:styleId="29">
    <w:name w:val="新正一级标题"/>
    <w:basedOn w:val="8"/>
    <w:next w:val="5"/>
    <w:link w:val="52"/>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30">
    <w:name w:val="新正正文"/>
    <w:basedOn w:val="1"/>
    <w:uiPriority w:val="0"/>
    <w:pPr>
      <w:spacing w:line="560" w:lineRule="exact"/>
      <w:ind w:firstLine="640" w:firstLineChars="200"/>
      <w:jc w:val="both"/>
      <w:textAlignment w:val="baseline"/>
    </w:pPr>
    <w:rPr>
      <w:rFonts w:hint="eastAsia" w:ascii="方正仿宋_GB2312" w:hAnsi="方正仿宋_GB2312" w:eastAsia="方正仿宋_GB2312" w:cs="方正仿宋_GB2312"/>
      <w:color w:val="auto"/>
      <w:sz w:val="32"/>
      <w:szCs w:val="32"/>
      <w:lang w:val="zh-CN" w:bidi="zh-CN"/>
    </w:rPr>
  </w:style>
  <w:style w:type="character" w:customStyle="1" w:styleId="31">
    <w:name w:val="批注文字 Char"/>
    <w:link w:val="7"/>
    <w:qFormat/>
    <w:uiPriority w:val="0"/>
    <w:rPr>
      <w:rFonts w:ascii="宋体"/>
    </w:rPr>
  </w:style>
  <w:style w:type="character" w:customStyle="1" w:styleId="32">
    <w:name w:val="页脚 Char"/>
    <w:basedOn w:val="21"/>
    <w:link w:val="13"/>
    <w:qFormat/>
    <w:uiPriority w:val="99"/>
    <w:rPr>
      <w:rFonts w:ascii="宋体" w:hAnsi="Times New Roman" w:eastAsia="宋体" w:cs="Times New Roman"/>
      <w:kern w:val="0"/>
      <w:sz w:val="18"/>
      <w:szCs w:val="20"/>
    </w:rPr>
  </w:style>
  <w:style w:type="character" w:customStyle="1" w:styleId="33">
    <w:name w:val="纯文本 Char"/>
    <w:basedOn w:val="21"/>
    <w:link w:val="10"/>
    <w:qFormat/>
    <w:uiPriority w:val="0"/>
    <w:rPr>
      <w:rFonts w:ascii="宋体" w:hAnsi="Courier New" w:eastAsia="宋体" w:cs="Times New Roman"/>
      <w:sz w:val="24"/>
      <w:szCs w:val="20"/>
    </w:rPr>
  </w:style>
  <w:style w:type="character" w:customStyle="1" w:styleId="34">
    <w:name w:val="批注文字 Char1"/>
    <w:basedOn w:val="21"/>
    <w:semiHidden/>
    <w:qFormat/>
    <w:uiPriority w:val="99"/>
    <w:rPr>
      <w:rFonts w:ascii="宋体" w:hAnsi="Times New Roman" w:eastAsia="宋体" w:cs="Times New Roman"/>
      <w:kern w:val="0"/>
      <w:sz w:val="20"/>
      <w:szCs w:val="20"/>
    </w:rPr>
  </w:style>
  <w:style w:type="character" w:customStyle="1" w:styleId="35">
    <w:name w:val="批注框文本 Char"/>
    <w:basedOn w:val="21"/>
    <w:link w:val="12"/>
    <w:semiHidden/>
    <w:qFormat/>
    <w:uiPriority w:val="99"/>
    <w:rPr>
      <w:rFonts w:ascii="宋体" w:hAnsi="Times New Roman" w:eastAsia="宋体" w:cs="Times New Roman"/>
      <w:kern w:val="0"/>
      <w:sz w:val="18"/>
      <w:szCs w:val="18"/>
    </w:rPr>
  </w:style>
  <w:style w:type="character" w:customStyle="1" w:styleId="36">
    <w:name w:val="页眉 Char"/>
    <w:basedOn w:val="21"/>
    <w:link w:val="14"/>
    <w:qFormat/>
    <w:uiPriority w:val="99"/>
    <w:rPr>
      <w:rFonts w:ascii="宋体" w:hAnsi="Times New Roman" w:eastAsia="宋体" w:cs="Times New Roman"/>
      <w:kern w:val="0"/>
      <w:sz w:val="18"/>
      <w:szCs w:val="18"/>
    </w:rPr>
  </w:style>
  <w:style w:type="character" w:customStyle="1" w:styleId="37">
    <w:name w:val="标题 1 Char"/>
    <w:basedOn w:val="21"/>
    <w:link w:val="4"/>
    <w:qFormat/>
    <w:uiPriority w:val="9"/>
    <w:rPr>
      <w:b/>
      <w:bCs/>
      <w:kern w:val="44"/>
      <w:sz w:val="44"/>
      <w:szCs w:val="44"/>
    </w:rPr>
  </w:style>
  <w:style w:type="character" w:customStyle="1" w:styleId="38">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39">
    <w:name w:val="标题 3 Char"/>
    <w:basedOn w:val="21"/>
    <w:link w:val="6"/>
    <w:semiHidden/>
    <w:qFormat/>
    <w:uiPriority w:val="9"/>
    <w:rPr>
      <w:b/>
      <w:bCs/>
      <w:kern w:val="2"/>
      <w:sz w:val="32"/>
      <w:szCs w:val="32"/>
    </w:rPr>
  </w:style>
  <w:style w:type="paragraph" w:styleId="40">
    <w:name w:val="List Paragraph"/>
    <w:basedOn w:val="1"/>
    <w:unhideWhenUsed/>
    <w:qFormat/>
    <w:uiPriority w:val="99"/>
    <w:pPr>
      <w:ind w:firstLine="420" w:firstLineChars="200"/>
    </w:pPr>
  </w:style>
  <w:style w:type="character" w:customStyle="1" w:styleId="41">
    <w:name w:val="脚注文本 Char"/>
    <w:basedOn w:val="21"/>
    <w:link w:val="16"/>
    <w:semiHidden/>
    <w:qFormat/>
    <w:uiPriority w:val="99"/>
    <w:rPr>
      <w:rFonts w:ascii="宋体" w:hAnsi="Times New Roman" w:eastAsia="宋体" w:cs="Times New Roman"/>
      <w:sz w:val="18"/>
      <w:szCs w:val="18"/>
    </w:rPr>
  </w:style>
  <w:style w:type="paragraph" w:customStyle="1" w:styleId="4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日期 Char"/>
    <w:basedOn w:val="21"/>
    <w:link w:val="11"/>
    <w:semiHidden/>
    <w:qFormat/>
    <w:uiPriority w:val="99"/>
    <w:rPr>
      <w:rFonts w:ascii="宋体" w:hAnsi="Times New Roman" w:eastAsia="宋体" w:cs="Times New Roman"/>
    </w:rPr>
  </w:style>
  <w:style w:type="paragraph" w:customStyle="1" w:styleId="44">
    <w:name w:val="WPSOffice手动目录 1"/>
    <w:qFormat/>
    <w:uiPriority w:val="0"/>
    <w:rPr>
      <w:rFonts w:asciiTheme="minorHAnsi" w:hAnsiTheme="minorHAnsi" w:eastAsiaTheme="minorEastAsia" w:cstheme="minorBidi"/>
      <w:lang w:val="en-US" w:eastAsia="zh-CN" w:bidi="ar-SA"/>
    </w:rPr>
  </w:style>
  <w:style w:type="paragraph" w:customStyle="1" w:styleId="4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6">
    <w:name w:val="正文文本 Char"/>
    <w:basedOn w:val="21"/>
    <w:link w:val="8"/>
    <w:qFormat/>
    <w:uiPriority w:val="1"/>
    <w:rPr>
      <w:rFonts w:ascii="PMingLiU" w:hAnsi="PMingLiU" w:eastAsia="PMingLiU" w:cs="PMingLiU"/>
      <w:sz w:val="28"/>
      <w:szCs w:val="28"/>
      <w:lang w:val="zh-CN" w:bidi="zh-CN"/>
    </w:rPr>
  </w:style>
  <w:style w:type="paragraph" w:customStyle="1" w:styleId="47">
    <w:name w:val="闻政正文"/>
    <w:basedOn w:val="1"/>
    <w:link w:val="48"/>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48">
    <w:name w:val="闻政正文 Char"/>
    <w:link w:val="47"/>
    <w:qFormat/>
    <w:uiPriority w:val="0"/>
    <w:rPr>
      <w:rFonts w:ascii="Times New Roman" w:hAnsi="Times New Roman" w:eastAsia="仿宋_GB2312"/>
      <w:sz w:val="28"/>
      <w:szCs w:val="28"/>
    </w:rPr>
  </w:style>
  <w:style w:type="character" w:customStyle="1" w:styleId="49">
    <w:name w:val="批注主题 Char"/>
    <w:basedOn w:val="31"/>
    <w:link w:val="18"/>
    <w:semiHidden/>
    <w:qFormat/>
    <w:uiPriority w:val="99"/>
    <w:rPr>
      <w:rFonts w:ascii="宋体" w:hAnsi="Times New Roman"/>
      <w:b/>
      <w:bCs/>
    </w:rPr>
  </w:style>
  <w:style w:type="table" w:customStyle="1" w:styleId="50">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51">
    <w:name w:val="Table Normal1"/>
    <w:semiHidden/>
    <w:unhideWhenUsed/>
    <w:qFormat/>
    <w:uiPriority w:val="0"/>
    <w:rPr>
      <w:rFonts w:ascii="Arial" w:hAnsi="Arial" w:cs="Arial"/>
    </w:rPr>
    <w:tblPr>
      <w:tblCellMar>
        <w:top w:w="0" w:type="dxa"/>
        <w:left w:w="0" w:type="dxa"/>
        <w:bottom w:w="0" w:type="dxa"/>
        <w:right w:w="0" w:type="dxa"/>
      </w:tblCellMar>
    </w:tblPr>
  </w:style>
  <w:style w:type="character" w:customStyle="1" w:styleId="52">
    <w:name w:val="新正一级标题 Char"/>
    <w:link w:val="29"/>
    <w:uiPriority w:val="0"/>
    <w:rPr>
      <w:rFonts w:hint="eastAsia" w:ascii="黑体" w:hAnsi="黑体" w:eastAsia="黑体" w:cs="黑体"/>
      <w:bCs/>
      <w:color w:val="auto"/>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16</Pages>
  <Words>5498</Words>
  <Characters>7251</Characters>
  <Lines>68</Lines>
  <Paragraphs>19</Paragraphs>
  <TotalTime>7</TotalTime>
  <ScaleCrop>false</ScaleCrop>
  <LinksUpToDate>false</LinksUpToDate>
  <CharactersWithSpaces>7564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Xin12345</cp:lastModifiedBy>
  <cp:lastPrinted>2023-07-27T01:21:00Z</cp:lastPrinted>
  <dcterms:modified xsi:type="dcterms:W3CDTF">2023-08-17T07:33:04Z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F0113771F86B43D489F4C9612FC0478E</vt:lpwstr>
  </property>
</Properties>
</file>