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000000" w:themeColor="text1"/>
          <w:sz w:val="36"/>
          <w:szCs w:val="44"/>
          <w14:textFill>
            <w14:solidFill>
              <w14:schemeClr w14:val="tx1"/>
            </w14:solidFill>
          </w14:textFill>
        </w:rPr>
      </w:pPr>
    </w:p>
    <w:p>
      <w:pPr>
        <w:pStyle w:val="2"/>
        <w:ind w:left="400" w:firstLine="723"/>
        <w:rPr>
          <w:rFonts w:hAnsi="宋体"/>
          <w:b/>
          <w:bCs/>
          <w:color w:val="000000" w:themeColor="text1"/>
          <w:sz w:val="36"/>
          <w:szCs w:val="44"/>
          <w14:textFill>
            <w14:solidFill>
              <w14:schemeClr w14:val="tx1"/>
            </w14:solidFill>
          </w14:textFill>
        </w:rPr>
      </w:pPr>
    </w:p>
    <w:p>
      <w:pPr>
        <w:rPr>
          <w:color w:val="000000" w:themeColor="text1"/>
          <w14:textFill>
            <w14:solidFill>
              <w14:schemeClr w14:val="tx1"/>
            </w14:solidFill>
          </w14:textFill>
        </w:rPr>
      </w:pPr>
    </w:p>
    <w:p>
      <w:pPr>
        <w:jc w:val="center"/>
        <w:textAlignment w:val="baseline"/>
        <w:rPr>
          <w:rFonts w:hAnsi="宋体"/>
          <w:b/>
          <w:bCs/>
          <w:color w:val="000000" w:themeColor="text1"/>
          <w:sz w:val="36"/>
          <w:szCs w:val="44"/>
          <w14:textFill>
            <w14:solidFill>
              <w14:schemeClr w14:val="tx1"/>
            </w14:solidFill>
          </w14:textFill>
        </w:rPr>
      </w:pPr>
    </w:p>
    <w:p>
      <w:pPr>
        <w:jc w:val="center"/>
        <w:textAlignment w:val="baseline"/>
        <w:rPr>
          <w:rFonts w:hAnsi="宋体"/>
          <w:b/>
          <w:bCs/>
          <w:color w:val="000000" w:themeColor="text1"/>
          <w:sz w:val="36"/>
          <w:szCs w:val="44"/>
          <w14:textFill>
            <w14:solidFill>
              <w14:schemeClr w14:val="tx1"/>
            </w14:solidFill>
          </w14:textFill>
        </w:rPr>
      </w:pPr>
      <w:r>
        <w:rPr>
          <w:color w:val="000000" w:themeColor="text1"/>
          <w:sz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退役军人事务局</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2022年优抚对象解三难资金</w:t>
                            </w:r>
                            <w:r>
                              <w:rPr>
                                <w:rFonts w:hint="eastAsia" w:ascii="方正小标宋简体" w:hAnsi="方正小标宋简体" w:eastAsia="方正小标宋简体" w:cs="方正小标宋简体"/>
                                <w:bCs/>
                                <w:sz w:val="32"/>
                                <w:szCs w:val="32"/>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40</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退役军人事务局</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2022年优抚对象解三难资金</w:t>
                      </w:r>
                      <w:r>
                        <w:rPr>
                          <w:rFonts w:hint="eastAsia" w:ascii="方正小标宋简体" w:hAnsi="方正小标宋简体" w:eastAsia="方正小标宋简体" w:cs="方正小标宋简体"/>
                          <w:bCs/>
                          <w:sz w:val="32"/>
                          <w:szCs w:val="32"/>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40</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000000" w:themeColor="text1"/>
          <w:sz w:val="24"/>
          <w:szCs w:val="24"/>
          <w14:textFill>
            <w14:solidFill>
              <w14:schemeClr w14:val="tx1"/>
            </w14:solidFill>
          </w14:textFill>
        </w:rPr>
      </w:pPr>
    </w:p>
    <w:p>
      <w:pPr>
        <w:jc w:val="center"/>
        <w:textAlignment w:val="baseline"/>
        <w:rPr>
          <w:rFonts w:hAnsi="宋体"/>
          <w:b/>
          <w:bCs/>
          <w:color w:val="000000" w:themeColor="text1"/>
          <w:sz w:val="24"/>
          <w:szCs w:val="24"/>
          <w14:textFill>
            <w14:solidFill>
              <w14:schemeClr w14:val="tx1"/>
            </w14:solidFill>
          </w14:textFill>
        </w:rPr>
      </w:pPr>
    </w:p>
    <w:p>
      <w:pPr>
        <w:jc w:val="center"/>
        <w:rPr>
          <w:rFonts w:asciiTheme="majorEastAsia" w:hAnsiTheme="majorEastAsia" w:eastAsiaTheme="majorEastAsia"/>
          <w:b/>
          <w:color w:val="000000" w:themeColor="text1"/>
          <w:sz w:val="32"/>
          <w:szCs w:val="32"/>
          <w14:textFill>
            <w14:solidFill>
              <w14:schemeClr w14:val="tx1"/>
            </w14:solidFill>
          </w14:textFill>
        </w:rPr>
      </w:pPr>
    </w:p>
    <w:p>
      <w:pPr>
        <w:spacing w:line="660" w:lineRule="exact"/>
        <w:ind w:firstLine="883" w:firstLineChars="200"/>
        <w:rPr>
          <w:rFonts w:ascii="新宋体" w:hAnsi="新宋体" w:eastAsia="新宋体" w:cs="黑体"/>
          <w:b/>
          <w:color w:val="000000" w:themeColor="text1"/>
          <w:sz w:val="44"/>
          <w:szCs w:val="44"/>
          <w14:textFill>
            <w14:solidFill>
              <w14:schemeClr w14:val="tx1"/>
            </w14:solidFill>
          </w14:textFill>
        </w:rPr>
      </w:pPr>
    </w:p>
    <w:p>
      <w:pPr>
        <w:textAlignment w:val="baseline"/>
        <w:rPr>
          <w:rFonts w:ascii="Times New Roman" w:eastAsia="黑体"/>
          <w:b/>
          <w:color w:val="000000" w:themeColor="text1"/>
          <w:szCs w:val="32"/>
          <w14:textFill>
            <w14:solidFill>
              <w14:schemeClr w14:val="tx1"/>
            </w14:solidFill>
          </w14:textFill>
        </w:rPr>
      </w:pPr>
    </w:p>
    <w:p>
      <w:pPr>
        <w:textAlignment w:val="baseline"/>
        <w:rPr>
          <w:rFonts w:hAnsi="宋体"/>
          <w:color w:val="000000" w:themeColor="text1"/>
          <w:szCs w:val="32"/>
          <w14:textFill>
            <w14:solidFill>
              <w14:schemeClr w14:val="tx1"/>
            </w14:solidFill>
          </w14:textFill>
        </w:rPr>
      </w:pPr>
    </w:p>
    <w:p>
      <w:pPr>
        <w:textAlignment w:val="baseline"/>
        <w:rPr>
          <w:rFonts w:hAnsi="宋体"/>
          <w:color w:val="000000" w:themeColor="text1"/>
          <w:szCs w:val="32"/>
          <w14:textFill>
            <w14:solidFill>
              <w14:schemeClr w14:val="tx1"/>
            </w14:solidFill>
          </w14:textFill>
        </w:rPr>
      </w:pPr>
    </w:p>
    <w:p>
      <w:pPr>
        <w:textAlignment w:val="baseline"/>
        <w:rPr>
          <w:rFonts w:hAnsi="宋体"/>
          <w:color w:val="000000" w:themeColor="text1"/>
          <w:szCs w:val="32"/>
          <w14:textFill>
            <w14:solidFill>
              <w14:schemeClr w14:val="tx1"/>
            </w14:solidFill>
          </w14:textFill>
        </w:rPr>
      </w:pPr>
    </w:p>
    <w:p>
      <w:pPr>
        <w:spacing w:line="276" w:lineRule="auto"/>
        <w:textAlignment w:val="baseline"/>
        <w:rPr>
          <w:rFonts w:ascii="仿宋" w:hAnsi="仿宋" w:eastAsia="仿宋"/>
          <w:color w:val="000000" w:themeColor="text1"/>
          <w:sz w:val="32"/>
          <w:szCs w:val="32"/>
          <w14:textFill>
            <w14:solidFill>
              <w14:schemeClr w14:val="tx1"/>
            </w14:solidFill>
          </w14:textFill>
        </w:rPr>
      </w:pPr>
    </w:p>
    <w:p>
      <w:pPr>
        <w:spacing w:line="276" w:lineRule="auto"/>
        <w:textAlignment w:val="baseline"/>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spacing w:line="276" w:lineRule="auto"/>
        <w:textAlignment w:val="baseline"/>
        <w:rPr>
          <w:rFonts w:ascii="仿宋" w:hAnsi="仿宋" w:eastAsia="仿宋"/>
          <w:color w:val="000000" w:themeColor="text1"/>
          <w:sz w:val="32"/>
          <w:szCs w:val="32"/>
          <w14:textFill>
            <w14:solidFill>
              <w14:schemeClr w14:val="tx1"/>
            </w14:solidFill>
          </w14:textFill>
        </w:rPr>
      </w:pPr>
    </w:p>
    <w:p>
      <w:pPr>
        <w:spacing w:line="276" w:lineRule="auto"/>
        <w:textAlignment w:val="baseline"/>
        <w:rPr>
          <w:rFonts w:ascii="仿宋" w:hAnsi="仿宋" w:eastAsia="仿宋"/>
          <w:color w:val="000000" w:themeColor="text1"/>
          <w:sz w:val="32"/>
          <w:szCs w:val="32"/>
          <w14:textFill>
            <w14:solidFill>
              <w14:schemeClr w14:val="tx1"/>
            </w14:solidFill>
          </w14:textFill>
        </w:rPr>
      </w:pPr>
    </w:p>
    <w:p>
      <w:pPr>
        <w:spacing w:line="360" w:lineRule="auto"/>
        <w:textAlignment w:val="baseline"/>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委 托 方：</w:t>
      </w:r>
      <w:r>
        <w:rPr>
          <w:rFonts w:hint="eastAsia" w:ascii="仿宋" w:hAnsi="仿宋" w:eastAsia="仿宋"/>
          <w:color w:val="000000" w:themeColor="text1"/>
          <w:sz w:val="30"/>
          <w:szCs w:val="30"/>
          <w14:textFill>
            <w14:solidFill>
              <w14:schemeClr w14:val="tx1"/>
            </w14:solidFill>
          </w14:textFill>
        </w:rPr>
        <w:t>遵化市</w:t>
      </w:r>
      <w:r>
        <w:rPr>
          <w:rFonts w:hint="eastAsia" w:ascii="仿宋" w:hAnsi="仿宋" w:eastAsia="仿宋"/>
          <w:color w:val="000000" w:themeColor="text1"/>
          <w:sz w:val="30"/>
          <w:szCs w:val="30"/>
          <w:lang w:val="en-US" w:eastAsia="zh-CN"/>
          <w14:textFill>
            <w14:solidFill>
              <w14:schemeClr w14:val="tx1"/>
            </w14:solidFill>
          </w14:textFill>
        </w:rPr>
        <w:t>财政局</w:t>
      </w:r>
    </w:p>
    <w:p>
      <w:pPr>
        <w:spacing w:line="360" w:lineRule="auto"/>
        <w:textAlignment w:val="baseline"/>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14:textFill>
            <w14:solidFill>
              <w14:schemeClr w14:val="tx1"/>
            </w14:solidFill>
          </w14:textFill>
        </w:rPr>
        <w:t>2022年优抚对象解三难资金</w:t>
      </w:r>
    </w:p>
    <w:p>
      <w:pPr>
        <w:spacing w:line="360" w:lineRule="auto"/>
        <w:textAlignment w:val="baseline"/>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项目单位：</w:t>
      </w:r>
      <w:r>
        <w:rPr>
          <w:rFonts w:hint="eastAsia" w:ascii="仿宋" w:hAnsi="仿宋" w:eastAsia="仿宋"/>
          <w:color w:val="000000" w:themeColor="text1"/>
          <w:sz w:val="30"/>
          <w:szCs w:val="30"/>
          <w14:textFill>
            <w14:solidFill>
              <w14:schemeClr w14:val="tx1"/>
            </w14:solidFill>
          </w14:textFill>
        </w:rPr>
        <w:t>遵化市退役军人事务局</w:t>
      </w:r>
    </w:p>
    <w:p>
      <w:pPr>
        <w:spacing w:line="360" w:lineRule="auto"/>
        <w:textAlignment w:val="baseline"/>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评价机构：</w:t>
      </w:r>
      <w:r>
        <w:rPr>
          <w:rFonts w:hint="eastAsia" w:ascii="仿宋" w:hAnsi="仿宋" w:eastAsia="仿宋"/>
          <w:color w:val="000000" w:themeColor="text1"/>
          <w:sz w:val="30"/>
          <w:szCs w:val="30"/>
          <w14:textFill>
            <w14:solidFill>
              <w14:schemeClr w14:val="tx1"/>
            </w14:solidFill>
          </w14:textFill>
        </w:rPr>
        <w:t>唐山市新正会计师事务所（普通合伙）</w:t>
      </w:r>
    </w:p>
    <w:p>
      <w:pPr>
        <w:spacing w:line="360"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highlight w:val="none"/>
          <w14:textFill>
            <w14:solidFill>
              <w14:schemeClr w14:val="tx1"/>
            </w14:solidFill>
          </w14:textFill>
        </w:rPr>
        <w:t>报告日期：</w:t>
      </w:r>
      <w:r>
        <w:rPr>
          <w:rFonts w:hint="eastAsia" w:ascii="仿宋" w:hAnsi="仿宋" w:eastAsia="仿宋" w:cs="仿宋"/>
          <w:color w:val="000000" w:themeColor="text1"/>
          <w:sz w:val="30"/>
          <w:szCs w:val="30"/>
          <w:highlight w:val="none"/>
          <w14:textFill>
            <w14:solidFill>
              <w14:schemeClr w14:val="tx1"/>
            </w14:solidFill>
          </w14:textFill>
        </w:rPr>
        <w:t>二〇二三年</w:t>
      </w:r>
      <w:r>
        <w:rPr>
          <w:rFonts w:hint="eastAsia" w:ascii="仿宋" w:hAnsi="仿宋" w:eastAsia="仿宋" w:cs="仿宋"/>
          <w:color w:val="000000" w:themeColor="text1"/>
          <w:sz w:val="30"/>
          <w:szCs w:val="30"/>
          <w:highlight w:val="none"/>
          <w:lang w:val="en-US" w:eastAsia="zh-CN"/>
          <w14:textFill>
            <w14:solidFill>
              <w14:schemeClr w14:val="tx1"/>
            </w14:solidFill>
          </w14:textFill>
        </w:rPr>
        <w:t>七</w:t>
      </w:r>
      <w:r>
        <w:rPr>
          <w:rFonts w:hint="eastAsia" w:ascii="仿宋" w:hAnsi="仿宋" w:eastAsia="仿宋" w:cs="仿宋"/>
          <w:color w:val="000000" w:themeColor="text1"/>
          <w:sz w:val="30"/>
          <w:szCs w:val="30"/>
          <w:highlight w:val="none"/>
          <w14:textFill>
            <w14:solidFill>
              <w14:schemeClr w14:val="tx1"/>
            </w14:solidFill>
          </w14:textFill>
        </w:rPr>
        <w:t>月</w:t>
      </w:r>
      <w:r>
        <w:rPr>
          <w:rFonts w:hint="eastAsia" w:ascii="仿宋" w:hAnsi="仿宋" w:eastAsia="仿宋" w:cs="仿宋"/>
          <w:color w:val="000000" w:themeColor="text1"/>
          <w:sz w:val="30"/>
          <w:szCs w:val="30"/>
          <w:highlight w:val="none"/>
          <w:lang w:val="en-US" w:eastAsia="zh-CN"/>
          <w14:textFill>
            <w14:solidFill>
              <w14:schemeClr w14:val="tx1"/>
            </w14:solidFill>
          </w14:textFill>
        </w:rPr>
        <w:t>三十一</w:t>
      </w:r>
      <w:r>
        <w:rPr>
          <w:rFonts w:hint="eastAsia" w:ascii="仿宋" w:hAnsi="仿宋" w:eastAsia="仿宋" w:cs="仿宋"/>
          <w:color w:val="000000" w:themeColor="text1"/>
          <w:sz w:val="30"/>
          <w:szCs w:val="30"/>
          <w:highlight w:val="none"/>
          <w14:textFill>
            <w14:solidFill>
              <w14:schemeClr w14:val="tx1"/>
            </w14:solidFill>
          </w14:textFill>
        </w:rPr>
        <w:t>日</w:t>
      </w:r>
      <w:r>
        <w:rPr>
          <w:rFonts w:ascii="仿宋" w:hAnsi="仿宋" w:eastAsia="仿宋" w:cs="仿宋"/>
          <w:color w:val="000000" w:themeColor="text1"/>
          <w:sz w:val="30"/>
          <w:szCs w:val="30"/>
          <w14:textFill>
            <w14:solidFill>
              <w14:schemeClr w14:val="tx1"/>
            </w14:solidFill>
          </w14:textFill>
        </w:rPr>
        <w:br w:type="page"/>
      </w:r>
    </w:p>
    <w:p>
      <w:pPr>
        <w:pStyle w:val="38"/>
        <w:bidi w:val="0"/>
        <w:rPr>
          <w:rFonts w:hint="eastAsia"/>
        </w:rPr>
      </w:pPr>
      <w:bookmarkStart w:id="0" w:name="_Toc57373820"/>
      <w:r>
        <w:rPr>
          <w:rFonts w:hint="eastAsia"/>
        </w:rPr>
        <w:t>遵化市退役军人事务局</w:t>
      </w:r>
    </w:p>
    <w:p>
      <w:pPr>
        <w:pStyle w:val="38"/>
        <w:bidi w:val="0"/>
        <w:rPr>
          <w:rFonts w:hint="eastAsia"/>
        </w:rPr>
      </w:pPr>
      <w:r>
        <w:rPr>
          <w:rFonts w:hint="eastAsia"/>
        </w:rPr>
        <w:t>2022年优抚对象解三难资金项目</w:t>
      </w:r>
    </w:p>
    <w:p>
      <w:pPr>
        <w:pStyle w:val="38"/>
        <w:bidi w:val="0"/>
      </w:pPr>
      <w:r>
        <w:rPr>
          <w:rFonts w:hint="eastAsia"/>
        </w:rPr>
        <w:t>绩效评价报告</w:t>
      </w:r>
      <w:bookmarkEnd w:id="0"/>
    </w:p>
    <w:p>
      <w:pPr>
        <w:jc w:val="center"/>
        <w:rPr>
          <w:rFonts w:asciiTheme="majorEastAsia" w:hAnsiTheme="majorEastAsia" w:eastAsiaTheme="majorEastAsia"/>
          <w:b/>
          <w:color w:val="000000" w:themeColor="text1"/>
          <w:sz w:val="36"/>
          <w:szCs w:val="36"/>
          <w14:textFill>
            <w14:solidFill>
              <w14:schemeClr w14:val="tx1"/>
            </w14:solidFill>
          </w14:textFill>
        </w:rPr>
      </w:pPr>
    </w:p>
    <w:p>
      <w:pPr>
        <w:spacing w:line="360" w:lineRule="auto"/>
        <w:textAlignment w:val="baseline"/>
        <w:rPr>
          <w:rFonts w:ascii="仿宋" w:hAnsi="仿宋" w:eastAsia="仿宋" w:cs="仿宋_GB2312"/>
          <w:b/>
          <w:color w:val="000000" w:themeColor="text1"/>
          <w:sz w:val="30"/>
          <w:szCs w:val="30"/>
          <w14:textFill>
            <w14:solidFill>
              <w14:schemeClr w14:val="tx1"/>
            </w14:solidFill>
          </w14:textFill>
        </w:rPr>
      </w:pPr>
      <w:bookmarkStart w:id="1" w:name="_Toc29302675"/>
      <w:r>
        <w:rPr>
          <w:rFonts w:hint="eastAsia" w:ascii="仿宋" w:hAnsi="仿宋" w:eastAsia="仿宋" w:cs="仿宋_GB2312"/>
          <w:b/>
          <w:color w:val="000000" w:themeColor="text1"/>
          <w:sz w:val="30"/>
          <w:szCs w:val="30"/>
          <w:lang w:val="en-US" w:eastAsia="zh-CN"/>
          <w14:textFill>
            <w14:solidFill>
              <w14:schemeClr w14:val="tx1"/>
            </w14:solidFill>
          </w14:textFill>
        </w:rPr>
        <w:t>遵化市</w:t>
      </w:r>
      <w:r>
        <w:rPr>
          <w:rFonts w:hint="eastAsia" w:ascii="仿宋" w:hAnsi="仿宋" w:eastAsia="仿宋" w:cs="仿宋_GB2312"/>
          <w:b/>
          <w:color w:val="000000" w:themeColor="text1"/>
          <w:sz w:val="30"/>
          <w:szCs w:val="30"/>
          <w14:textFill>
            <w14:solidFill>
              <w14:schemeClr w14:val="tx1"/>
            </w14:solidFill>
          </w14:textFill>
        </w:rPr>
        <w:t>财政局：</w:t>
      </w:r>
      <w:bookmarkEnd w:id="1"/>
    </w:p>
    <w:p>
      <w:pPr>
        <w:pStyle w:val="41"/>
        <w:bidi w:val="0"/>
        <w:rPr>
          <w:lang w:val="zh-CN"/>
        </w:rPr>
      </w:pPr>
      <w:r>
        <w:rPr>
          <w:rFonts w:hint="eastAsia"/>
          <w:lang w:val="zh-CN"/>
        </w:rPr>
        <w:t>为了解遵化市退役军人事务局2022年优抚对象解三难资金项目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退役军人事务局2022年优抚对象解三难资金项目进行绩效评价。在绩效评价过程中，我们结合项目的实际情况，实施了包括询问查证、实地查看等我们认为必要的程序。经评价，该项目综合绩效评价得分</w:t>
      </w:r>
      <w:r>
        <w:rPr>
          <w:rFonts w:hint="eastAsia"/>
          <w:lang w:val="en-US"/>
        </w:rPr>
        <w:t>77.91</w:t>
      </w:r>
      <w:r>
        <w:rPr>
          <w:rFonts w:hint="eastAsia"/>
          <w:lang w:val="zh-CN"/>
        </w:rPr>
        <w:t>分，评价等级为“</w:t>
      </w:r>
      <w:r>
        <w:rPr>
          <w:rFonts w:hint="eastAsia"/>
          <w:lang w:val="en-US"/>
        </w:rPr>
        <w:t>中</w:t>
      </w:r>
      <w:r>
        <w:rPr>
          <w:rFonts w:hint="eastAsia"/>
          <w:lang w:val="zh-CN"/>
        </w:rPr>
        <w:t>”。</w:t>
      </w:r>
    </w:p>
    <w:p>
      <w:pPr>
        <w:pStyle w:val="2"/>
        <w:ind w:left="400" w:firstLine="600"/>
        <w:rPr>
          <w:rFonts w:ascii="仿宋" w:hAnsi="仿宋" w:eastAsia="仿宋" w:cs="仿宋_GB2312"/>
          <w:color w:val="000000" w:themeColor="text1"/>
          <w:sz w:val="30"/>
          <w:szCs w:val="30"/>
          <w:lang w:val="zh-CN" w:bidi="zh-CN"/>
          <w14:textFill>
            <w14:solidFill>
              <w14:schemeClr w14:val="tx1"/>
            </w14:solidFill>
          </w14:textFill>
        </w:rPr>
      </w:pPr>
    </w:p>
    <w:p>
      <w:pPr>
        <w:rPr>
          <w:rFonts w:ascii="仿宋" w:hAnsi="仿宋" w:eastAsia="仿宋" w:cs="仿宋_GB2312"/>
          <w:color w:val="000000" w:themeColor="text1"/>
          <w:sz w:val="30"/>
          <w:szCs w:val="30"/>
          <w:lang w:val="zh-CN" w:bidi="zh-CN"/>
          <w14:textFill>
            <w14:solidFill>
              <w14:schemeClr w14:val="tx1"/>
            </w14:solidFill>
          </w14:textFill>
        </w:rPr>
      </w:pPr>
    </w:p>
    <w:p>
      <w:pPr>
        <w:pStyle w:val="2"/>
        <w:rPr>
          <w:rFonts w:ascii="仿宋" w:hAnsi="仿宋" w:eastAsia="仿宋" w:cs="仿宋_GB2312"/>
          <w:color w:val="000000" w:themeColor="text1"/>
          <w:sz w:val="30"/>
          <w:szCs w:val="30"/>
          <w:lang w:val="zh-CN" w:bidi="zh-CN"/>
          <w14:textFill>
            <w14:solidFill>
              <w14:schemeClr w14:val="tx1"/>
            </w14:solidFill>
          </w14:textFill>
        </w:rPr>
      </w:pPr>
    </w:p>
    <w:p>
      <w:pPr>
        <w:rPr>
          <w:rFonts w:ascii="仿宋" w:hAnsi="仿宋" w:eastAsia="仿宋" w:cs="仿宋_GB2312"/>
          <w:color w:val="000000" w:themeColor="text1"/>
          <w:sz w:val="30"/>
          <w:szCs w:val="30"/>
          <w:lang w:val="zh-CN" w:bidi="zh-CN"/>
          <w14:textFill>
            <w14:solidFill>
              <w14:schemeClr w14:val="tx1"/>
            </w14:solidFill>
          </w14:textFill>
        </w:rPr>
      </w:pPr>
    </w:p>
    <w:p>
      <w:pPr>
        <w:pStyle w:val="2"/>
        <w:rPr>
          <w:rFonts w:ascii="仿宋" w:hAnsi="仿宋" w:eastAsia="仿宋" w:cs="仿宋_GB2312"/>
          <w:color w:val="000000" w:themeColor="text1"/>
          <w:sz w:val="30"/>
          <w:szCs w:val="30"/>
          <w:lang w:val="zh-CN" w:bidi="zh-CN"/>
          <w14:textFill>
            <w14:solidFill>
              <w14:schemeClr w14:val="tx1"/>
            </w14:solidFill>
          </w14:textFill>
        </w:rPr>
      </w:pPr>
    </w:p>
    <w:p>
      <w:p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000000" w:themeColor="text1"/>
                <w:kern w:val="2"/>
                <w:sz w:val="30"/>
                <w:szCs w:val="30"/>
                <w14:textFill>
                  <w14:solidFill>
                    <w14:schemeClr w14:val="tx1"/>
                  </w14:solidFill>
                </w14:textFill>
              </w:rPr>
            </w:pPr>
            <w:r>
              <w:rPr>
                <w:rFonts w:hint="eastAsia" w:ascii="仿宋" w:hAnsi="仿宋" w:eastAsia="仿宋" w:cs="仿宋"/>
                <w:b/>
                <w:color w:val="000000" w:themeColor="text1"/>
                <w:kern w:val="2"/>
                <w:sz w:val="30"/>
                <w:szCs w:val="30"/>
                <w14:textFill>
                  <w14:solidFill>
                    <w14:schemeClr w14:val="tx1"/>
                  </w14:solidFill>
                </w14:textFill>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000000" w:themeColor="text1"/>
                <w:kern w:val="2"/>
                <w:sz w:val="30"/>
                <w:szCs w:val="30"/>
                <w14:textFill>
                  <w14:solidFill>
                    <w14:schemeClr w14:val="tx1"/>
                  </w14:solidFill>
                </w14:textFill>
              </w:rPr>
            </w:pPr>
            <w:r>
              <w:rPr>
                <w:rFonts w:hint="eastAsia" w:ascii="仿宋" w:hAnsi="仿宋" w:eastAsia="仿宋" w:cs="仿宋"/>
                <w:b/>
                <w:color w:val="000000" w:themeColor="text1"/>
                <w:kern w:val="2"/>
                <w:sz w:val="30"/>
                <w:szCs w:val="30"/>
                <w14:textFill>
                  <w14:solidFill>
                    <w14:schemeClr w14:val="tx1"/>
                  </w14:solidFill>
                </w14:textFill>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000000" w:themeColor="text1"/>
                <w:kern w:val="2"/>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 xml:space="preserve">   二〇二三年</w:t>
            </w:r>
            <w:r>
              <w:rPr>
                <w:rFonts w:hint="eastAsia" w:ascii="仿宋" w:hAnsi="仿宋" w:eastAsia="仿宋" w:cs="仿宋"/>
                <w:b/>
                <w:color w:val="000000" w:themeColor="text1"/>
                <w:sz w:val="30"/>
                <w:szCs w:val="30"/>
                <w:highlight w:val="none"/>
                <w:lang w:val="en-US" w:eastAsia="zh-CN"/>
                <w14:textFill>
                  <w14:solidFill>
                    <w14:schemeClr w14:val="tx1"/>
                  </w14:solidFill>
                </w14:textFill>
              </w:rPr>
              <w:t>七</w:t>
            </w:r>
            <w:r>
              <w:rPr>
                <w:rFonts w:hint="eastAsia" w:ascii="仿宋" w:hAnsi="仿宋" w:eastAsia="仿宋" w:cs="仿宋"/>
                <w:b/>
                <w:color w:val="000000" w:themeColor="text1"/>
                <w:sz w:val="30"/>
                <w:szCs w:val="30"/>
                <w:highlight w:val="none"/>
                <w14:textFill>
                  <w14:solidFill>
                    <w14:schemeClr w14:val="tx1"/>
                  </w14:solidFill>
                </w14:textFill>
              </w:rPr>
              <w:t>月三十一日</w:t>
            </w:r>
          </w:p>
        </w:tc>
      </w:tr>
    </w:tbl>
    <w:p>
      <w:pPr>
        <w:spacing w:after="48" w:afterLines="20" w:line="520" w:lineRule="exact"/>
        <w:textAlignment w:val="baseline"/>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sdt>
      <w:sdtP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id w:val="1136294287"/>
        <w:docPartObj>
          <w:docPartGallery w:val="Table of Contents"/>
          <w:docPartUnique/>
        </w:docPartObj>
      </w:sdtPr>
      <w:sdtEndPr>
        <w:rPr>
          <w:rFonts w:hint="eastAsia" w:ascii="方正小标宋简体" w:hAnsi="方正小标宋简体" w:eastAsia="方正小标宋简体" w:cs="方正小标宋简体"/>
          <w:bCs/>
          <w:color w:val="000000" w:themeColor="text1"/>
          <w:sz w:val="28"/>
          <w:szCs w:val="28"/>
          <w14:textFill>
            <w14:solidFill>
              <w14:schemeClr w14:val="tx1"/>
            </w14:solidFill>
          </w14:textFill>
        </w:rPr>
      </w:sdtEndPr>
      <w:sdtContent>
        <w:sdt>
          <w:sdtP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id w:val="147478054"/>
            <w:docPartObj>
              <w:docPartGallery w:val="Table of Contents"/>
              <w:docPartUnique/>
            </w:docPartObj>
          </w:sdtPr>
          <w:sdtEndPr>
            <w:rPr>
              <w:rFonts w:hint="eastAsia" w:ascii="方正小标宋简体" w:hAnsi="方正小标宋简体" w:eastAsia="方正小标宋简体" w:cs="方正小标宋简体"/>
              <w:bCs/>
              <w:color w:val="000000" w:themeColor="text1"/>
              <w:sz w:val="28"/>
              <w:szCs w:val="28"/>
              <w14:textFill>
                <w14:solidFill>
                  <w14:schemeClr w14:val="tx1"/>
                </w14:solidFill>
              </w14:textFill>
            </w:rPr>
          </w:sdtEndPr>
          <w:sdtContent>
            <w:p>
              <w:pPr>
                <w:spacing w:after="48" w:afterLines="20" w:line="52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目    录</w:t>
              </w:r>
            </w:p>
            <w:p>
              <w:pPr>
                <w:jc w:val="center"/>
                <w:rPr>
                  <w:b/>
                  <w:bCs/>
                  <w:color w:val="000000" w:themeColor="text1"/>
                  <w:sz w:val="44"/>
                  <w:szCs w:val="44"/>
                  <w14:textFill>
                    <w14:solidFill>
                      <w14:schemeClr w14:val="tx1"/>
                    </w14:solidFill>
                  </w14:textFill>
                </w:rPr>
              </w:pPr>
            </w:p>
            <w:p>
              <w:pPr>
                <w:pStyle w:val="15"/>
                <w:tabs>
                  <w:tab w:val="right" w:leader="dot" w:pos="8845"/>
                </w:tabs>
                <w:rPr>
                  <w:sz w:val="28"/>
                  <w:szCs w:val="28"/>
                </w:rPr>
              </w:pPr>
              <w:r>
                <w:rPr>
                  <w:rFonts w:hAnsi="宋体"/>
                  <w:b/>
                  <w:bCs/>
                  <w:color w:val="000000" w:themeColor="text1"/>
                  <w:sz w:val="28"/>
                  <w:szCs w:val="28"/>
                  <w14:textFill>
                    <w14:solidFill>
                      <w14:schemeClr w14:val="tx1"/>
                    </w14:solidFill>
                  </w14:textFill>
                </w:rPr>
                <w:fldChar w:fldCharType="begin"/>
              </w:r>
              <w:r>
                <w:rPr>
                  <w:rFonts w:hAnsi="宋体"/>
                  <w:b/>
                  <w:bCs/>
                  <w:color w:val="000000" w:themeColor="text1"/>
                  <w:sz w:val="28"/>
                  <w:szCs w:val="28"/>
                  <w14:textFill>
                    <w14:solidFill>
                      <w14:schemeClr w14:val="tx1"/>
                    </w14:solidFill>
                  </w14:textFill>
                </w:rPr>
                <w:instrText xml:space="preserve">TOC \o "1-2" \h \u </w:instrText>
              </w:r>
              <w:r>
                <w:rPr>
                  <w:rFonts w:hAnsi="宋体"/>
                  <w:b/>
                  <w:bCs/>
                  <w:color w:val="000000" w:themeColor="text1"/>
                  <w:sz w:val="28"/>
                  <w:szCs w:val="28"/>
                  <w14:textFill>
                    <w14:solidFill>
                      <w14:schemeClr w14:val="tx1"/>
                    </w14:solidFill>
                  </w14:textFill>
                </w:rPr>
                <w:fldChar w:fldCharType="separate"/>
              </w: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_Toc7840 </w:instrText>
              </w:r>
              <w:r>
                <w:rPr>
                  <w:rFonts w:hAnsi="宋体"/>
                  <w:bCs/>
                  <w:sz w:val="28"/>
                  <w:szCs w:val="28"/>
                </w:rPr>
                <w:fldChar w:fldCharType="separate"/>
              </w:r>
              <w:r>
                <w:rPr>
                  <w:rFonts w:hint="eastAsia" w:ascii="黑体" w:hAnsi="黑体" w:eastAsia="黑体" w:cs="黑体"/>
                  <w:bCs/>
                  <w:sz w:val="28"/>
                  <w:szCs w:val="28"/>
                </w:rPr>
                <w:t>一、项目基本情况</w:t>
              </w:r>
              <w:r>
                <w:rPr>
                  <w:sz w:val="28"/>
                  <w:szCs w:val="28"/>
                </w:rPr>
                <w:tab/>
              </w:r>
              <w:r>
                <w:rPr>
                  <w:sz w:val="28"/>
                  <w:szCs w:val="28"/>
                </w:rPr>
                <w:fldChar w:fldCharType="begin"/>
              </w:r>
              <w:r>
                <w:rPr>
                  <w:sz w:val="28"/>
                  <w:szCs w:val="28"/>
                </w:rPr>
                <w:instrText xml:space="preserve"> PAGEREF _Toc7840 \h </w:instrText>
              </w:r>
              <w:r>
                <w:rPr>
                  <w:sz w:val="28"/>
                  <w:szCs w:val="28"/>
                </w:rPr>
                <w:fldChar w:fldCharType="separate"/>
              </w:r>
              <w:r>
                <w:rPr>
                  <w:sz w:val="28"/>
                  <w:szCs w:val="28"/>
                </w:rPr>
                <w:t>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_Toc20648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_Toc20648 \h </w:instrText>
              </w:r>
              <w:r>
                <w:rPr>
                  <w:sz w:val="28"/>
                  <w:szCs w:val="28"/>
                </w:rPr>
                <w:fldChar w:fldCharType="separate"/>
              </w:r>
              <w:r>
                <w:rPr>
                  <w:sz w:val="28"/>
                  <w:szCs w:val="28"/>
                </w:rPr>
                <w:t>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_Toc16185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_Toc16185 \h </w:instrText>
              </w:r>
              <w:r>
                <w:rPr>
                  <w:sz w:val="28"/>
                  <w:szCs w:val="28"/>
                </w:rPr>
                <w:fldChar w:fldCharType="separate"/>
              </w:r>
              <w:r>
                <w:rPr>
                  <w:sz w:val="28"/>
                  <w:szCs w:val="28"/>
                </w:rPr>
                <w:t>2</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_Toc28859 </w:instrText>
              </w:r>
              <w:r>
                <w:rPr>
                  <w:rFonts w:hAnsi="宋体"/>
                  <w:bCs/>
                  <w:sz w:val="28"/>
                  <w:szCs w:val="28"/>
                </w:rPr>
                <w:fldChar w:fldCharType="separate"/>
              </w:r>
              <w:r>
                <w:rPr>
                  <w:rFonts w:hint="eastAsia" w:ascii="黑体" w:hAnsi="黑体" w:eastAsia="黑体" w:cs="黑体"/>
                  <w:bCs/>
                  <w:sz w:val="28"/>
                  <w:szCs w:val="28"/>
                </w:rPr>
                <w:t>二、项目实施情况</w:t>
              </w:r>
              <w:r>
                <w:rPr>
                  <w:sz w:val="28"/>
                  <w:szCs w:val="28"/>
                </w:rPr>
                <w:tab/>
              </w:r>
              <w:r>
                <w:rPr>
                  <w:sz w:val="28"/>
                  <w:szCs w:val="28"/>
                </w:rPr>
                <w:fldChar w:fldCharType="begin"/>
              </w:r>
              <w:r>
                <w:rPr>
                  <w:sz w:val="28"/>
                  <w:szCs w:val="28"/>
                </w:rPr>
                <w:instrText xml:space="preserve"> PAGEREF _Toc28859 \h </w:instrText>
              </w:r>
              <w:r>
                <w:rPr>
                  <w:sz w:val="28"/>
                  <w:szCs w:val="28"/>
                </w:rPr>
                <w:fldChar w:fldCharType="separate"/>
              </w:r>
              <w:r>
                <w:rPr>
                  <w:sz w:val="28"/>
                  <w:szCs w:val="28"/>
                </w:rPr>
                <w:t>2</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_Toc772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_Toc772 \h </w:instrText>
              </w:r>
              <w:r>
                <w:rPr>
                  <w:sz w:val="28"/>
                  <w:szCs w:val="28"/>
                </w:rPr>
                <w:fldChar w:fldCharType="separate"/>
              </w:r>
              <w:r>
                <w:rPr>
                  <w:sz w:val="28"/>
                  <w:szCs w:val="28"/>
                </w:rPr>
                <w:t>2</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_Toc15461 </w:instrText>
              </w:r>
              <w:r>
                <w:rPr>
                  <w:rFonts w:hAnsi="宋体"/>
                  <w:bCs/>
                  <w:sz w:val="28"/>
                  <w:szCs w:val="28"/>
                </w:rPr>
                <w:fldChar w:fldCharType="separate"/>
              </w:r>
              <w:r>
                <w:rPr>
                  <w:rFonts w:hint="eastAsia" w:ascii="华文楷体" w:hAnsi="华文楷体" w:eastAsia="华文楷体" w:cs="华文楷体"/>
                  <w:bCs/>
                  <w:sz w:val="28"/>
                  <w:szCs w:val="28"/>
                </w:rPr>
                <w:t>（二） 项目组织实施管理情况</w:t>
              </w:r>
              <w:r>
                <w:rPr>
                  <w:sz w:val="28"/>
                  <w:szCs w:val="28"/>
                </w:rPr>
                <w:tab/>
              </w:r>
              <w:r>
                <w:rPr>
                  <w:sz w:val="28"/>
                  <w:szCs w:val="28"/>
                </w:rPr>
                <w:fldChar w:fldCharType="begin"/>
              </w:r>
              <w:r>
                <w:rPr>
                  <w:sz w:val="28"/>
                  <w:szCs w:val="28"/>
                </w:rPr>
                <w:instrText xml:space="preserve"> PAGEREF _Toc15461 \h </w:instrText>
              </w:r>
              <w:r>
                <w:rPr>
                  <w:sz w:val="28"/>
                  <w:szCs w:val="28"/>
                </w:rPr>
                <w:fldChar w:fldCharType="separate"/>
              </w:r>
              <w:r>
                <w:rPr>
                  <w:sz w:val="28"/>
                  <w:szCs w:val="28"/>
                </w:rPr>
                <w:t>4</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_Toc20864 </w:instrText>
              </w:r>
              <w:r>
                <w:rPr>
                  <w:rFonts w:hAnsi="宋体"/>
                  <w:bCs/>
                  <w:sz w:val="28"/>
                  <w:szCs w:val="28"/>
                </w:rPr>
                <w:fldChar w:fldCharType="separate"/>
              </w:r>
              <w:r>
                <w:rPr>
                  <w:rFonts w:hint="eastAsia" w:ascii="黑体" w:hAnsi="黑体" w:eastAsia="黑体" w:cs="黑体"/>
                  <w:bCs/>
                  <w:sz w:val="28"/>
                  <w:szCs w:val="28"/>
                </w:rPr>
                <w:t>三、绩效评价工作情况</w:t>
              </w:r>
              <w:r>
                <w:rPr>
                  <w:sz w:val="28"/>
                  <w:szCs w:val="28"/>
                </w:rPr>
                <w:tab/>
              </w:r>
              <w:r>
                <w:rPr>
                  <w:sz w:val="28"/>
                  <w:szCs w:val="28"/>
                </w:rPr>
                <w:fldChar w:fldCharType="begin"/>
              </w:r>
              <w:r>
                <w:rPr>
                  <w:sz w:val="28"/>
                  <w:szCs w:val="28"/>
                </w:rPr>
                <w:instrText xml:space="preserve"> PAGEREF _Toc20864 \h </w:instrText>
              </w:r>
              <w:r>
                <w:rPr>
                  <w:sz w:val="28"/>
                  <w:szCs w:val="28"/>
                </w:rPr>
                <w:fldChar w:fldCharType="separate"/>
              </w:r>
              <w:r>
                <w:rPr>
                  <w:sz w:val="28"/>
                  <w:szCs w:val="28"/>
                </w:rPr>
                <w:t>5</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_Toc22697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_Toc22697 \h </w:instrText>
              </w:r>
              <w:r>
                <w:rPr>
                  <w:sz w:val="28"/>
                  <w:szCs w:val="28"/>
                </w:rPr>
                <w:fldChar w:fldCharType="separate"/>
              </w:r>
              <w:r>
                <w:rPr>
                  <w:sz w:val="28"/>
                  <w:szCs w:val="28"/>
                </w:rPr>
                <w:t>5</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_Toc4400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_Toc4400 \h </w:instrText>
              </w:r>
              <w:r>
                <w:rPr>
                  <w:sz w:val="28"/>
                  <w:szCs w:val="28"/>
                </w:rPr>
                <w:fldChar w:fldCharType="separate"/>
              </w:r>
              <w:r>
                <w:rPr>
                  <w:sz w:val="28"/>
                  <w:szCs w:val="28"/>
                </w:rPr>
                <w:t>5</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_Toc22850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_Toc22850 \h </w:instrText>
              </w:r>
              <w:r>
                <w:rPr>
                  <w:sz w:val="28"/>
                  <w:szCs w:val="28"/>
                </w:rPr>
                <w:fldChar w:fldCharType="separate"/>
              </w:r>
              <w:r>
                <w:rPr>
                  <w:sz w:val="28"/>
                  <w:szCs w:val="28"/>
                </w:rPr>
                <w:t>6</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_Toc22793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_Toc22793 \h </w:instrText>
              </w:r>
              <w:r>
                <w:rPr>
                  <w:sz w:val="28"/>
                  <w:szCs w:val="28"/>
                </w:rPr>
                <w:fldChar w:fldCharType="separate"/>
              </w:r>
              <w:r>
                <w:rPr>
                  <w:sz w:val="28"/>
                  <w:szCs w:val="28"/>
                </w:rPr>
                <w:t>7</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_Toc2799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_Toc2799 \h </w:instrText>
              </w:r>
              <w:r>
                <w:rPr>
                  <w:sz w:val="28"/>
                  <w:szCs w:val="28"/>
                </w:rPr>
                <w:fldChar w:fldCharType="separate"/>
              </w:r>
              <w:r>
                <w:rPr>
                  <w:sz w:val="28"/>
                  <w:szCs w:val="28"/>
                </w:rPr>
                <w:t>8</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_Toc30207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_Toc30207 \h </w:instrText>
              </w:r>
              <w:r>
                <w:rPr>
                  <w:sz w:val="28"/>
                  <w:szCs w:val="28"/>
                </w:rPr>
                <w:fldChar w:fldCharType="separate"/>
              </w:r>
              <w:r>
                <w:rPr>
                  <w:sz w:val="28"/>
                  <w:szCs w:val="28"/>
                </w:rPr>
                <w:t>9</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_Toc13627 </w:instrText>
              </w:r>
              <w:r>
                <w:rPr>
                  <w:rFonts w:hAnsi="宋体"/>
                  <w:bCs/>
                  <w:sz w:val="28"/>
                  <w:szCs w:val="28"/>
                </w:rPr>
                <w:fldChar w:fldCharType="separate"/>
              </w:r>
              <w:r>
                <w:rPr>
                  <w:rFonts w:hint="eastAsia" w:ascii="黑体" w:hAnsi="黑体" w:eastAsia="黑体" w:cs="黑体"/>
                  <w:bCs/>
                  <w:sz w:val="28"/>
                  <w:szCs w:val="28"/>
                </w:rPr>
                <w:t>四、项目绩效情况</w:t>
              </w:r>
              <w:r>
                <w:rPr>
                  <w:sz w:val="28"/>
                  <w:szCs w:val="28"/>
                </w:rPr>
                <w:tab/>
              </w:r>
              <w:r>
                <w:rPr>
                  <w:sz w:val="28"/>
                  <w:szCs w:val="28"/>
                </w:rPr>
                <w:fldChar w:fldCharType="begin"/>
              </w:r>
              <w:r>
                <w:rPr>
                  <w:sz w:val="28"/>
                  <w:szCs w:val="28"/>
                </w:rPr>
                <w:instrText xml:space="preserve"> PAGEREF _Toc13627 \h </w:instrText>
              </w:r>
              <w:r>
                <w:rPr>
                  <w:sz w:val="28"/>
                  <w:szCs w:val="28"/>
                </w:rPr>
                <w:fldChar w:fldCharType="separate"/>
              </w:r>
              <w:r>
                <w:rPr>
                  <w:sz w:val="28"/>
                  <w:szCs w:val="28"/>
                </w:rPr>
                <w:t>11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_Toc11823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_Toc11823 \h </w:instrText>
              </w:r>
              <w:r>
                <w:rPr>
                  <w:sz w:val="28"/>
                  <w:szCs w:val="28"/>
                </w:rPr>
                <w:fldChar w:fldCharType="separate"/>
              </w:r>
              <w:r>
                <w:rPr>
                  <w:sz w:val="28"/>
                  <w:szCs w:val="28"/>
                </w:rPr>
                <w:t>11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_Toc14218 </w:instrText>
              </w:r>
              <w:r>
                <w:rPr>
                  <w:rFonts w:hAnsi="宋体"/>
                  <w:bCs/>
                  <w:sz w:val="28"/>
                  <w:szCs w:val="28"/>
                </w:rPr>
                <w:fldChar w:fldCharType="separate"/>
              </w:r>
              <w:r>
                <w:rPr>
                  <w:rFonts w:hint="eastAsia" w:ascii="华文楷体" w:hAnsi="华文楷体" w:eastAsia="华文楷体" w:cs="华文楷体"/>
                  <w:bCs/>
                  <w:sz w:val="28"/>
                  <w:szCs w:val="28"/>
                </w:rPr>
                <w:t>（二）项目效益</w:t>
              </w:r>
              <w:r>
                <w:rPr>
                  <w:sz w:val="28"/>
                  <w:szCs w:val="28"/>
                </w:rPr>
                <w:tab/>
              </w:r>
              <w:r>
                <w:rPr>
                  <w:sz w:val="28"/>
                  <w:szCs w:val="28"/>
                </w:rPr>
                <w:fldChar w:fldCharType="begin"/>
              </w:r>
              <w:r>
                <w:rPr>
                  <w:sz w:val="28"/>
                  <w:szCs w:val="28"/>
                </w:rPr>
                <w:instrText xml:space="preserve"> PAGEREF _Toc14218 \h </w:instrText>
              </w:r>
              <w:r>
                <w:rPr>
                  <w:sz w:val="28"/>
                  <w:szCs w:val="28"/>
                </w:rPr>
                <w:fldChar w:fldCharType="separate"/>
              </w:r>
              <w:r>
                <w:rPr>
                  <w:sz w:val="28"/>
                  <w:szCs w:val="28"/>
                </w:rPr>
                <w:t>11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_Toc13892 </w:instrText>
              </w:r>
              <w:r>
                <w:rPr>
                  <w:rFonts w:hAnsi="宋体"/>
                  <w:bCs/>
                  <w:sz w:val="28"/>
                  <w:szCs w:val="28"/>
                </w:rPr>
                <w:fldChar w:fldCharType="separate"/>
              </w:r>
              <w:r>
                <w:rPr>
                  <w:rFonts w:hint="eastAsia" w:ascii="黑体" w:hAnsi="黑体" w:eastAsia="黑体" w:cs="黑体"/>
                  <w:bCs/>
                  <w:sz w:val="28"/>
                  <w:szCs w:val="28"/>
                </w:rPr>
                <w:t>五、综合评价情况及评价结论</w:t>
              </w:r>
              <w:r>
                <w:rPr>
                  <w:sz w:val="28"/>
                  <w:szCs w:val="28"/>
                </w:rPr>
                <w:tab/>
              </w:r>
              <w:r>
                <w:rPr>
                  <w:sz w:val="28"/>
                  <w:szCs w:val="28"/>
                </w:rPr>
                <w:fldChar w:fldCharType="begin"/>
              </w:r>
              <w:r>
                <w:rPr>
                  <w:sz w:val="28"/>
                  <w:szCs w:val="28"/>
                </w:rPr>
                <w:instrText xml:space="preserve"> PAGEREF _Toc13892 \h </w:instrText>
              </w:r>
              <w:r>
                <w:rPr>
                  <w:sz w:val="28"/>
                  <w:szCs w:val="28"/>
                </w:rPr>
                <w:fldChar w:fldCharType="separate"/>
              </w:r>
              <w:r>
                <w:rPr>
                  <w:sz w:val="28"/>
                  <w:szCs w:val="28"/>
                </w:rPr>
                <w:t>11</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_Toc17255 </w:instrText>
              </w:r>
              <w:r>
                <w:rPr>
                  <w:rFonts w:hAnsi="宋体"/>
                  <w:bCs/>
                  <w:sz w:val="28"/>
                  <w:szCs w:val="28"/>
                </w:rPr>
                <w:fldChar w:fldCharType="separate"/>
              </w:r>
              <w:r>
                <w:rPr>
                  <w:rFonts w:hint="eastAsia" w:ascii="黑体" w:hAnsi="黑体" w:eastAsia="黑体" w:cs="黑体"/>
                  <w:bCs/>
                  <w:sz w:val="28"/>
                  <w:szCs w:val="28"/>
                </w:rPr>
                <w:t>六、存在的主要问题</w:t>
              </w:r>
              <w:r>
                <w:rPr>
                  <w:sz w:val="28"/>
                  <w:szCs w:val="28"/>
                </w:rPr>
                <w:tab/>
              </w:r>
              <w:r>
                <w:rPr>
                  <w:sz w:val="28"/>
                  <w:szCs w:val="28"/>
                </w:rPr>
                <w:fldChar w:fldCharType="begin"/>
              </w:r>
              <w:r>
                <w:rPr>
                  <w:sz w:val="28"/>
                  <w:szCs w:val="28"/>
                </w:rPr>
                <w:instrText xml:space="preserve"> PAGEREF _Toc17255 \h </w:instrText>
              </w:r>
              <w:r>
                <w:rPr>
                  <w:sz w:val="28"/>
                  <w:szCs w:val="28"/>
                </w:rPr>
                <w:fldChar w:fldCharType="separate"/>
              </w:r>
              <w:r>
                <w:rPr>
                  <w:sz w:val="28"/>
                  <w:szCs w:val="28"/>
                </w:rPr>
                <w:t>12</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_Toc13054 </w:instrText>
              </w:r>
              <w:r>
                <w:rPr>
                  <w:rFonts w:hAnsi="宋体"/>
                  <w:bCs/>
                  <w:sz w:val="28"/>
                  <w:szCs w:val="28"/>
                </w:rPr>
                <w:fldChar w:fldCharType="separate"/>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一</w:t>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资金使用范围无章可循</w:t>
              </w:r>
              <w:r>
                <w:rPr>
                  <w:sz w:val="28"/>
                  <w:szCs w:val="28"/>
                </w:rPr>
                <w:tab/>
              </w:r>
              <w:r>
                <w:rPr>
                  <w:sz w:val="28"/>
                  <w:szCs w:val="28"/>
                </w:rPr>
                <w:fldChar w:fldCharType="begin"/>
              </w:r>
              <w:r>
                <w:rPr>
                  <w:sz w:val="28"/>
                  <w:szCs w:val="28"/>
                </w:rPr>
                <w:instrText xml:space="preserve"> PAGEREF _Toc13054 \h </w:instrText>
              </w:r>
              <w:r>
                <w:rPr>
                  <w:sz w:val="28"/>
                  <w:szCs w:val="28"/>
                </w:rPr>
                <w:fldChar w:fldCharType="separate"/>
              </w:r>
              <w:r>
                <w:rPr>
                  <w:sz w:val="28"/>
                  <w:szCs w:val="28"/>
                </w:rPr>
                <w:t>12</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7"/>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_Toc18023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（二）制度执行不规范</w:t>
              </w:r>
              <w:r>
                <w:rPr>
                  <w:sz w:val="28"/>
                  <w:szCs w:val="28"/>
                </w:rPr>
                <w:tab/>
              </w:r>
              <w:r>
                <w:rPr>
                  <w:sz w:val="28"/>
                  <w:szCs w:val="28"/>
                </w:rPr>
                <w:fldChar w:fldCharType="begin"/>
              </w:r>
              <w:r>
                <w:rPr>
                  <w:sz w:val="28"/>
                  <w:szCs w:val="28"/>
                </w:rPr>
                <w:instrText xml:space="preserve"> PAGEREF _Toc18023 \h </w:instrText>
              </w:r>
              <w:r>
                <w:rPr>
                  <w:sz w:val="28"/>
                  <w:szCs w:val="28"/>
                </w:rPr>
                <w:fldChar w:fldCharType="separate"/>
              </w:r>
              <w:r>
                <w:rPr>
                  <w:sz w:val="28"/>
                  <w:szCs w:val="28"/>
                </w:rPr>
                <w:t>13</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_Toc12301 </w:instrText>
              </w:r>
              <w:r>
                <w:rPr>
                  <w:rFonts w:hAnsi="宋体"/>
                  <w:bCs/>
                  <w:sz w:val="28"/>
                  <w:szCs w:val="28"/>
                </w:rPr>
                <w:fldChar w:fldCharType="separate"/>
              </w:r>
              <w:r>
                <w:rPr>
                  <w:rFonts w:hint="eastAsia" w:ascii="黑体" w:hAnsi="黑体" w:eastAsia="黑体" w:cs="黑体"/>
                  <w:bCs/>
                  <w:sz w:val="28"/>
                  <w:szCs w:val="28"/>
                </w:rPr>
                <w:t>七、意见建议</w:t>
              </w:r>
              <w:r>
                <w:rPr>
                  <w:sz w:val="28"/>
                  <w:szCs w:val="28"/>
                </w:rPr>
                <w:tab/>
              </w:r>
              <w:r>
                <w:rPr>
                  <w:sz w:val="28"/>
                  <w:szCs w:val="28"/>
                </w:rPr>
                <w:fldChar w:fldCharType="begin"/>
              </w:r>
              <w:r>
                <w:rPr>
                  <w:sz w:val="28"/>
                  <w:szCs w:val="28"/>
                </w:rPr>
                <w:instrText xml:space="preserve"> PAGEREF _Toc12301 \h </w:instrText>
              </w:r>
              <w:r>
                <w:rPr>
                  <w:sz w:val="28"/>
                  <w:szCs w:val="28"/>
                </w:rPr>
                <w:fldChar w:fldCharType="separate"/>
              </w:r>
              <w:r>
                <w:rPr>
                  <w:sz w:val="28"/>
                  <w:szCs w:val="28"/>
                </w:rPr>
                <w:t>13</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pStyle w:val="15"/>
                <w:tabs>
                  <w:tab w:val="right" w:leader="dot" w:pos="8845"/>
                </w:tabs>
                <w:rPr>
                  <w:sz w:val="28"/>
                  <w:szCs w:val="28"/>
                </w:rPr>
              </w:pPr>
              <w:r>
                <w:rPr>
                  <w:rFonts w:hAnsi="宋体"/>
                  <w:bCs/>
                  <w:color w:val="000000" w:themeColor="text1"/>
                  <w:sz w:val="28"/>
                  <w:szCs w:val="28"/>
                  <w14:textFill>
                    <w14:solidFill>
                      <w14:schemeClr w14:val="tx1"/>
                    </w14:solidFill>
                  </w14:textFill>
                </w:rPr>
                <w:fldChar w:fldCharType="begin"/>
              </w:r>
              <w:r>
                <w:rPr>
                  <w:rFonts w:hAnsi="宋体"/>
                  <w:bCs/>
                  <w:sz w:val="28"/>
                  <w:szCs w:val="28"/>
                </w:rPr>
                <w:instrText xml:space="preserve"> HYPERLINK \l _Toc26666 </w:instrText>
              </w:r>
              <w:r>
                <w:rPr>
                  <w:rFonts w:hAnsi="宋体"/>
                  <w:bCs/>
                  <w:sz w:val="28"/>
                  <w:szCs w:val="28"/>
                </w:rPr>
                <w:fldChar w:fldCharType="separate"/>
              </w:r>
              <w:r>
                <w:rPr>
                  <w:rFonts w:hint="eastAsia" w:ascii="黑体" w:hAnsi="黑体" w:eastAsia="黑体" w:cs="黑体"/>
                  <w:bCs/>
                  <w:sz w:val="28"/>
                  <w:szCs w:val="28"/>
                  <w:lang w:val="en-US"/>
                </w:rPr>
                <w:t>八</w:t>
              </w:r>
              <w:r>
                <w:rPr>
                  <w:rFonts w:hint="eastAsia" w:ascii="黑体" w:hAnsi="黑体" w:eastAsia="黑体" w:cs="黑体"/>
                  <w:bCs/>
                  <w:sz w:val="28"/>
                  <w:szCs w:val="28"/>
                  <w:lang w:val="en-US" w:eastAsia="zh-CN"/>
                </w:rPr>
                <w:t>、</w:t>
              </w:r>
              <w:r>
                <w:rPr>
                  <w:rFonts w:hint="eastAsia" w:ascii="黑体" w:hAnsi="黑体" w:eastAsia="黑体" w:cs="黑体"/>
                  <w:bCs/>
                  <w:sz w:val="28"/>
                  <w:szCs w:val="28"/>
                  <w:lang w:val="en-US"/>
                </w:rPr>
                <w:t>其他方面</w:t>
              </w:r>
              <w:r>
                <w:rPr>
                  <w:sz w:val="28"/>
                  <w:szCs w:val="28"/>
                </w:rPr>
                <w:tab/>
              </w:r>
              <w:r>
                <w:rPr>
                  <w:sz w:val="28"/>
                  <w:szCs w:val="28"/>
                </w:rPr>
                <w:fldChar w:fldCharType="begin"/>
              </w:r>
              <w:r>
                <w:rPr>
                  <w:sz w:val="28"/>
                  <w:szCs w:val="28"/>
                </w:rPr>
                <w:instrText xml:space="preserve"> PAGEREF _Toc26666 \h </w:instrText>
              </w:r>
              <w:r>
                <w:rPr>
                  <w:sz w:val="28"/>
                  <w:szCs w:val="28"/>
                </w:rPr>
                <w:fldChar w:fldCharType="separate"/>
              </w:r>
              <w:r>
                <w:rPr>
                  <w:sz w:val="28"/>
                  <w:szCs w:val="28"/>
                </w:rPr>
                <w:t>13</w:t>
              </w:r>
              <w:r>
                <w:rPr>
                  <w:sz w:val="28"/>
                  <w:szCs w:val="28"/>
                </w:rPr>
                <w:fldChar w:fldCharType="end"/>
              </w:r>
              <w:r>
                <w:rPr>
                  <w:rFonts w:hAnsi="宋体"/>
                  <w:bCs/>
                  <w:color w:val="000000" w:themeColor="text1"/>
                  <w:sz w:val="28"/>
                  <w:szCs w:val="28"/>
                  <w14:textFill>
                    <w14:solidFill>
                      <w14:schemeClr w14:val="tx1"/>
                    </w14:solidFill>
                  </w14:textFill>
                </w:rPr>
                <w:fldChar w:fldCharType="end"/>
              </w: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sectPr>
                  <w:headerReference r:id="rId3" w:type="default"/>
                  <w:footerReference r:id="rId4" w:type="default"/>
                  <w:pgSz w:w="11907" w:h="16840"/>
                  <w:pgMar w:top="1440" w:right="1474" w:bottom="1440" w:left="1588" w:header="851" w:footer="992" w:gutter="0"/>
                  <w:cols w:space="720" w:num="1"/>
                </w:sectPr>
              </w:pPr>
              <w:r>
                <w:rPr>
                  <w:rFonts w:hAnsi="宋体"/>
                  <w:bCs/>
                  <w:color w:val="000000" w:themeColor="text1"/>
                  <w:sz w:val="28"/>
                  <w:szCs w:val="28"/>
                  <w14:textFill>
                    <w14:solidFill>
                      <w14:schemeClr w14:val="tx1"/>
                    </w14:solidFill>
                  </w14:textFill>
                </w:rPr>
                <w:fldChar w:fldCharType="end"/>
              </w:r>
            </w:p>
          </w:sdtContent>
        </w:sdt>
      </w:sdtContent>
    </w:sdt>
    <w:p>
      <w:pPr>
        <w:pStyle w:val="38"/>
        <w:bidi w:val="0"/>
        <w:rPr>
          <w:rFonts w:hint="eastAsia"/>
          <w:lang w:eastAsia="zh-CN"/>
        </w:rPr>
      </w:pPr>
      <w:bookmarkStart w:id="2" w:name="_Toc57373818"/>
      <w:bookmarkEnd w:id="2"/>
      <w:bookmarkStart w:id="3" w:name="_Toc57373823"/>
      <w:r>
        <w:rPr>
          <w:rFonts w:hint="eastAsia"/>
          <w:lang w:eastAsia="zh-CN"/>
        </w:rPr>
        <w:t>遵化市退役军人事务局</w:t>
      </w:r>
    </w:p>
    <w:p>
      <w:pPr>
        <w:pStyle w:val="38"/>
        <w:bidi w:val="0"/>
        <w:rPr>
          <w:rFonts w:hint="eastAsia"/>
          <w:lang w:eastAsia="zh-CN"/>
        </w:rPr>
      </w:pPr>
      <w:r>
        <w:rPr>
          <w:rFonts w:hint="eastAsia"/>
          <w:lang w:eastAsia="zh-CN"/>
        </w:rPr>
        <w:t>2022年优抚对象解三难资金项目</w:t>
      </w:r>
    </w:p>
    <w:p>
      <w:pPr>
        <w:pStyle w:val="38"/>
        <w:bidi w:val="0"/>
      </w:pPr>
      <w:r>
        <w:rPr>
          <w:rFonts w:hint="eastAsia"/>
        </w:rPr>
        <w:t>绩效评价报告</w:t>
      </w:r>
      <w:bookmarkEnd w:id="3"/>
    </w:p>
    <w:p>
      <w:pPr>
        <w:pStyle w:val="40"/>
        <w:bidi w:val="0"/>
        <w:rPr>
          <w:rFonts w:ascii="黑体" w:hAnsi="黑体" w:eastAsia="黑体" w:cs="黑体"/>
          <w:bCs/>
          <w:color w:val="000000" w:themeColor="text1"/>
          <w:szCs w:val="30"/>
          <w14:textFill>
            <w14:solidFill>
              <w14:schemeClr w14:val="tx1"/>
            </w14:solidFill>
          </w14:textFill>
        </w:rPr>
      </w:pPr>
      <w:bookmarkStart w:id="4" w:name="_Toc7840"/>
      <w:bookmarkStart w:id="5" w:name="_Toc29302676"/>
      <w:r>
        <w:rPr>
          <w:rFonts w:hint="eastAsia"/>
        </w:rPr>
        <w:t>一、项目基本情况</w:t>
      </w:r>
      <w:bookmarkEnd w:id="4"/>
      <w:bookmarkEnd w:id="5"/>
    </w:p>
    <w:p>
      <w:pPr>
        <w:pStyle w:val="8"/>
        <w:spacing w:line="360" w:lineRule="auto"/>
        <w:ind w:firstLine="600" w:firstLineChars="200"/>
        <w:jc w:val="left"/>
        <w:outlineLvl w:val="1"/>
        <w:rPr>
          <w:rFonts w:ascii="华文楷体" w:hAnsi="华文楷体" w:eastAsia="华文楷体" w:cs="华文楷体"/>
          <w:bCs/>
          <w:color w:val="000000" w:themeColor="text1"/>
          <w:sz w:val="30"/>
          <w:szCs w:val="30"/>
          <w14:textFill>
            <w14:solidFill>
              <w14:schemeClr w14:val="tx1"/>
            </w14:solidFill>
          </w14:textFill>
        </w:rPr>
      </w:pPr>
      <w:bookmarkStart w:id="6" w:name="_Toc20648"/>
      <w:bookmarkStart w:id="7" w:name="_Toc29302677"/>
      <w:r>
        <w:rPr>
          <w:rFonts w:hint="eastAsia" w:ascii="华文楷体" w:hAnsi="华文楷体" w:eastAsia="华文楷体" w:cs="华文楷体"/>
          <w:bCs/>
          <w:color w:val="000000" w:themeColor="text1"/>
          <w:sz w:val="30"/>
          <w:szCs w:val="30"/>
          <w14:textFill>
            <w14:solidFill>
              <w14:schemeClr w14:val="tx1"/>
            </w14:solidFill>
          </w14:textFill>
        </w:rPr>
        <w:t>（一）项目概况</w:t>
      </w:r>
      <w:bookmarkEnd w:id="6"/>
      <w:bookmarkEnd w:id="7"/>
    </w:p>
    <w:p>
      <w:pPr>
        <w:pStyle w:val="41"/>
        <w:bidi w:val="0"/>
        <w:rPr>
          <w:rFonts w:hint="eastAsia"/>
          <w:lang w:val="en-US"/>
        </w:rPr>
      </w:pPr>
      <w:r>
        <w:rPr>
          <w:rFonts w:hint="eastAsia"/>
          <w:lang w:val="en-US"/>
        </w:rPr>
        <w:t>根据《关于加强困难退役军人帮扶援助工作的实施意见》（冀退役军人厅发﹝2019﹞18号）文件要求，为不断提升困难退役军人帮扶援助工作水平，践行以人民为中心的发展思想，围绕决胜全面建成小康社会，支持国防和军队现代化建设，切实增强困难退役军人的安全感、获得感和荣誉感。遵化市退役军人事务局（以下简称“退役局”）每年都将所有急需帮扶救援退伍军人进行摸排统计，根据困难程度，按照不低于500元不高于1000元的标准，将补贴资金发放至困难退伍军人手中。</w:t>
      </w:r>
    </w:p>
    <w:p>
      <w:pPr>
        <w:pStyle w:val="41"/>
        <w:bidi w:val="0"/>
        <w:rPr>
          <w:rFonts w:hint="default"/>
          <w:lang w:val="en-US"/>
        </w:rPr>
      </w:pPr>
      <w:r>
        <w:rPr>
          <w:rFonts w:hint="eastAsia"/>
          <w:lang w:val="en-US"/>
        </w:rPr>
        <w:t>项目具体帮扶对象及帮扶范围如下：</w:t>
      </w:r>
    </w:p>
    <w:p>
      <w:pPr>
        <w:pStyle w:val="41"/>
        <w:bidi w:val="0"/>
        <w:rPr>
          <w:rFonts w:hint="default"/>
          <w:lang w:val="en-US"/>
        </w:rPr>
      </w:pPr>
      <w:r>
        <w:rPr>
          <w:rFonts w:hint="eastAsia"/>
          <w:lang w:val="en-US"/>
        </w:rPr>
        <w:t>1.</w:t>
      </w:r>
      <w:r>
        <w:rPr>
          <w:rFonts w:hint="default"/>
          <w:lang w:val="en-US"/>
        </w:rPr>
        <w:t>帮扶援助对象</w:t>
      </w:r>
      <w:r>
        <w:rPr>
          <w:rFonts w:hint="eastAsia"/>
          <w:lang w:val="en-US"/>
        </w:rPr>
        <w:t>为：</w:t>
      </w:r>
      <w:r>
        <w:rPr>
          <w:rFonts w:hint="default"/>
          <w:lang w:val="en-US"/>
        </w:rPr>
        <w:t>依法退出现役的军官和士兵、领取定期抚恤补助的“三属”(烈士遗属、因公牺牲军人遗属、病故军人遗属)。</w:t>
      </w:r>
    </w:p>
    <w:p>
      <w:pPr>
        <w:pStyle w:val="41"/>
        <w:bidi w:val="0"/>
        <w:rPr>
          <w:rFonts w:hint="default"/>
          <w:lang w:val="en-US"/>
        </w:rPr>
      </w:pPr>
      <w:r>
        <w:rPr>
          <w:rFonts w:hint="eastAsia"/>
          <w:lang w:val="en-US"/>
        </w:rPr>
        <w:t>2.</w:t>
      </w:r>
      <w:r>
        <w:rPr>
          <w:rFonts w:hint="default"/>
          <w:lang w:val="en-US"/>
        </w:rPr>
        <w:t>因以下情形导致生活陷入困境的，在充分享受社会救助政策之后，根据困难程度，可以按程序申请帮扶援助。</w:t>
      </w:r>
    </w:p>
    <w:p>
      <w:pPr>
        <w:pStyle w:val="41"/>
        <w:bidi w:val="0"/>
        <w:rPr>
          <w:rFonts w:hint="default"/>
          <w:lang w:val="en-US"/>
        </w:rPr>
      </w:pPr>
      <w:r>
        <w:rPr>
          <w:rFonts w:hint="eastAsia"/>
          <w:lang w:val="en-US"/>
        </w:rPr>
        <w:t>（1）</w:t>
      </w:r>
      <w:r>
        <w:rPr>
          <w:rFonts w:hint="default"/>
          <w:lang w:val="en-US"/>
        </w:rPr>
        <w:t>退役军人因服役期间致残或因患有严重疾病等原因造成退役后本人就业困难，医疗和康复等必需支出突然增加超出家庭承受能力</w:t>
      </w:r>
      <w:r>
        <w:rPr>
          <w:rFonts w:hint="eastAsia"/>
          <w:lang w:val="en-US"/>
        </w:rPr>
        <w:t>，</w:t>
      </w:r>
      <w:r>
        <w:rPr>
          <w:rFonts w:hint="default"/>
          <w:lang w:val="en-US"/>
        </w:rPr>
        <w:t>导致生活出现严重困难的;</w:t>
      </w:r>
    </w:p>
    <w:p>
      <w:pPr>
        <w:pStyle w:val="41"/>
        <w:bidi w:val="0"/>
        <w:rPr>
          <w:rFonts w:hint="default"/>
          <w:lang w:val="en-US"/>
        </w:rPr>
      </w:pPr>
      <w:r>
        <w:rPr>
          <w:rFonts w:hint="eastAsia"/>
          <w:lang w:val="en-US"/>
        </w:rPr>
        <w:t>（2）</w:t>
      </w:r>
      <w:r>
        <w:rPr>
          <w:rFonts w:hint="default"/>
          <w:lang w:val="en-US"/>
        </w:rPr>
        <w:t>退役军人因服役时间长、市场就业能力弱等原因造成长期失业或突然下岗，导致生活出现严重困难的;</w:t>
      </w:r>
    </w:p>
    <w:p>
      <w:pPr>
        <w:pStyle w:val="41"/>
        <w:bidi w:val="0"/>
        <w:rPr>
          <w:rFonts w:hint="default"/>
          <w:lang w:val="en-US"/>
        </w:rPr>
      </w:pPr>
      <w:r>
        <w:rPr>
          <w:rFonts w:hint="eastAsia"/>
          <w:lang w:val="en-US"/>
        </w:rPr>
        <w:t>（3）</w:t>
      </w:r>
      <w:r>
        <w:rPr>
          <w:rFonts w:hint="default"/>
          <w:lang w:val="en-US"/>
        </w:rPr>
        <w:t>退役军人因旧伤复发、残情病情加重等原因，导致生活出现严重困难的;</w:t>
      </w:r>
    </w:p>
    <w:p>
      <w:pPr>
        <w:pStyle w:val="41"/>
        <w:bidi w:val="0"/>
        <w:rPr>
          <w:rFonts w:hint="default"/>
          <w:lang w:val="en-US"/>
        </w:rPr>
      </w:pPr>
      <w:r>
        <w:rPr>
          <w:rFonts w:hint="eastAsia"/>
          <w:lang w:val="en-US"/>
        </w:rPr>
        <w:t>（4）</w:t>
      </w:r>
      <w:r>
        <w:rPr>
          <w:rFonts w:hint="default"/>
          <w:lang w:val="en-US"/>
        </w:rPr>
        <w:t>退役军人、“三属”因火灾水灾、交通事故、重大疾病、人身</w:t>
      </w:r>
      <w:r>
        <w:rPr>
          <w:rFonts w:hint="eastAsia"/>
          <w:lang w:val="en-US"/>
        </w:rPr>
        <w:t>伤害</w:t>
      </w:r>
      <w:r>
        <w:rPr>
          <w:rFonts w:hint="default"/>
          <w:lang w:val="en-US"/>
        </w:rPr>
        <w:t>、家庭重大变故、见义勇为等突发事件，导致生活出现严重困难</w:t>
      </w:r>
      <w:r>
        <w:rPr>
          <w:rFonts w:hint="eastAsia"/>
          <w:lang w:val="en-US"/>
        </w:rPr>
        <w:t>；</w:t>
      </w:r>
    </w:p>
    <w:p>
      <w:pPr>
        <w:pStyle w:val="41"/>
        <w:bidi w:val="0"/>
        <w:rPr>
          <w:rFonts w:hint="default"/>
          <w:lang w:val="en-US"/>
        </w:rPr>
      </w:pPr>
      <w:r>
        <w:rPr>
          <w:rFonts w:hint="eastAsia"/>
          <w:lang w:val="en-US"/>
        </w:rPr>
        <w:t>（5）</w:t>
      </w:r>
      <w:r>
        <w:rPr>
          <w:rFonts w:hint="default"/>
          <w:lang w:val="en-US"/>
        </w:rPr>
        <w:t>遭遇其他特殊情况导致生活出现严重困难的。</w:t>
      </w:r>
    </w:p>
    <w:p>
      <w:pPr>
        <w:pStyle w:val="8"/>
        <w:spacing w:line="360" w:lineRule="auto"/>
        <w:ind w:firstLine="600" w:firstLineChars="200"/>
        <w:jc w:val="left"/>
        <w:outlineLvl w:val="1"/>
        <w:rPr>
          <w:rFonts w:ascii="华文楷体" w:hAnsi="华文楷体" w:eastAsia="华文楷体" w:cs="华文楷体"/>
          <w:bCs/>
          <w:color w:val="000000" w:themeColor="text1"/>
          <w:sz w:val="30"/>
          <w:szCs w:val="30"/>
          <w14:textFill>
            <w14:solidFill>
              <w14:schemeClr w14:val="tx1"/>
            </w14:solidFill>
          </w14:textFill>
        </w:rPr>
      </w:pPr>
      <w:bookmarkStart w:id="8" w:name="_Toc29302678"/>
      <w:bookmarkStart w:id="9" w:name="_Toc16185"/>
      <w:r>
        <w:rPr>
          <w:rFonts w:hint="eastAsia" w:ascii="华文楷体" w:hAnsi="华文楷体" w:eastAsia="华文楷体" w:cs="华文楷体"/>
          <w:bCs/>
          <w:color w:val="000000" w:themeColor="text1"/>
          <w:sz w:val="30"/>
          <w:szCs w:val="30"/>
          <w14:textFill>
            <w14:solidFill>
              <w14:schemeClr w14:val="tx1"/>
            </w14:solidFill>
          </w14:textFill>
        </w:rPr>
        <w:t>（二）项目绩效目标</w:t>
      </w:r>
      <w:bookmarkEnd w:id="8"/>
      <w:bookmarkEnd w:id="9"/>
    </w:p>
    <w:p>
      <w:pPr>
        <w:pStyle w:val="41"/>
        <w:bidi w:val="0"/>
        <w:rPr>
          <w:rFonts w:hint="default"/>
          <w:lang w:val="en-US"/>
        </w:rPr>
      </w:pPr>
      <w:bookmarkStart w:id="10" w:name="_Toc29302679"/>
      <w:r>
        <w:rPr>
          <w:rFonts w:hint="eastAsia"/>
          <w:lang w:val="en-US"/>
        </w:rPr>
        <w:t>及时为困难优抚对象发放资金补贴，提高优抚对象生活质量，保障优抚对象基本生活。</w:t>
      </w:r>
    </w:p>
    <w:p>
      <w:pPr>
        <w:pStyle w:val="40"/>
        <w:bidi w:val="0"/>
        <w:rPr>
          <w:rFonts w:hint="eastAsia"/>
        </w:rPr>
      </w:pPr>
      <w:bookmarkStart w:id="11" w:name="_Toc28859"/>
      <w:r>
        <w:rPr>
          <w:rFonts w:hint="eastAsia"/>
        </w:rPr>
        <w:t>二、项目实施情况</w:t>
      </w:r>
      <w:bookmarkEnd w:id="11"/>
    </w:p>
    <w:p>
      <w:pPr>
        <w:pStyle w:val="8"/>
        <w:spacing w:line="360" w:lineRule="auto"/>
        <w:ind w:firstLine="600" w:firstLineChars="200"/>
        <w:jc w:val="left"/>
        <w:outlineLvl w:val="1"/>
        <w:rPr>
          <w:rFonts w:hint="eastAsia" w:ascii="华文楷体" w:hAnsi="华文楷体" w:eastAsia="华文楷体" w:cs="华文楷体"/>
          <w:bCs/>
          <w:color w:val="000000" w:themeColor="text1"/>
          <w:sz w:val="30"/>
          <w:szCs w:val="30"/>
          <w14:textFill>
            <w14:solidFill>
              <w14:schemeClr w14:val="tx1"/>
            </w14:solidFill>
          </w14:textFill>
        </w:rPr>
      </w:pPr>
      <w:bookmarkStart w:id="12" w:name="_Toc772"/>
      <w:r>
        <w:rPr>
          <w:rFonts w:hint="eastAsia" w:ascii="华文楷体" w:hAnsi="华文楷体" w:eastAsia="华文楷体" w:cs="华文楷体"/>
          <w:bCs/>
          <w:color w:val="000000" w:themeColor="text1"/>
          <w:sz w:val="30"/>
          <w:szCs w:val="30"/>
          <w14:textFill>
            <w14:solidFill>
              <w14:schemeClr w14:val="tx1"/>
            </w14:solidFill>
          </w14:textFill>
        </w:rPr>
        <w:t>（一）项目资金</w:t>
      </w:r>
      <w:r>
        <w:rPr>
          <w:rFonts w:hint="eastAsia" w:ascii="华文楷体" w:hAnsi="华文楷体" w:eastAsia="华文楷体" w:cs="华文楷体"/>
          <w:bCs/>
          <w:color w:val="000000" w:themeColor="text1"/>
          <w:sz w:val="30"/>
          <w:szCs w:val="30"/>
          <w:lang w:val="en-US" w:eastAsia="zh-CN"/>
          <w14:textFill>
            <w14:solidFill>
              <w14:schemeClr w14:val="tx1"/>
            </w14:solidFill>
          </w14:textFill>
        </w:rPr>
        <w:t>到位、</w:t>
      </w:r>
      <w:r>
        <w:rPr>
          <w:rFonts w:hint="eastAsia" w:ascii="华文楷体" w:hAnsi="华文楷体" w:eastAsia="华文楷体" w:cs="华文楷体"/>
          <w:bCs/>
          <w:color w:val="000000" w:themeColor="text1"/>
          <w:sz w:val="30"/>
          <w:szCs w:val="30"/>
          <w14:textFill>
            <w14:solidFill>
              <w14:schemeClr w14:val="tx1"/>
            </w14:solidFill>
          </w14:textFill>
        </w:rPr>
        <w:t>使用及管理情况</w:t>
      </w:r>
      <w:bookmarkEnd w:id="12"/>
    </w:p>
    <w:p>
      <w:pPr>
        <w:pStyle w:val="41"/>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41"/>
        <w:bidi w:val="0"/>
        <w:rPr>
          <w:lang w:val="en-US"/>
        </w:rPr>
      </w:pPr>
      <w:r>
        <w:rPr>
          <w:rFonts w:hint="eastAsia"/>
          <w:lang w:val="en-US"/>
        </w:rPr>
        <w:t>根据相关批复等文件，2022年优抚对象解三难资金项目</w:t>
      </w:r>
      <w:r>
        <w:rPr>
          <w:rFonts w:hint="eastAsia"/>
          <w:lang w:val="zh-CN"/>
        </w:rPr>
        <w:t>经批准</w:t>
      </w:r>
      <w:r>
        <w:rPr>
          <w:rFonts w:hint="eastAsia"/>
          <w:lang w:val="en-US"/>
        </w:rPr>
        <w:t>预算资金30.00</w:t>
      </w:r>
      <w:r>
        <w:rPr>
          <w:rFonts w:hint="eastAsia"/>
          <w:lang w:val="zh-CN"/>
        </w:rPr>
        <w:t>万元，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29.11万元</w:t>
      </w:r>
      <w:r>
        <w:rPr>
          <w:rFonts w:hint="eastAsia"/>
          <w:lang w:val="en-US"/>
        </w:rPr>
        <w:t>。资金到位率</w:t>
      </w:r>
      <w:r>
        <w:rPr>
          <w:rFonts w:hint="eastAsia"/>
          <w:lang w:val="en-US" w:eastAsia="zh-CN"/>
        </w:rPr>
        <w:t>97.03%</w:t>
      </w:r>
      <w:r>
        <w:rPr>
          <w:rFonts w:hint="eastAsia"/>
          <w:lang w:val="en-US"/>
        </w:rPr>
        <w:t>。</w:t>
      </w:r>
    </w:p>
    <w:p>
      <w:pPr>
        <w:pStyle w:val="41"/>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41"/>
        <w:bidi w:val="0"/>
        <w:rPr>
          <w:rFonts w:hint="eastAsia"/>
          <w:lang w:val="en-US"/>
        </w:rPr>
      </w:pPr>
      <w:r>
        <w:rPr>
          <w:rFonts w:hint="eastAsia"/>
          <w:lang w:val="en-US"/>
        </w:rPr>
        <w:t>截至202</w:t>
      </w:r>
      <w:r>
        <w:rPr>
          <w:rFonts w:hint="eastAsia"/>
          <w:lang w:val="en-US" w:eastAsia="zh-CN"/>
        </w:rPr>
        <w:t>2</w:t>
      </w:r>
      <w:r>
        <w:rPr>
          <w:rFonts w:hint="eastAsia"/>
          <w:lang w:val="en-US"/>
        </w:rPr>
        <w:t>年底，</w:t>
      </w:r>
      <w:r>
        <w:rPr>
          <w:rFonts w:hint="eastAsia"/>
          <w:lang w:val="en-US" w:eastAsia="zh-CN"/>
        </w:rPr>
        <w:t>退役局</w:t>
      </w:r>
      <w:r>
        <w:rPr>
          <w:rFonts w:hint="eastAsia"/>
          <w:lang w:val="en-US"/>
        </w:rPr>
        <w:t>支付2022年优抚对象解三难资金项目费用29.11万元，预算执行率100%，支出明细如下：</w:t>
      </w:r>
    </w:p>
    <w:p>
      <w:pPr>
        <w:pStyle w:val="37"/>
        <w:bidi w:val="0"/>
        <w:rPr>
          <w:rFonts w:hint="eastAsia" w:ascii="仿宋" w:hAnsi="仿宋" w:eastAsia="仿宋" w:cs="宋体"/>
          <w:b/>
          <w:color w:val="000000" w:themeColor="text1"/>
          <w:szCs w:val="24"/>
          <w:highlight w:val="none"/>
          <w:lang w:val="en-US" w:eastAsia="zh-CN"/>
          <w14:textFill>
            <w14:solidFill>
              <w14:schemeClr w14:val="tx1"/>
            </w14:solidFill>
          </w14:textFill>
        </w:rPr>
      </w:pPr>
      <w:r>
        <w:rPr>
          <w:rFonts w:hint="eastAsia"/>
          <w:lang w:val="en-US" w:eastAsia="zh-CN"/>
        </w:rPr>
        <w:t>2022年优抚对象解三难资金项目支出明细表</w:t>
      </w:r>
    </w:p>
    <w:p>
      <w:pPr>
        <w:spacing w:line="480" w:lineRule="exact"/>
        <w:jc w:val="right"/>
        <w:textAlignment w:val="baseline"/>
        <w:rPr>
          <w:rFonts w:hint="default" w:ascii="仿宋" w:hAnsi="仿宋" w:eastAsia="仿宋" w:cs="宋体"/>
          <w:b/>
          <w:color w:val="000000" w:themeColor="text1"/>
          <w:sz w:val="24"/>
          <w:szCs w:val="24"/>
          <w:lang w:val="en-US" w:eastAsia="zh-CN"/>
          <w14:textFill>
            <w14:solidFill>
              <w14:schemeClr w14:val="tx1"/>
            </w14:solidFill>
          </w14:textFill>
        </w:rPr>
      </w:pPr>
      <w:r>
        <w:rPr>
          <w:rFonts w:hint="eastAsia" w:ascii="仿宋" w:hAnsi="仿宋" w:eastAsia="仿宋" w:cs="宋体"/>
          <w:b/>
          <w:color w:val="000000" w:themeColor="text1"/>
          <w:sz w:val="24"/>
          <w:szCs w:val="24"/>
          <w:lang w:val="en-US" w:eastAsia="zh-CN"/>
          <w14:textFill>
            <w14:solidFill>
              <w14:schemeClr w14:val="tx1"/>
            </w14:solidFill>
          </w14:textFill>
        </w:rPr>
        <w:t>单位：元</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8"/>
        <w:gridCol w:w="2388"/>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blHeader/>
        </w:trPr>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乡镇名称</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人数</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堡子店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崔家庄镇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5,900.00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党峪镇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地北头镇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东旧寨</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东陵乡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6,500.00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东新庄镇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侯家寨乡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华明路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建明镇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刘备寨乡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马兰峪镇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娘娘庄乡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40,800.00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平安城镇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石门镇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18,100.00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苏家洼镇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汤泉乡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铁厂镇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23,500.00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团瓢庄乡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文化路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西留村乡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西三里乡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西下营</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小厂乡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8,300.00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新店子镇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兴旺寨乡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遵化镇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542</w:t>
            </w:r>
          </w:p>
        </w:tc>
        <w:tc>
          <w:tcPr>
            <w:tcW w:w="1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291,100.00 </w:t>
            </w:r>
          </w:p>
        </w:tc>
      </w:tr>
    </w:tbl>
    <w:p>
      <w:pPr>
        <w:pStyle w:val="8"/>
        <w:spacing w:line="360" w:lineRule="auto"/>
        <w:ind w:firstLine="600" w:firstLineChars="200"/>
        <w:rPr>
          <w:rFonts w:hint="eastAsia" w:ascii="仿宋" w:hAnsi="仿宋" w:eastAsia="仿宋" w:cs="仿宋_GB2312"/>
          <w:color w:val="000000" w:themeColor="text1"/>
          <w:sz w:val="30"/>
          <w:szCs w:val="30"/>
          <w:lang w:val="en-US" w:eastAsia="zh-CN" w:bidi="zh-CN"/>
          <w14:textFill>
            <w14:solidFill>
              <w14:schemeClr w14:val="tx1"/>
            </w14:solidFill>
          </w14:textFill>
        </w:rPr>
      </w:pPr>
    </w:p>
    <w:p>
      <w:pPr>
        <w:pStyle w:val="41"/>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41"/>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退役局</w:t>
      </w:r>
      <w:r>
        <w:rPr>
          <w:rFonts w:hint="eastAsia"/>
          <w:lang w:val="en-US"/>
        </w:rPr>
        <w:t>按照相关会计制度规定申请财政资金，未出现违规使用资金行为。</w:t>
      </w:r>
    </w:p>
    <w:p>
      <w:pPr>
        <w:pStyle w:val="39"/>
        <w:bidi w:val="0"/>
        <w:rPr>
          <w:rFonts w:hint="eastAsia"/>
        </w:rPr>
      </w:pPr>
      <w:bookmarkStart w:id="13" w:name="_Toc15461"/>
      <w:r>
        <w:rPr>
          <w:rFonts w:hint="eastAsia"/>
          <w:lang w:val="zh-CN" w:eastAsia="zh-CN"/>
        </w:rPr>
        <w:t>（二）</w:t>
      </w:r>
      <w:r>
        <w:rPr>
          <w:rFonts w:hint="eastAsia"/>
        </w:rPr>
        <w:t>项目组织实施管理情况</w:t>
      </w:r>
      <w:bookmarkEnd w:id="13"/>
    </w:p>
    <w:p>
      <w:pPr>
        <w:pStyle w:val="41"/>
        <w:bidi w:val="0"/>
        <w:rPr>
          <w:rFonts w:hint="eastAsia"/>
          <w:lang w:val="en-US"/>
        </w:rPr>
      </w:pPr>
      <w:r>
        <w:rPr>
          <w:rFonts w:hint="eastAsia"/>
          <w:lang w:val="en-US"/>
        </w:rPr>
        <w:t>帮扶援助实行一事一批，按照个人申请、乡镇(街道)审核</w:t>
      </w:r>
      <w:r>
        <w:rPr>
          <w:rFonts w:hint="eastAsia"/>
          <w:lang w:val="en-US" w:eastAsia="zh-CN"/>
        </w:rPr>
        <w:t>、</w:t>
      </w:r>
      <w:r>
        <w:rPr>
          <w:rFonts w:hint="eastAsia"/>
          <w:lang w:val="en-US"/>
        </w:rPr>
        <w:t>县级审批的程序办理。</w:t>
      </w:r>
    </w:p>
    <w:p>
      <w:pPr>
        <w:pStyle w:val="41"/>
        <w:bidi w:val="0"/>
        <w:rPr>
          <w:rFonts w:hint="eastAsia"/>
          <w:lang w:val="en-US"/>
        </w:rPr>
      </w:pPr>
      <w:r>
        <w:rPr>
          <w:rFonts w:hint="eastAsia"/>
          <w:lang w:val="en-US" w:eastAsia="zh-CN"/>
        </w:rPr>
        <w:t>1.</w:t>
      </w:r>
      <w:r>
        <w:rPr>
          <w:rFonts w:hint="eastAsia"/>
          <w:lang w:val="en-US"/>
        </w:rPr>
        <w:t>个人申请。由符合条件的援助对象本人向户口所在地村(社区)退役军人服务站提出书面申请。本人因行动不便、智力障碍等原因不能提出申请的，其监护人、家属或村(社区)退役军人服务站可</w:t>
      </w:r>
      <w:r>
        <w:rPr>
          <w:rFonts w:hint="eastAsia"/>
          <w:lang w:val="en-US" w:eastAsia="zh-CN"/>
        </w:rPr>
        <w:t>代</w:t>
      </w:r>
      <w:r>
        <w:rPr>
          <w:rFonts w:hint="eastAsia"/>
          <w:lang w:val="en-US"/>
        </w:rPr>
        <w:t>为申请。村(社区)退役军人服务站接到申请后，经研究认为符合缓助条件的，及时向乡镇(街道)退役军人服务站报送。</w:t>
      </w:r>
    </w:p>
    <w:p>
      <w:pPr>
        <w:pStyle w:val="41"/>
        <w:bidi w:val="0"/>
        <w:rPr>
          <w:rFonts w:hint="eastAsia"/>
          <w:lang w:val="en-US"/>
        </w:rPr>
      </w:pPr>
      <w:r>
        <w:rPr>
          <w:rFonts w:hint="eastAsia"/>
          <w:lang w:val="en-US"/>
        </w:rPr>
        <w:t>申请人应当按规定如实提交相关证明材料，书面声明家庭</w:t>
      </w:r>
      <w:r>
        <w:rPr>
          <w:rFonts w:hint="eastAsia"/>
          <w:lang w:val="en-US" w:eastAsia="zh-CN"/>
        </w:rPr>
        <w:t>收</w:t>
      </w:r>
      <w:r>
        <w:rPr>
          <w:rFonts w:hint="eastAsia"/>
          <w:lang w:val="en-US"/>
        </w:rPr>
        <w:t>入和</w:t>
      </w:r>
      <w:r>
        <w:rPr>
          <w:rFonts w:hint="eastAsia"/>
          <w:lang w:val="en-US" w:eastAsia="zh-CN"/>
        </w:rPr>
        <w:t>家</w:t>
      </w:r>
      <w:r>
        <w:rPr>
          <w:rFonts w:hint="eastAsia"/>
          <w:lang w:val="en-US"/>
        </w:rPr>
        <w:t>庭经济状况、所退困难、享受各类社会保障政策情况并签字确认。无正当理由不得因同一事由重复提出申请。</w:t>
      </w:r>
    </w:p>
    <w:p>
      <w:pPr>
        <w:pStyle w:val="41"/>
        <w:bidi w:val="0"/>
        <w:rPr>
          <w:rFonts w:hint="eastAsia"/>
          <w:lang w:val="en-US"/>
        </w:rPr>
      </w:pPr>
      <w:r>
        <w:rPr>
          <w:rFonts w:hint="eastAsia"/>
          <w:lang w:val="en-US" w:eastAsia="zh-CN"/>
        </w:rPr>
        <w:t>2.</w:t>
      </w:r>
      <w:r>
        <w:rPr>
          <w:rFonts w:hint="eastAsia"/>
          <w:lang w:val="en-US"/>
        </w:rPr>
        <w:t>乡镇(街道)审核。乡镇(街道)退役军人服务站对申请人的家庭状况、困难程度、享受社会保障政策情况等逐一调查核实，提出审核意见，并视情在申请人所在村(社区)公示后，报县(市</w:t>
      </w:r>
      <w:r>
        <w:rPr>
          <w:rFonts w:hint="eastAsia"/>
          <w:lang w:val="en-US" w:eastAsia="zh-CN"/>
        </w:rPr>
        <w:t>、</w:t>
      </w:r>
      <w:r>
        <w:rPr>
          <w:rFonts w:hint="eastAsia"/>
          <w:lang w:val="en-US"/>
        </w:rPr>
        <w:t>区)关爱退役军人基金会审批。</w:t>
      </w:r>
    </w:p>
    <w:p>
      <w:pPr>
        <w:pStyle w:val="41"/>
        <w:bidi w:val="0"/>
        <w:rPr>
          <w:rFonts w:hint="eastAsia"/>
          <w:lang w:val="en-US"/>
        </w:rPr>
      </w:pPr>
      <w:r>
        <w:rPr>
          <w:rFonts w:hint="eastAsia"/>
          <w:lang w:val="en-US" w:eastAsia="zh-CN"/>
        </w:rPr>
        <w:t>3.</w:t>
      </w:r>
      <w:r>
        <w:rPr>
          <w:rFonts w:hint="eastAsia"/>
          <w:lang w:val="en-US"/>
        </w:rPr>
        <w:t>县级审批。县(市、区)关爱退役军人基金会受理后，根据申请人提供的申请材料和乡镇(街道)退役军人服务站审核意见。对申请人的家庭状况、困难程度、享受社会保障政策情况逐一核实。作出是否资助决定。</w:t>
      </w:r>
    </w:p>
    <w:p>
      <w:pPr>
        <w:pStyle w:val="41"/>
        <w:bidi w:val="0"/>
        <w:rPr>
          <w:rFonts w:hint="eastAsia"/>
          <w:lang w:val="en-US"/>
        </w:rPr>
      </w:pPr>
      <w:r>
        <w:rPr>
          <w:rFonts w:hint="eastAsia"/>
          <w:lang w:val="en-US"/>
        </w:rPr>
        <w:t>对于情况紧急、需立即采取措施以防止造成无法挽回的</w:t>
      </w:r>
      <w:r>
        <w:rPr>
          <w:rFonts w:hint="eastAsia"/>
          <w:lang w:val="en-US" w:eastAsia="zh-CN"/>
        </w:rPr>
        <w:t>损</w:t>
      </w:r>
      <w:r>
        <w:rPr>
          <w:rFonts w:hint="eastAsia"/>
          <w:lang w:val="en-US"/>
        </w:rPr>
        <w:t>失或无法改变的严重后果的，各相关单位应当先行帮扶援助。紧急情况解除后，按规定补齐审核审批材料。</w:t>
      </w:r>
    </w:p>
    <w:p>
      <w:pPr>
        <w:pStyle w:val="40"/>
        <w:bidi w:val="0"/>
        <w:rPr>
          <w:rFonts w:hint="eastAsia" w:ascii="黑体" w:hAnsi="黑体" w:eastAsia="黑体" w:cs="黑体"/>
          <w:bCs/>
          <w:color w:val="000000" w:themeColor="text1"/>
          <w:szCs w:val="30"/>
          <w14:textFill>
            <w14:solidFill>
              <w14:schemeClr w14:val="tx1"/>
            </w14:solidFill>
          </w14:textFill>
        </w:rPr>
      </w:pPr>
      <w:bookmarkStart w:id="14" w:name="_Toc20864"/>
      <w:r>
        <w:rPr>
          <w:rFonts w:hint="eastAsia"/>
        </w:rPr>
        <w:t>三、绩效评价工作情况</w:t>
      </w:r>
      <w:bookmarkEnd w:id="10"/>
      <w:bookmarkEnd w:id="14"/>
    </w:p>
    <w:p>
      <w:pPr>
        <w:pStyle w:val="39"/>
        <w:bidi w:val="0"/>
        <w:rPr>
          <w:rFonts w:hint="eastAsia"/>
        </w:rPr>
      </w:pPr>
      <w:bookmarkStart w:id="15" w:name="_Toc29302680"/>
      <w:bookmarkStart w:id="16" w:name="_Toc22697"/>
      <w:r>
        <w:rPr>
          <w:rFonts w:hint="eastAsia"/>
        </w:rPr>
        <w:t>（一）绩效评价目的</w:t>
      </w:r>
      <w:bookmarkEnd w:id="15"/>
      <w:bookmarkEnd w:id="16"/>
    </w:p>
    <w:p>
      <w:pPr>
        <w:pStyle w:val="41"/>
        <w:bidi w:val="0"/>
        <w:rPr>
          <w:lang w:val="zh-CN"/>
        </w:rPr>
      </w:pPr>
      <w:bookmarkStart w:id="17" w:name="_Toc29302681"/>
      <w:r>
        <w:rPr>
          <w:rFonts w:hint="eastAsia"/>
          <w:lang w:val="zh-CN"/>
        </w:rPr>
        <w:t>1.通过对</w:t>
      </w:r>
      <w:r>
        <w:rPr>
          <w:rFonts w:hint="eastAsia"/>
          <w:lang w:val="en-US"/>
        </w:rPr>
        <w:t>遵化市退役军人事务局2022年优抚对象解三难资金项目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1"/>
        <w:bidi w:val="0"/>
        <w:rPr>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pPr>
        <w:pStyle w:val="39"/>
        <w:bidi w:val="0"/>
        <w:rPr>
          <w:rFonts w:hint="eastAsia"/>
        </w:rPr>
      </w:pPr>
      <w:bookmarkStart w:id="18" w:name="_Toc4400"/>
      <w:r>
        <w:rPr>
          <w:rFonts w:hint="eastAsia"/>
        </w:rPr>
        <w:t>（二）绩效评价依据</w:t>
      </w:r>
      <w:bookmarkEnd w:id="17"/>
      <w:bookmarkEnd w:id="18"/>
    </w:p>
    <w:p>
      <w:pPr>
        <w:pStyle w:val="41"/>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pPr>
        <w:pStyle w:val="41"/>
        <w:bidi w:val="0"/>
        <w:rPr>
          <w:lang w:val="zh-CN"/>
        </w:rPr>
      </w:pPr>
      <w:r>
        <w:rPr>
          <w:rFonts w:hint="eastAsia"/>
          <w:lang w:val="zh-CN"/>
        </w:rPr>
        <w:t>2.</w:t>
      </w:r>
      <w:r>
        <w:rPr>
          <w:lang w:val="zh-CN"/>
        </w:rPr>
        <w:t>中共中央国务院《关于全面实施预算绩效管理的意见》(中发〔2018〕34号);</w:t>
      </w:r>
    </w:p>
    <w:p>
      <w:pPr>
        <w:pStyle w:val="41"/>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41"/>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41"/>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41"/>
        <w:bidi w:val="0"/>
        <w:rPr>
          <w:lang w:val="zh-CN"/>
        </w:rPr>
      </w:pPr>
      <w:r>
        <w:rPr>
          <w:rFonts w:hint="eastAsia"/>
          <w:lang w:val="en-US"/>
        </w:rPr>
        <w:t>6.</w:t>
      </w:r>
      <w:r>
        <w:rPr>
          <w:lang w:val="zh-CN"/>
        </w:rPr>
        <w:t>唐山市委、市政府印发《唐山市全面实施预算绩效管理的实施意见》(唐发〔2019〕22号);</w:t>
      </w:r>
    </w:p>
    <w:p>
      <w:pPr>
        <w:pStyle w:val="41"/>
        <w:bidi w:val="0"/>
        <w:rPr>
          <w:lang w:val="zh-CN"/>
        </w:rPr>
      </w:pPr>
      <w:r>
        <w:rPr>
          <w:rFonts w:hint="eastAsia"/>
          <w:lang w:val="en-US"/>
        </w:rPr>
        <w:t>7.</w:t>
      </w:r>
      <w:r>
        <w:rPr>
          <w:rFonts w:hint="eastAsia"/>
          <w:lang w:val="zh-CN"/>
        </w:rPr>
        <w:t>唐山市财政局《唐山市分行业分领域绩效指标和标准体系》；</w:t>
      </w:r>
    </w:p>
    <w:p>
      <w:pPr>
        <w:pStyle w:val="41"/>
        <w:bidi w:val="0"/>
        <w:rPr>
          <w:lang w:val="zh-CN"/>
        </w:rPr>
      </w:pPr>
      <w:r>
        <w:rPr>
          <w:rFonts w:hint="eastAsia"/>
          <w:lang w:val="en-US"/>
        </w:rPr>
        <w:t>8.</w:t>
      </w:r>
      <w:r>
        <w:rPr>
          <w:rFonts w:hint="eastAsia"/>
          <w:lang w:val="zh-CN"/>
        </w:rPr>
        <w:t>中国注册会计师协会《会计师事务所财政支出绩效评价业务指引》（会协〔2016〕10号）；</w:t>
      </w:r>
    </w:p>
    <w:p>
      <w:pPr>
        <w:pStyle w:val="41"/>
        <w:bidi w:val="0"/>
      </w:pPr>
      <w:r>
        <w:rPr>
          <w:rFonts w:hint="eastAsia"/>
          <w:lang w:val="en-US"/>
        </w:rPr>
        <w:t>9.</w:t>
      </w:r>
      <w:r>
        <w:rPr>
          <w:rFonts w:hint="eastAsia"/>
          <w:lang w:val="zh-CN"/>
        </w:rPr>
        <w:t>其他相关依据。</w:t>
      </w:r>
      <w:bookmarkStart w:id="19" w:name="_bookmark13"/>
      <w:bookmarkEnd w:id="19"/>
      <w:bookmarkStart w:id="20" w:name="_bookmark12"/>
      <w:bookmarkEnd w:id="20"/>
      <w:bookmarkStart w:id="21" w:name="_bookmark11"/>
      <w:bookmarkEnd w:id="21"/>
    </w:p>
    <w:p>
      <w:pPr>
        <w:pStyle w:val="39"/>
        <w:bidi w:val="0"/>
      </w:pPr>
      <w:bookmarkStart w:id="22" w:name="_Toc29302682"/>
      <w:bookmarkStart w:id="23" w:name="_Toc22850"/>
      <w:r>
        <w:rPr>
          <w:rFonts w:hint="eastAsia"/>
        </w:rPr>
        <w:t>（三）评价对象、范围</w:t>
      </w:r>
      <w:bookmarkEnd w:id="22"/>
      <w:r>
        <w:rPr>
          <w:rFonts w:hint="eastAsia"/>
        </w:rPr>
        <w:t>及内容</w:t>
      </w:r>
      <w:bookmarkEnd w:id="23"/>
    </w:p>
    <w:p>
      <w:pPr>
        <w:pStyle w:val="41"/>
        <w:bidi w:val="0"/>
        <w:rPr>
          <w:rFonts w:hint="eastAsia"/>
        </w:rPr>
      </w:pPr>
      <w:r>
        <w:rPr>
          <w:rFonts w:hint="eastAsia"/>
          <w:lang w:val="zh-CN"/>
        </w:rPr>
        <w:t>1.</w:t>
      </w:r>
      <w:r>
        <w:rPr>
          <w:rFonts w:hint="eastAsia"/>
        </w:rPr>
        <w:t>绩效评价的对象</w:t>
      </w:r>
    </w:p>
    <w:p>
      <w:pPr>
        <w:pStyle w:val="41"/>
        <w:bidi w:val="0"/>
        <w:rPr>
          <w:lang w:val="zh-CN"/>
        </w:rPr>
      </w:pPr>
      <w:r>
        <w:rPr>
          <w:rFonts w:hint="eastAsia"/>
          <w:lang w:val="en-US"/>
        </w:rPr>
        <w:t>遵化市退役军人事务局2022年优抚对象解三难资金项目</w:t>
      </w:r>
      <w:r>
        <w:rPr>
          <w:rFonts w:hint="eastAsia"/>
          <w:lang w:val="zh-CN"/>
        </w:rPr>
        <w:t>。</w:t>
      </w:r>
    </w:p>
    <w:p>
      <w:pPr>
        <w:pStyle w:val="41"/>
        <w:bidi w:val="0"/>
        <w:rPr>
          <w:rFonts w:hint="eastAsia"/>
          <w:lang w:val="zh-CN"/>
        </w:rPr>
      </w:pPr>
      <w:r>
        <w:rPr>
          <w:rFonts w:hint="eastAsia"/>
          <w:lang w:val="en-US" w:eastAsia="zh-CN"/>
        </w:rPr>
        <w:t>2.</w:t>
      </w:r>
      <w:r>
        <w:rPr>
          <w:rFonts w:hint="eastAsia"/>
          <w:lang w:val="zh-CN"/>
        </w:rPr>
        <w:t>绩效评价的范围</w:t>
      </w:r>
    </w:p>
    <w:p>
      <w:pPr>
        <w:pStyle w:val="41"/>
        <w:bidi w:val="0"/>
        <w:rPr>
          <w:rFonts w:hint="eastAsia"/>
          <w:lang w:val="zh-CN"/>
        </w:rPr>
      </w:pPr>
      <w:r>
        <w:rPr>
          <w:rFonts w:hint="eastAsia"/>
          <w:lang w:val="en-US"/>
        </w:rPr>
        <w:t>遵化市退役军人事务局2022年优抚对象解三难资金项目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41"/>
        <w:bidi w:val="0"/>
        <w:rPr>
          <w:lang w:val="zh-CN"/>
        </w:rPr>
      </w:pPr>
      <w:r>
        <w:rPr>
          <w:rFonts w:hint="eastAsia"/>
          <w:lang w:val="zh-CN"/>
        </w:rPr>
        <w:t>3.</w:t>
      </w:r>
      <w:r>
        <w:rPr>
          <w:rFonts w:hint="eastAsia"/>
        </w:rPr>
        <w:t>绩效评价的内容</w:t>
      </w:r>
    </w:p>
    <w:p>
      <w:pPr>
        <w:pStyle w:val="41"/>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41"/>
        <w:bidi w:val="0"/>
      </w:pPr>
      <w:r>
        <w:rPr>
          <w:rFonts w:hint="eastAsia"/>
        </w:rPr>
        <w:t>（</w:t>
      </w:r>
      <w:r>
        <w:t>2</w:t>
      </w:r>
      <w:r>
        <w:rPr>
          <w:rFonts w:hint="eastAsia"/>
        </w:rPr>
        <w:t>）资金投入和使用情况。重点评价资金分配过程、投入方式、资金到位、预算执行和结果。</w:t>
      </w:r>
    </w:p>
    <w:p>
      <w:pPr>
        <w:pStyle w:val="41"/>
        <w:bidi w:val="0"/>
      </w:pPr>
      <w:r>
        <w:rPr>
          <w:rFonts w:hint="eastAsia"/>
        </w:rPr>
        <w:t>（</w:t>
      </w:r>
      <w:r>
        <w:t>3</w:t>
      </w:r>
      <w:r>
        <w:rPr>
          <w:rFonts w:hint="eastAsia"/>
        </w:rPr>
        <w:t>）为实现绩效目标制定的制度、采取的措施等，包括项目管理制度、财务管理制度和绩效跟踪管理措施等。</w:t>
      </w:r>
    </w:p>
    <w:p>
      <w:pPr>
        <w:pStyle w:val="41"/>
        <w:bidi w:val="0"/>
        <w:rPr>
          <w:rFonts w:hint="default"/>
          <w:lang w:val="en-US"/>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rPr>
        <w:t>可持续影响</w:t>
      </w:r>
      <w:r>
        <w:rPr>
          <w:rFonts w:hint="eastAsia"/>
          <w:lang w:val="en-US"/>
        </w:rPr>
        <w:t>及满意度。</w:t>
      </w:r>
    </w:p>
    <w:bookmarkEnd w:id="24"/>
    <w:p>
      <w:pPr>
        <w:pStyle w:val="41"/>
        <w:bidi w:val="0"/>
        <w:rPr>
          <w:lang w:val="zh-CN"/>
        </w:rPr>
      </w:pPr>
      <w:r>
        <w:rPr>
          <w:rFonts w:hint="eastAsia"/>
          <w:lang w:val="zh-CN"/>
        </w:rPr>
        <w:t>（5）其他相关内容。</w:t>
      </w:r>
    </w:p>
    <w:p>
      <w:pPr>
        <w:pStyle w:val="39"/>
        <w:bidi w:val="0"/>
        <w:rPr>
          <w:rFonts w:hint="eastAsia" w:ascii="华文楷体" w:hAnsi="华文楷体" w:eastAsia="华文楷体" w:cs="华文楷体"/>
          <w:bCs/>
          <w:color w:val="000000" w:themeColor="text1"/>
          <w:szCs w:val="30"/>
          <w14:textFill>
            <w14:solidFill>
              <w14:schemeClr w14:val="tx1"/>
            </w14:solidFill>
          </w14:textFill>
        </w:rPr>
      </w:pPr>
      <w:bookmarkStart w:id="26" w:name="_Toc22793"/>
      <w:r>
        <w:rPr>
          <w:rFonts w:hint="eastAsia"/>
        </w:rPr>
        <w:t>（四）绩效评价指标体系</w:t>
      </w:r>
      <w:bookmarkEnd w:id="25"/>
      <w:bookmarkEnd w:id="26"/>
    </w:p>
    <w:p>
      <w:pPr>
        <w:pStyle w:val="41"/>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8</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1"/>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41"/>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pPr>
        <w:pStyle w:val="41"/>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pPr>
        <w:pStyle w:val="41"/>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rPr>
        <w:t>可持续影响</w:t>
      </w:r>
      <w:r>
        <w:rPr>
          <w:rFonts w:hint="eastAsia"/>
          <w:lang w:val="en-US"/>
        </w:rPr>
        <w:t>及满意度</w:t>
      </w:r>
      <w:r>
        <w:rPr>
          <w:rFonts w:hint="eastAsia"/>
          <w:lang w:val="zh-CN"/>
        </w:rPr>
        <w:t>，主要反映和考核项目实施所产生的效益。</w:t>
      </w:r>
    </w:p>
    <w:p>
      <w:pPr>
        <w:pStyle w:val="41"/>
        <w:bidi w:val="0"/>
        <w:rPr>
          <w:lang w:val="zh-CN"/>
        </w:rPr>
      </w:pPr>
      <w:r>
        <w:rPr>
          <w:rFonts w:hint="eastAsia"/>
          <w:lang w:val="zh-CN"/>
        </w:rPr>
        <w:t>指标体系和评分标准参见附表2《</w:t>
      </w:r>
      <w:r>
        <w:rPr>
          <w:rFonts w:hint="eastAsia"/>
          <w:lang w:val="en-US"/>
        </w:rPr>
        <w:t>遵化市退役军人事务局2022年优抚对象解三难资金项目绩效评价指标表</w:t>
      </w:r>
      <w:r>
        <w:rPr>
          <w:rFonts w:hint="eastAsia"/>
          <w:lang w:val="zh-CN"/>
        </w:rPr>
        <w:t>》。</w:t>
      </w:r>
    </w:p>
    <w:p>
      <w:pPr>
        <w:pStyle w:val="39"/>
        <w:bidi w:val="0"/>
        <w:rPr>
          <w:rFonts w:hint="eastAsia"/>
        </w:rPr>
      </w:pPr>
      <w:bookmarkStart w:id="27" w:name="_Toc2799"/>
      <w:bookmarkStart w:id="28" w:name="_Toc29302684"/>
      <w:bookmarkStart w:id="29" w:name="_Toc29302685"/>
      <w:r>
        <w:rPr>
          <w:rFonts w:hint="eastAsia"/>
        </w:rPr>
        <w:t>（五）绩效评价原则、评价方法</w:t>
      </w:r>
      <w:bookmarkEnd w:id="27"/>
      <w:bookmarkEnd w:id="28"/>
    </w:p>
    <w:p>
      <w:pPr>
        <w:pStyle w:val="41"/>
        <w:bidi w:val="0"/>
        <w:rPr>
          <w:lang w:val="zh-CN"/>
        </w:rPr>
      </w:pPr>
      <w:r>
        <w:rPr>
          <w:rFonts w:hint="eastAsia"/>
          <w:lang w:val="zh-CN"/>
        </w:rPr>
        <w:t>1.绩效评价原则</w:t>
      </w:r>
    </w:p>
    <w:p>
      <w:pPr>
        <w:pStyle w:val="41"/>
        <w:bidi w:val="0"/>
      </w:pPr>
      <w:r>
        <w:rPr>
          <w:rFonts w:hint="eastAsia"/>
        </w:rPr>
        <w:t>科学规范：绩效评价注重财政资金支出的经济性、效率性和有效性，严格执行规定的程序，采用定量与定性分析相结合的方法。</w:t>
      </w:r>
    </w:p>
    <w:p>
      <w:pPr>
        <w:pStyle w:val="41"/>
        <w:bidi w:val="0"/>
      </w:pPr>
      <w:r>
        <w:rPr>
          <w:rFonts w:hint="eastAsia"/>
        </w:rPr>
        <w:t>公正公开：绩效评价客观、公正，标准统一、资料可靠，依法公开并接受监督。</w:t>
      </w:r>
    </w:p>
    <w:p>
      <w:pPr>
        <w:pStyle w:val="41"/>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41"/>
        <w:bidi w:val="0"/>
        <w:rPr>
          <w:lang w:val="zh-CN"/>
        </w:rPr>
      </w:pPr>
      <w:r>
        <w:rPr>
          <w:rFonts w:hint="eastAsia"/>
          <w:lang w:val="zh-CN"/>
        </w:rPr>
        <w:t>2.绩效评价方法</w:t>
      </w:r>
    </w:p>
    <w:p>
      <w:pPr>
        <w:pStyle w:val="41"/>
        <w:bidi w:val="0"/>
      </w:pPr>
      <w:r>
        <w:t>成本效益分析法：在绩效评价指标分析过程中，将项目实施投入的资金、人员及技术力量等与项目产出、效益进行关联性分析，以判断项目投入与产出是否成比例。</w:t>
      </w:r>
    </w:p>
    <w:p>
      <w:pPr>
        <w:pStyle w:val="41"/>
        <w:bidi w:val="0"/>
      </w:pPr>
      <w:bookmarkStart w:id="30" w:name="_bookmark14"/>
      <w:bookmarkEnd w:id="30"/>
      <w:r>
        <w:t>比较分析法</w:t>
      </w:r>
      <w:r>
        <w:rPr>
          <w:rFonts w:hint="eastAsia"/>
        </w:rPr>
        <w:t>：</w:t>
      </w:r>
      <w:r>
        <w:t>通过对项目的实际产出和取得效益与计划标准及设定目标进行对比，判断项目的绩效产出和效益的实现程度。</w:t>
      </w:r>
    </w:p>
    <w:p>
      <w:pPr>
        <w:pStyle w:val="41"/>
        <w:bidi w:val="0"/>
      </w:pPr>
      <w:r>
        <w:t>因素分析法</w:t>
      </w:r>
      <w:r>
        <w:rPr>
          <w:rFonts w:hint="eastAsia"/>
        </w:rPr>
        <w:t>：</w:t>
      </w:r>
      <w:r>
        <w:t>在对共性指标的评价时，主要通过对设置考察点进行因素分析，来确定对应指标的实现程度和存在问题。</w:t>
      </w:r>
    </w:p>
    <w:p>
      <w:pPr>
        <w:pStyle w:val="41"/>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41"/>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9"/>
        <w:bidi w:val="0"/>
        <w:rPr>
          <w:rFonts w:hint="eastAsia"/>
        </w:rPr>
      </w:pPr>
      <w:bookmarkStart w:id="31" w:name="_Toc30207"/>
      <w:r>
        <w:rPr>
          <w:rFonts w:hint="eastAsia"/>
        </w:rPr>
        <w:t>（六）绩效评价工作过程</w:t>
      </w:r>
      <w:bookmarkEnd w:id="29"/>
      <w:bookmarkEnd w:id="31"/>
    </w:p>
    <w:p>
      <w:pPr>
        <w:pStyle w:val="41"/>
        <w:bidi w:val="0"/>
        <w:rPr>
          <w:lang w:val="zh-CN"/>
        </w:rPr>
      </w:pPr>
      <w:bookmarkStart w:id="32" w:name="_Toc56500100"/>
      <w:bookmarkStart w:id="33" w:name="_Toc35502614"/>
      <w:bookmarkStart w:id="34" w:name="_Toc29302686"/>
      <w:r>
        <w:rPr>
          <w:rFonts w:hint="eastAsia"/>
          <w:lang w:val="zh-CN"/>
        </w:rPr>
        <w:t>1.评价前期准备阶段</w:t>
      </w:r>
      <w:bookmarkEnd w:id="32"/>
      <w:bookmarkEnd w:id="33"/>
    </w:p>
    <w:p>
      <w:pPr>
        <w:pStyle w:val="41"/>
        <w:bidi w:val="0"/>
        <w:rPr>
          <w:lang w:val="zh-CN"/>
        </w:rPr>
      </w:pPr>
      <w:r>
        <w:rPr>
          <w:rFonts w:hint="eastAsia"/>
          <w:lang w:val="zh-CN"/>
        </w:rPr>
        <w:t>（1）财政局召开三方会议并介绍绩效评价相关情况，向</w:t>
      </w:r>
      <w:r>
        <w:rPr>
          <w:rFonts w:hint="eastAsia"/>
          <w:lang w:val="en-US"/>
        </w:rPr>
        <w:t>退役局</w:t>
      </w:r>
      <w:r>
        <w:rPr>
          <w:rFonts w:hint="eastAsia"/>
          <w:lang w:val="zh-CN"/>
        </w:rPr>
        <w:t>下达《绩效评价通知书》，事务所向</w:t>
      </w:r>
      <w:r>
        <w:rPr>
          <w:rFonts w:hint="eastAsia"/>
          <w:lang w:val="en-US"/>
        </w:rPr>
        <w:t>退役局</w:t>
      </w:r>
      <w:r>
        <w:rPr>
          <w:rFonts w:hint="eastAsia"/>
          <w:lang w:val="zh-CN"/>
        </w:rPr>
        <w:t>发放《绩效评价资料清单》并确定资料提交时间。</w:t>
      </w:r>
    </w:p>
    <w:p>
      <w:pPr>
        <w:pStyle w:val="41"/>
        <w:bidi w:val="0"/>
        <w:rPr>
          <w:lang w:val="zh-CN"/>
        </w:rPr>
      </w:pPr>
      <w:r>
        <w:rPr>
          <w:rFonts w:hint="eastAsia"/>
          <w:lang w:val="zh-CN"/>
        </w:rPr>
        <w:t>（2）成立评价组，明确工作范围和职责，提出本次绩效评价的要求，初步确定评价的总体时间安排。</w:t>
      </w:r>
    </w:p>
    <w:p>
      <w:pPr>
        <w:pStyle w:val="41"/>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1"/>
        <w:bidi w:val="0"/>
        <w:rPr>
          <w:lang w:val="zh-CN"/>
        </w:rPr>
      </w:pPr>
      <w:bookmarkStart w:id="35" w:name="_Toc56500101"/>
      <w:bookmarkStart w:id="36" w:name="_Toc35502615"/>
      <w:r>
        <w:rPr>
          <w:rFonts w:hint="eastAsia"/>
          <w:lang w:val="zh-CN"/>
        </w:rPr>
        <w:t>2.评价指标体系设计阶段</w:t>
      </w:r>
      <w:bookmarkEnd w:id="35"/>
      <w:bookmarkEnd w:id="36"/>
    </w:p>
    <w:p>
      <w:pPr>
        <w:pStyle w:val="41"/>
        <w:bidi w:val="0"/>
      </w:pPr>
      <w:bookmarkStart w:id="37" w:name="_Toc56500102"/>
      <w:bookmarkStart w:id="38"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41"/>
        <w:bidi w:val="0"/>
      </w:pPr>
      <w:r>
        <w:rPr>
          <w:rFonts w:hint="eastAsia"/>
        </w:rPr>
        <w:t>（</w:t>
      </w:r>
      <w:r>
        <w:t>2</w:t>
      </w:r>
      <w:r>
        <w:rPr>
          <w:rFonts w:hint="eastAsia"/>
        </w:rPr>
        <w:t>）拟定的指标体系，在征求项目单位意见后进行补充和完善。</w:t>
      </w:r>
    </w:p>
    <w:p>
      <w:pPr>
        <w:pStyle w:val="41"/>
        <w:bidi w:val="0"/>
        <w:rPr>
          <w:lang w:val="zh-CN"/>
        </w:rPr>
      </w:pPr>
      <w:r>
        <w:rPr>
          <w:rFonts w:hint="eastAsia"/>
          <w:lang w:val="zh-CN"/>
        </w:rPr>
        <w:t>3.评价实施阶段</w:t>
      </w:r>
      <w:bookmarkEnd w:id="37"/>
      <w:bookmarkEnd w:id="38"/>
    </w:p>
    <w:p>
      <w:pPr>
        <w:pStyle w:val="41"/>
        <w:bidi w:val="0"/>
      </w:pPr>
      <w:r>
        <w:rPr>
          <w:rFonts w:hint="eastAsia"/>
        </w:rPr>
        <w:t>（</w:t>
      </w:r>
      <w:r>
        <w:t>1</w:t>
      </w:r>
      <w:r>
        <w:rPr>
          <w:rFonts w:hint="eastAsia"/>
        </w:rPr>
        <w:t>）对项目单位提交的项目资料进行汇总、整理，检查、核实项目资料中的数据后，确定检查重点和疑点问题、检查方法及具体时间安排等。</w:t>
      </w:r>
    </w:p>
    <w:p>
      <w:pPr>
        <w:pStyle w:val="41"/>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41"/>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1"/>
        <w:bidi w:val="0"/>
        <w:rPr>
          <w:lang w:val="zh-CN"/>
        </w:rPr>
      </w:pPr>
      <w:bookmarkStart w:id="39" w:name="_Toc35502617"/>
      <w:bookmarkStart w:id="40" w:name="_Toc56500103"/>
      <w:r>
        <w:rPr>
          <w:rFonts w:hint="eastAsia"/>
          <w:lang w:val="zh-CN"/>
        </w:rPr>
        <w:t>4.评价报告阶段</w:t>
      </w:r>
      <w:bookmarkEnd w:id="39"/>
      <w:bookmarkEnd w:id="40"/>
    </w:p>
    <w:p>
      <w:pPr>
        <w:pStyle w:val="41"/>
        <w:bidi w:val="0"/>
        <w:rPr>
          <w:lang w:val="zh-CN"/>
        </w:rPr>
      </w:pPr>
      <w:r>
        <w:rPr>
          <w:rFonts w:hint="eastAsia"/>
          <w:lang w:val="zh-CN"/>
        </w:rPr>
        <w:t>（1）对项目的相关资料进行分析汇总。</w:t>
      </w:r>
    </w:p>
    <w:p>
      <w:pPr>
        <w:pStyle w:val="41"/>
        <w:bidi w:val="0"/>
        <w:rPr>
          <w:rFonts w:ascii="仿宋" w:hAnsi="仿宋" w:eastAsia="仿宋" w:cs="仿宋_GB2312"/>
          <w:color w:val="000000" w:themeColor="text1"/>
          <w:szCs w:val="32"/>
          <w:lang w:val="zh-CN" w:bidi="zh-CN"/>
          <w14:textFill>
            <w14:solidFill>
              <w14:schemeClr w14:val="tx1"/>
            </w14:solidFill>
          </w14:textFill>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遵化市退役军人事务局2022年优抚对象解三难资金项目</w:t>
      </w:r>
      <w:r>
        <w:rPr>
          <w:rFonts w:hint="eastAsia"/>
          <w:lang w:val="zh-CN"/>
        </w:rPr>
        <w:t xml:space="preserve">绩效评价报告（包括文字和表格部分）。  </w:t>
      </w:r>
      <w:r>
        <w:rPr>
          <w:rFonts w:hint="eastAsia" w:ascii="仿宋" w:hAnsi="仿宋" w:eastAsia="仿宋" w:cs="仿宋_GB2312"/>
          <w:color w:val="000000" w:themeColor="text1"/>
          <w:szCs w:val="32"/>
          <w:lang w:val="zh-CN" w:bidi="zh-CN"/>
          <w14:textFill>
            <w14:solidFill>
              <w14:schemeClr w14:val="tx1"/>
            </w14:solidFill>
          </w14:textFill>
        </w:rPr>
        <w:t xml:space="preserve"> </w:t>
      </w:r>
    </w:p>
    <w:p>
      <w:pPr>
        <w:pStyle w:val="40"/>
        <w:bidi w:val="0"/>
        <w:rPr>
          <w:rFonts w:hint="eastAsia" w:ascii="黑体" w:hAnsi="黑体" w:eastAsia="黑体" w:cs="黑体"/>
          <w:bCs/>
          <w:color w:val="000000" w:themeColor="text1"/>
          <w:szCs w:val="30"/>
          <w14:textFill>
            <w14:solidFill>
              <w14:schemeClr w14:val="tx1"/>
            </w14:solidFill>
          </w14:textFill>
        </w:rPr>
      </w:pPr>
      <w:bookmarkStart w:id="41" w:name="_Toc13627"/>
      <w:r>
        <w:rPr>
          <w:rFonts w:hint="eastAsia"/>
        </w:rPr>
        <w:t>四、</w:t>
      </w:r>
      <w:bookmarkEnd w:id="34"/>
      <w:r>
        <w:rPr>
          <w:rFonts w:hint="eastAsia"/>
        </w:rPr>
        <w:t>项目绩效情况</w:t>
      </w:r>
      <w:bookmarkEnd w:id="41"/>
    </w:p>
    <w:p>
      <w:pPr>
        <w:pStyle w:val="39"/>
        <w:bidi w:val="0"/>
        <w:rPr>
          <w:rFonts w:hint="eastAsia"/>
        </w:rPr>
      </w:pPr>
      <w:bookmarkStart w:id="42" w:name="_Toc11823"/>
      <w:r>
        <w:rPr>
          <w:rFonts w:hint="eastAsia"/>
        </w:rPr>
        <w:t>（一）项目产出</w:t>
      </w:r>
      <w:bookmarkEnd w:id="42"/>
    </w:p>
    <w:p>
      <w:pPr>
        <w:pStyle w:val="41"/>
        <w:bidi w:val="0"/>
        <w:rPr>
          <w:rFonts w:hint="default"/>
          <w:lang w:val="en-US" w:eastAsia="zh-CN"/>
        </w:rPr>
      </w:pPr>
      <w:r>
        <w:rPr>
          <w:rFonts w:hint="eastAsia"/>
          <w:lang w:val="en-US" w:eastAsia="zh-CN"/>
        </w:rPr>
        <w:t>截至2022年底，退役局共为542人发放补贴，补贴金额29.11万元，在2022年底全部支出，达到了预期目标375人且项目成本控制在预算目标范围内。</w:t>
      </w:r>
    </w:p>
    <w:p>
      <w:pPr>
        <w:pStyle w:val="39"/>
        <w:bidi w:val="0"/>
        <w:rPr>
          <w:rFonts w:hint="eastAsia" w:ascii="华文楷体" w:hAnsi="华文楷体" w:eastAsia="华文楷体" w:cs="华文楷体"/>
          <w:bCs/>
          <w:color w:val="000000" w:themeColor="text1"/>
          <w:szCs w:val="30"/>
          <w14:textFill>
            <w14:solidFill>
              <w14:schemeClr w14:val="tx1"/>
            </w14:solidFill>
          </w14:textFill>
        </w:rPr>
      </w:pPr>
      <w:bookmarkStart w:id="43" w:name="_Toc14218"/>
      <w:r>
        <w:rPr>
          <w:rFonts w:hint="eastAsia"/>
        </w:rPr>
        <w:t>（二）项目效益</w:t>
      </w:r>
      <w:bookmarkEnd w:id="43"/>
    </w:p>
    <w:p>
      <w:pPr>
        <w:pStyle w:val="41"/>
        <w:bidi w:val="0"/>
        <w:rPr>
          <w:rFonts w:hint="eastAsia"/>
          <w:lang w:val="en-US"/>
        </w:rPr>
      </w:pPr>
      <w:r>
        <w:rPr>
          <w:rFonts w:hint="eastAsia"/>
          <w:lang w:val="en-US"/>
        </w:rPr>
        <w:t>该项目的实施在一定程度上减轻了困难优抚对象和其家庭的经济压力，保障了优抚对象的生活状况，体现了国家对优抚对象的关心和扶持，增强了他们对国家的认同感和归属感，有助于加强国家凝聚力，平衡了社会矛盾，维护了社会稳定，促进了社会公平正义。</w:t>
      </w:r>
    </w:p>
    <w:p>
      <w:pPr>
        <w:pStyle w:val="40"/>
        <w:bidi w:val="0"/>
        <w:rPr>
          <w:rFonts w:hint="eastAsia" w:ascii="黑体" w:hAnsi="黑体" w:eastAsia="黑体" w:cs="黑体"/>
          <w:bCs/>
          <w:color w:val="000000" w:themeColor="text1"/>
          <w:szCs w:val="30"/>
          <w14:textFill>
            <w14:solidFill>
              <w14:schemeClr w14:val="tx1"/>
            </w14:solidFill>
          </w14:textFill>
        </w:rPr>
      </w:pPr>
      <w:bookmarkStart w:id="44" w:name="_Toc13892"/>
      <w:r>
        <w:rPr>
          <w:rFonts w:hint="eastAsia"/>
        </w:rPr>
        <w:t>五、综合评价情况及评价结论</w:t>
      </w:r>
      <w:bookmarkEnd w:id="44"/>
    </w:p>
    <w:p>
      <w:pPr>
        <w:pStyle w:val="41"/>
        <w:bidi w:val="0"/>
      </w:pPr>
      <w:r>
        <w:rPr>
          <w:rFonts w:hint="eastAsia"/>
          <w:lang w:val="zh-CN"/>
        </w:rPr>
        <w:t>依据遵化市退役军人事务局2022年优抚对象解三难资金项目绩效评价指标和相关数据，对照评分标准和绩效分值，通过对决策、过程、产出与效益四个方面的逐项分析评价，遵化市退役军人事务局2022年优抚对象解三难资金项目绩效评价得分</w:t>
      </w:r>
      <w:r>
        <w:rPr>
          <w:rFonts w:hint="eastAsia"/>
          <w:lang w:val="en-US"/>
        </w:rPr>
        <w:t>77.91</w:t>
      </w:r>
      <w:r>
        <w:rPr>
          <w:rFonts w:hint="eastAsia"/>
          <w:lang w:val="zh-CN"/>
        </w:rPr>
        <w:t>分，综合评价等级为“</w:t>
      </w:r>
      <w:r>
        <w:rPr>
          <w:rFonts w:hint="eastAsia"/>
          <w:lang w:val="en-US"/>
        </w:rPr>
        <w:t>中</w:t>
      </w:r>
      <w:r>
        <w:rPr>
          <w:rFonts w:hint="eastAsia"/>
          <w:lang w:val="zh-CN"/>
        </w:rPr>
        <w:t>”。具体情况如下：</w:t>
      </w:r>
    </w:p>
    <w:p>
      <w:pPr>
        <w:pStyle w:val="37"/>
        <w:bidi w:val="0"/>
        <w:rPr>
          <w:rFonts w:hint="eastAsia"/>
          <w:lang w:eastAsia="zh-CN"/>
        </w:rPr>
      </w:pPr>
      <w:r>
        <w:rPr>
          <w:rFonts w:hint="eastAsia"/>
          <w:lang w:eastAsia="zh-CN"/>
        </w:rPr>
        <w:t xml:space="preserve"> 遵化市退役军人事务局2022年优抚对象解三难资金项目</w:t>
      </w:r>
    </w:p>
    <w:p>
      <w:pPr>
        <w:pStyle w:val="37"/>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000000" w:themeColor="text1"/>
                <w:sz w:val="24"/>
                <w:szCs w:val="24"/>
                <w:lang w:bidi="zh-CN"/>
                <w14:textFill>
                  <w14:solidFill>
                    <w14:schemeClr w14:val="tx1"/>
                  </w14:solidFill>
                </w14:textFill>
              </w:rPr>
            </w:pPr>
            <w:r>
              <w:rPr>
                <w:rFonts w:hint="eastAsia" w:ascii="仿宋" w:hAnsi="仿宋" w:eastAsia="仿宋" w:cs="仿宋_GB2312"/>
                <w:color w:val="000000" w:themeColor="text1"/>
                <w:sz w:val="24"/>
                <w:szCs w:val="24"/>
                <w:lang w:bidi="zh-CN"/>
                <w14:textFill>
                  <w14:solidFill>
                    <w14:schemeClr w14:val="tx1"/>
                  </w14:solidFill>
                </w14:textFill>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000000" w:themeColor="text1"/>
                <w:sz w:val="24"/>
                <w:szCs w:val="24"/>
                <w:lang w:val="en-US" w:bidi="zh-CN"/>
                <w14:textFill>
                  <w14:solidFill>
                    <w14:schemeClr w14:val="tx1"/>
                  </w14:solidFill>
                </w14:textFill>
              </w:rPr>
            </w:pPr>
            <w:r>
              <w:rPr>
                <w:rFonts w:hint="eastAsia" w:ascii="仿宋" w:hAnsi="仿宋" w:eastAsia="仿宋" w:cs="仿宋_GB2312"/>
                <w:color w:val="000000" w:themeColor="text1"/>
                <w:sz w:val="24"/>
                <w:szCs w:val="24"/>
                <w:lang w:val="en-US" w:bidi="zh-CN"/>
                <w14:textFill>
                  <w14:solidFill>
                    <w14:schemeClr w14:val="tx1"/>
                  </w14:solidFill>
                </w14:textFill>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000000" w:themeColor="text1"/>
                <w:sz w:val="24"/>
                <w:szCs w:val="24"/>
                <w:lang w:bidi="zh-CN"/>
                <w14:textFill>
                  <w14:solidFill>
                    <w14:schemeClr w14:val="tx1"/>
                  </w14:solidFill>
                </w14:textFill>
              </w:rPr>
            </w:pPr>
            <w:r>
              <w:rPr>
                <w:rFonts w:hint="eastAsia" w:ascii="仿宋" w:hAnsi="仿宋" w:eastAsia="仿宋" w:cs="仿宋_GB2312"/>
                <w:color w:val="000000" w:themeColor="text1"/>
                <w:sz w:val="24"/>
                <w:szCs w:val="24"/>
                <w:lang w:bidi="zh-CN"/>
                <w14:textFill>
                  <w14:solidFill>
                    <w14:schemeClr w14:val="tx1"/>
                  </w14:solidFill>
                </w14:textFill>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000000" w:themeColor="text1"/>
                <w:sz w:val="24"/>
                <w:szCs w:val="24"/>
                <w:lang w:val="en-US" w:bidi="zh-CN"/>
                <w14:textFill>
                  <w14:solidFill>
                    <w14:schemeClr w14:val="tx1"/>
                  </w14:solidFill>
                </w14:textFill>
              </w:rPr>
            </w:pPr>
            <w:r>
              <w:rPr>
                <w:rFonts w:hint="eastAsia" w:ascii="仿宋" w:hAnsi="仿宋" w:eastAsia="仿宋" w:cs="仿宋_GB2312"/>
                <w:color w:val="000000" w:themeColor="text1"/>
                <w:sz w:val="24"/>
                <w:szCs w:val="24"/>
                <w:lang w:val="en-US" w:bidi="zh-CN"/>
                <w14:textFill>
                  <w14:solidFill>
                    <w14:schemeClr w14:val="tx1"/>
                  </w14:solidFill>
                </w14:textFill>
              </w:rPr>
              <w:t>21.91</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000000" w:themeColor="text1"/>
                <w:sz w:val="24"/>
                <w:szCs w:val="24"/>
                <w:lang w:bidi="zh-CN"/>
                <w14:textFill>
                  <w14:solidFill>
                    <w14:schemeClr w14:val="tx1"/>
                  </w14:solidFill>
                </w14:textFill>
              </w:rPr>
            </w:pPr>
            <w:r>
              <w:rPr>
                <w:rFonts w:hint="eastAsia" w:ascii="仿宋" w:hAnsi="仿宋" w:eastAsia="仿宋" w:cs="仿宋_GB2312"/>
                <w:color w:val="000000" w:themeColor="text1"/>
                <w:sz w:val="24"/>
                <w:szCs w:val="24"/>
                <w:lang w:bidi="zh-CN"/>
                <w14:textFill>
                  <w14:solidFill>
                    <w14:schemeClr w14:val="tx1"/>
                  </w14:solidFill>
                </w14:textFill>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000000" w:themeColor="text1"/>
                <w:sz w:val="24"/>
                <w:szCs w:val="24"/>
                <w:lang w:val="en-US" w:bidi="zh-CN"/>
                <w14:textFill>
                  <w14:solidFill>
                    <w14:schemeClr w14:val="tx1"/>
                  </w14:solidFill>
                </w14:textFill>
              </w:rPr>
            </w:pPr>
            <w:r>
              <w:rPr>
                <w:rFonts w:hint="eastAsia" w:ascii="仿宋" w:hAnsi="仿宋" w:eastAsia="仿宋" w:cs="仿宋_GB2312"/>
                <w:color w:val="000000" w:themeColor="text1"/>
                <w:sz w:val="24"/>
                <w:szCs w:val="24"/>
                <w:lang w:val="en-US" w:bidi="zh-CN"/>
                <w14:textFill>
                  <w14:solidFill>
                    <w14:schemeClr w14:val="tx1"/>
                  </w14:solidFill>
                </w14:textFill>
              </w:rPr>
              <w:t>30.00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000000" w:themeColor="text1"/>
                <w:sz w:val="24"/>
                <w:szCs w:val="24"/>
                <w:lang w:bidi="zh-CN"/>
                <w14:textFill>
                  <w14:solidFill>
                    <w14:schemeClr w14:val="tx1"/>
                  </w14:solidFill>
                </w14:textFill>
              </w:rPr>
            </w:pPr>
            <w:r>
              <w:rPr>
                <w:rFonts w:hint="eastAsia" w:ascii="仿宋" w:hAnsi="仿宋" w:eastAsia="仿宋" w:cs="仿宋_GB2312"/>
                <w:color w:val="000000" w:themeColor="text1"/>
                <w:sz w:val="24"/>
                <w:szCs w:val="24"/>
                <w:lang w:bidi="zh-CN"/>
                <w14:textFill>
                  <w14:solidFill>
                    <w14:schemeClr w14:val="tx1"/>
                  </w14:solidFill>
                </w14:textFill>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000000" w:themeColor="text1"/>
                <w:sz w:val="24"/>
                <w:szCs w:val="24"/>
                <w:lang w:val="en-US" w:bidi="zh-CN"/>
                <w14:textFill>
                  <w14:solidFill>
                    <w14:schemeClr w14:val="tx1"/>
                  </w14:solidFill>
                </w14:textFill>
              </w:rPr>
            </w:pPr>
            <w:r>
              <w:rPr>
                <w:rFonts w:hint="eastAsia" w:ascii="仿宋" w:hAnsi="仿宋" w:eastAsia="仿宋" w:cs="仿宋_GB2312"/>
                <w:color w:val="000000" w:themeColor="text1"/>
                <w:sz w:val="24"/>
                <w:szCs w:val="24"/>
                <w:lang w:val="en-US" w:bidi="zh-CN"/>
                <w14:textFill>
                  <w14:solidFill>
                    <w14:schemeClr w14:val="tx1"/>
                  </w14:solidFill>
                </w14:textFill>
              </w:rPr>
              <w:t>15.00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lang w:bidi="zh-CN"/>
                <w14:textFill>
                  <w14:solidFill>
                    <w14:schemeClr w14:val="tx1"/>
                  </w14:solidFill>
                </w14:textFill>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77.91</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77.91%</w:t>
            </w:r>
          </w:p>
        </w:tc>
      </w:tr>
    </w:tbl>
    <w:p>
      <w:pPr>
        <w:autoSpaceDE/>
        <w:autoSpaceDN/>
        <w:adjustRightInd/>
        <w:jc w:val="both"/>
        <w:rPr>
          <w:rFonts w:ascii="Calibri" w:hAnsi="Calibri"/>
          <w:color w:val="000000" w:themeColor="text1"/>
          <w:kern w:val="2"/>
          <w:sz w:val="21"/>
          <w:szCs w:val="22"/>
          <w14:textFill>
            <w14:solidFill>
              <w14:schemeClr w14:val="tx1"/>
            </w14:solidFill>
          </w14:textFill>
        </w:rPr>
      </w:pPr>
    </w:p>
    <w:p>
      <w:pPr>
        <w:pStyle w:val="40"/>
        <w:bidi w:val="0"/>
        <w:rPr>
          <w:rFonts w:hint="eastAsia"/>
        </w:rPr>
      </w:pPr>
      <w:bookmarkStart w:id="45" w:name="_Toc17255"/>
      <w:r>
        <w:rPr>
          <w:rFonts w:hint="eastAsia"/>
        </w:rPr>
        <w:t>六、存在的主要问题</w:t>
      </w:r>
      <w:bookmarkEnd w:id="45"/>
    </w:p>
    <w:p>
      <w:pPr>
        <w:pStyle w:val="39"/>
        <w:bidi w:val="0"/>
        <w:rPr>
          <w:rFonts w:hint="default"/>
          <w:lang w:val="en-US" w:eastAsia="zh-CN"/>
        </w:rPr>
      </w:pPr>
      <w:bookmarkStart w:id="46" w:name="_Toc13054"/>
      <w:r>
        <w:rPr>
          <w:rFonts w:hint="eastAsia"/>
          <w:lang w:val="zh-CN" w:eastAsia="zh-CN"/>
        </w:rPr>
        <w:t>（</w:t>
      </w:r>
      <w:r>
        <w:rPr>
          <w:rFonts w:hint="eastAsia"/>
          <w:lang w:val="en-US" w:eastAsia="zh-CN"/>
        </w:rPr>
        <w:t>一</w:t>
      </w:r>
      <w:r>
        <w:rPr>
          <w:rFonts w:hint="eastAsia"/>
          <w:lang w:val="zh-CN" w:eastAsia="zh-CN"/>
        </w:rPr>
        <w:t>）</w:t>
      </w:r>
      <w:bookmarkEnd w:id="46"/>
      <w:r>
        <w:rPr>
          <w:rFonts w:hint="eastAsia"/>
          <w:lang w:val="en-US" w:eastAsia="zh-CN"/>
        </w:rPr>
        <w:t>资金发放标准未明确</w:t>
      </w:r>
    </w:p>
    <w:p>
      <w:pPr>
        <w:pStyle w:val="41"/>
        <w:bidi w:val="0"/>
        <w:rPr>
          <w:rFonts w:hint="default"/>
          <w:lang w:val="en-US" w:eastAsia="zh-CN"/>
        </w:rPr>
      </w:pPr>
      <w:r>
        <w:rPr>
          <w:rFonts w:hint="eastAsia"/>
          <w:lang w:val="en-US" w:eastAsia="zh-CN"/>
        </w:rPr>
        <w:t>《遵化市优抚对象解三难申请汇总表》中，补贴标准为500元、800元、1000元，但退役局未明确每个标准的申请条件，不同乡镇在实施优抚对象解三难政策时存在申请原因类似实际补贴标准不一致的情况。补贴标准不一致的情况如下表所示：</w:t>
      </w:r>
    </w:p>
    <w:tbl>
      <w:tblPr>
        <w:tblStyle w:val="19"/>
        <w:tblW w:w="86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1307"/>
        <w:gridCol w:w="4673"/>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乡镇名称</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贫  困  原  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补助金额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东旧寨</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二级残疾，听力残疾，无劳动能力，无收入来源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东旧寨</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脑肿瘤，脑血栓，其配偶心脏病，无劳动能力，无收入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华明路</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伤残、体弱多病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平安城镇</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体弱多病，困难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堡子店</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骨折，腰椎间盘突出，丧失劳动能力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崔家庄镇</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本人高血压，配偶高血压，儿子脑血栓，儿媳脑出血，都没有劳动能力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铁厂镇</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慢性心率失常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西三里乡</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高血压、肾结石，囊肿、膀胱结石，无经济来源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西三里乡</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高血压、肾结石，囊肿、膀胱结石，无经济来源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文化路</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无经济来源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r>
    </w:tbl>
    <w:p>
      <w:pPr>
        <w:pStyle w:val="41"/>
        <w:bidi w:val="0"/>
        <w:rPr>
          <w:rFonts w:hint="default"/>
          <w:lang w:val="en-US" w:eastAsia="zh-CN"/>
        </w:rPr>
      </w:pPr>
      <w:r>
        <w:rPr>
          <w:rFonts w:hint="eastAsia"/>
          <w:lang w:val="en-US" w:eastAsia="zh-CN"/>
        </w:rPr>
        <w:t>资金申请标准未明确，容易导致资金使用不当。</w:t>
      </w:r>
    </w:p>
    <w:p>
      <w:pPr>
        <w:pStyle w:val="39"/>
        <w:bidi w:val="0"/>
        <w:rPr>
          <w:rFonts w:hint="default"/>
          <w:lang w:val="en-US" w:eastAsia="zh-CN"/>
        </w:rPr>
      </w:pPr>
      <w:bookmarkStart w:id="47" w:name="_Toc18023"/>
      <w:r>
        <w:rPr>
          <w:rFonts w:hint="eastAsia"/>
          <w:lang w:val="en-US" w:eastAsia="zh-CN"/>
        </w:rPr>
        <w:t>（二）</w:t>
      </w:r>
      <w:bookmarkEnd w:id="47"/>
      <w:r>
        <w:rPr>
          <w:rFonts w:hint="eastAsia"/>
          <w:lang w:val="en-US" w:eastAsia="zh-CN"/>
        </w:rPr>
        <w:t>审批时间早于申请时间</w:t>
      </w:r>
    </w:p>
    <w:p>
      <w:pPr>
        <w:pStyle w:val="41"/>
        <w:bidi w:val="0"/>
        <w:rPr>
          <w:rFonts w:hint="default"/>
          <w:lang w:val="en-US" w:eastAsia="zh-CN"/>
        </w:rPr>
      </w:pPr>
      <w:r>
        <w:rPr>
          <w:rFonts w:hint="eastAsia"/>
          <w:lang w:val="en-US" w:eastAsia="zh-CN"/>
        </w:rPr>
        <w:t>如下图所示：村两委会审批时间为2021年11月14日，困难优抚对象申请时间为2021年11月22日。</w:t>
      </w:r>
    </w:p>
    <w:p>
      <w:pPr>
        <w:pStyle w:val="8"/>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438775" cy="13811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38775" cy="1381125"/>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5476240" cy="2820035"/>
            <wp:effectExtent l="0" t="0" r="10160" b="184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476240" cy="2820035"/>
                    </a:xfrm>
                    <a:prstGeom prst="rect">
                      <a:avLst/>
                    </a:prstGeom>
                    <a:noFill/>
                    <a:ln>
                      <a:noFill/>
                    </a:ln>
                  </pic:spPr>
                </pic:pic>
              </a:graphicData>
            </a:graphic>
          </wp:inline>
        </w:drawing>
      </w:r>
    </w:p>
    <w:p>
      <w:pPr>
        <w:pStyle w:val="40"/>
        <w:bidi w:val="0"/>
        <w:rPr>
          <w:rFonts w:hint="eastAsia" w:ascii="黑体" w:hAnsi="黑体" w:eastAsia="黑体" w:cs="黑体"/>
          <w:bCs/>
          <w:color w:val="000000" w:themeColor="text1"/>
          <w:szCs w:val="30"/>
          <w:lang w:val="zh-CN"/>
          <w14:textFill>
            <w14:solidFill>
              <w14:schemeClr w14:val="tx1"/>
            </w14:solidFill>
          </w14:textFill>
        </w:rPr>
      </w:pPr>
      <w:bookmarkStart w:id="48" w:name="_Toc12301"/>
      <w:r>
        <w:rPr>
          <w:rFonts w:hint="eastAsia"/>
        </w:rPr>
        <w:t>七、意见建议</w:t>
      </w:r>
      <w:bookmarkEnd w:id="48"/>
    </w:p>
    <w:p>
      <w:pPr>
        <w:pStyle w:val="41"/>
        <w:bidi w:val="0"/>
        <w:rPr>
          <w:rFonts w:hint="default"/>
          <w:lang w:val="en-US" w:eastAsia="zh-CN"/>
        </w:rPr>
      </w:pPr>
      <w:r>
        <w:rPr>
          <w:rFonts w:hint="eastAsia"/>
          <w:lang w:val="en-US" w:eastAsia="zh-CN"/>
        </w:rPr>
        <w:t>健全制度，强化管理，进一步制定、修订和完善各项规章制度，为工作的正常开展提供制度保障，做到有章可循，违章必究，促进项目实施制度化、规范化。</w:t>
      </w:r>
    </w:p>
    <w:p>
      <w:pPr>
        <w:pStyle w:val="40"/>
        <w:bidi w:val="0"/>
        <w:rPr>
          <w:rFonts w:hint="default" w:ascii="黑体" w:hAnsi="黑体" w:eastAsia="黑体" w:cs="黑体"/>
          <w:bCs/>
          <w:color w:val="000000" w:themeColor="text1"/>
          <w:szCs w:val="30"/>
          <w:lang w:val="en-US"/>
          <w14:textFill>
            <w14:solidFill>
              <w14:schemeClr w14:val="tx1"/>
            </w14:solidFill>
          </w14:textFill>
        </w:rPr>
      </w:pPr>
      <w:bookmarkStart w:id="49" w:name="_Toc26666"/>
      <w:r>
        <w:rPr>
          <w:rFonts w:hint="eastAsia"/>
          <w:lang w:val="en-US"/>
        </w:rPr>
        <w:t>八</w:t>
      </w:r>
      <w:r>
        <w:rPr>
          <w:rFonts w:hint="eastAsia"/>
          <w:lang w:val="en-US" w:eastAsia="zh-CN"/>
        </w:rPr>
        <w:t>、</w:t>
      </w:r>
      <w:r>
        <w:rPr>
          <w:rFonts w:hint="eastAsia"/>
          <w:lang w:val="en-US"/>
        </w:rPr>
        <w:t>其他方面</w:t>
      </w:r>
      <w:bookmarkEnd w:id="49"/>
    </w:p>
    <w:p>
      <w:pPr>
        <w:pStyle w:val="41"/>
        <w:bidi w:val="0"/>
        <w:rPr>
          <w:rFonts w:hint="eastAsia"/>
          <w:lang w:val="en-US" w:eastAsia="zh-CN"/>
        </w:rPr>
      </w:pPr>
      <w:r>
        <w:rPr>
          <w:rFonts w:hint="eastAsia"/>
          <w:lang w:val="en-US" w:eastAsia="zh-CN"/>
        </w:rPr>
        <w:t>评价组随机抽取20名困难退役军人进行线上调查，初次电话问卷过程中4名人员表示未收到过相关补贴。评价组对项目单位提供的银行卡号进行了转账尝试，系统提示转账成功。评价组对相关人员进行了电话回访并核对补贴发放的银行卡号，相关人员表示转账已收到。</w:t>
      </w:r>
    </w:p>
    <w:p>
      <w:pPr>
        <w:spacing w:line="360" w:lineRule="auto"/>
        <w:ind w:firstLine="602" w:firstLineChars="200"/>
        <w:jc w:val="both"/>
        <w:textAlignment w:val="baseline"/>
        <w:rPr>
          <w:rFonts w:hint="eastAsia" w:ascii="仿宋" w:hAnsi="仿宋" w:eastAsia="仿宋" w:cs="仿宋_GB2312"/>
          <w:b/>
          <w:bCs/>
          <w:color w:val="000000" w:themeColor="text1"/>
          <w:sz w:val="30"/>
          <w:szCs w:val="30"/>
          <w:lang w:val="zh-CN" w:bidi="zh-CN"/>
          <w14:textFill>
            <w14:solidFill>
              <w14:schemeClr w14:val="tx1"/>
            </w14:solidFill>
          </w14:textFill>
        </w:rPr>
      </w:pPr>
    </w:p>
    <w:p>
      <w:pPr>
        <w:spacing w:line="360" w:lineRule="auto"/>
        <w:ind w:firstLine="602" w:firstLineChars="200"/>
        <w:jc w:val="both"/>
        <w:textAlignment w:val="baseline"/>
        <w:rPr>
          <w:rFonts w:hint="eastAsia" w:ascii="仿宋" w:hAnsi="仿宋" w:eastAsia="仿宋" w:cs="仿宋_GB2312"/>
          <w:b/>
          <w:bCs/>
          <w:color w:val="000000" w:themeColor="text1"/>
          <w:sz w:val="30"/>
          <w:szCs w:val="30"/>
          <w:lang w:val="zh-CN" w:bidi="zh-CN"/>
          <w14:textFill>
            <w14:solidFill>
              <w14:schemeClr w14:val="tx1"/>
            </w14:solidFill>
          </w14:textFill>
        </w:rPr>
      </w:pPr>
    </w:p>
    <w:p>
      <w:pPr>
        <w:spacing w:line="360" w:lineRule="auto"/>
        <w:ind w:firstLine="602" w:firstLineChars="200"/>
        <w:jc w:val="both"/>
        <w:textAlignment w:val="baseline"/>
        <w:rPr>
          <w:rFonts w:hint="eastAsia" w:ascii="仿宋" w:hAnsi="仿宋" w:eastAsia="仿宋" w:cs="仿宋_GB2312"/>
          <w:b/>
          <w:bCs/>
          <w:color w:val="000000" w:themeColor="text1"/>
          <w:sz w:val="30"/>
          <w:szCs w:val="30"/>
          <w:lang w:val="zh-CN" w:bidi="zh-CN"/>
          <w14:textFill>
            <w14:solidFill>
              <w14:schemeClr w14:val="tx1"/>
            </w14:solidFill>
          </w14:textFill>
        </w:rPr>
      </w:pPr>
    </w:p>
    <w:p>
      <w:pPr>
        <w:spacing w:line="360" w:lineRule="auto"/>
        <w:ind w:firstLine="640" w:firstLineChars="200"/>
        <w:jc w:val="both"/>
        <w:textAlignment w:val="baseline"/>
        <w:rPr>
          <w:rStyle w:val="63"/>
          <w:rFonts w:hint="eastAsia"/>
          <w:lang w:val="zh-CN"/>
        </w:rPr>
      </w:pPr>
    </w:p>
    <w:p>
      <w:pPr>
        <w:spacing w:line="360" w:lineRule="auto"/>
        <w:ind w:firstLine="640" w:firstLineChars="200"/>
        <w:jc w:val="both"/>
        <w:textAlignment w:val="baseline"/>
        <w:rPr>
          <w:rFonts w:ascii="仿宋" w:hAnsi="仿宋" w:eastAsia="仿宋" w:cs="仿宋_GB2312"/>
          <w:b/>
          <w:bCs/>
          <w:color w:val="000000" w:themeColor="text1"/>
          <w:sz w:val="30"/>
          <w:szCs w:val="30"/>
          <w:lang w:val="zh-CN" w:bidi="zh-CN"/>
          <w14:textFill>
            <w14:solidFill>
              <w14:schemeClr w14:val="tx1"/>
            </w14:solidFill>
          </w14:textFill>
        </w:rPr>
      </w:pPr>
      <w:bookmarkStart w:id="50" w:name="_GoBack"/>
      <w:bookmarkEnd w:id="50"/>
      <w:r>
        <w:rPr>
          <w:rStyle w:val="63"/>
          <w:rFonts w:hint="eastAsia"/>
          <w:lang w:val="zh-CN"/>
        </w:rPr>
        <w:t>附表：</w:t>
      </w:r>
      <w:r>
        <w:rPr>
          <w:rFonts w:hint="eastAsia" w:ascii="仿宋" w:hAnsi="仿宋" w:eastAsia="仿宋" w:cs="仿宋_GB2312"/>
          <w:b/>
          <w:bCs/>
          <w:color w:val="000000" w:themeColor="text1"/>
          <w:sz w:val="30"/>
          <w:szCs w:val="30"/>
          <w:lang w:val="zh-CN" w:bidi="zh-CN"/>
          <w14:textFill>
            <w14:solidFill>
              <w14:schemeClr w14:val="tx1"/>
            </w14:solidFill>
          </w14:textFill>
        </w:rPr>
        <w:t xml:space="preserve"> </w:t>
      </w:r>
    </w:p>
    <w:p>
      <w:pPr>
        <w:pStyle w:val="41"/>
        <w:bidi w:val="0"/>
        <w:rPr>
          <w:rFonts w:hint="eastAsia"/>
          <w:lang w:val="en-US"/>
        </w:rPr>
      </w:pPr>
      <w:r>
        <w:rPr>
          <w:rFonts w:hint="eastAsia"/>
          <w:lang w:val="en-US"/>
        </w:rPr>
        <w:t>1.遵化市退役军人事务局2022年优抚对象解三难资金项目绩效评价得分情况表</w:t>
      </w:r>
    </w:p>
    <w:p>
      <w:pPr>
        <w:pStyle w:val="41"/>
        <w:bidi w:val="0"/>
        <w:rPr>
          <w:rFonts w:hint="eastAsia"/>
          <w:lang w:val="en-US"/>
        </w:rPr>
      </w:pPr>
      <w:r>
        <w:rPr>
          <w:rFonts w:hint="eastAsia"/>
          <w:lang w:val="zh-CN"/>
        </w:rPr>
        <w:t>2</w:t>
      </w:r>
      <w:r>
        <w:rPr>
          <w:rFonts w:hint="eastAsia"/>
          <w:lang w:val="en-US"/>
        </w:rPr>
        <w:t>.遵化市退役军人事务局2022年优抚对象解三难资金项目绩效评价指标表</w:t>
      </w:r>
    </w:p>
    <w:p>
      <w:pPr>
        <w:pStyle w:val="41"/>
        <w:bidi w:val="0"/>
        <w:rPr>
          <w:rFonts w:hint="eastAsia"/>
          <w:lang w:val="en-US"/>
        </w:rPr>
      </w:pPr>
      <w:r>
        <w:rPr>
          <w:rFonts w:hint="eastAsia"/>
          <w:lang w:val="en-US"/>
        </w:rPr>
        <w:t>3.遵化市退役军人事务局2022年优抚对象解三难资金项目电话调查问卷统计表</w:t>
      </w:r>
    </w:p>
    <w:p>
      <w:pPr>
        <w:pStyle w:val="41"/>
        <w:bidi w:val="0"/>
        <w:rPr>
          <w:rFonts w:hint="eastAsia"/>
          <w:lang w:val="en-US"/>
        </w:rPr>
      </w:pPr>
      <w:r>
        <w:rPr>
          <w:rFonts w:hint="eastAsia"/>
          <w:lang w:val="en-US"/>
        </w:rPr>
        <w:t>4.遵化市退役军人服务局2022年优抚对象解三难资金项目电话调查问卷汇总表</w:t>
      </w: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F0CA7-AC73-4ABF-B35D-21E7B95C29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63EBA2-AD17-48B1-82DA-A29F508485A0}"/>
  </w:font>
  <w:font w:name="仿宋">
    <w:panose1 w:val="02010609060101010101"/>
    <w:charset w:val="86"/>
    <w:family w:val="modern"/>
    <w:pitch w:val="default"/>
    <w:sig w:usb0="800002BF" w:usb1="38CF7CFA" w:usb2="00000016" w:usb3="00000000" w:csb0="00040001" w:csb1="00000000"/>
    <w:embedRegular r:id="rId3" w:fontKey="{7925FA50-33F7-464A-8B12-3C3FC39CF3E7}"/>
  </w:font>
  <w:font w:name="方正小标宋简体">
    <w:panose1 w:val="02000000000000000000"/>
    <w:charset w:val="86"/>
    <w:family w:val="auto"/>
    <w:pitch w:val="default"/>
    <w:sig w:usb0="00000001" w:usb1="08000000" w:usb2="00000000" w:usb3="00000000" w:csb0="00040000" w:csb1="00000000"/>
    <w:embedRegular r:id="rId4" w:fontKey="{D4744F60-DECA-4E70-847B-0243D2574929}"/>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embedRegular r:id="rId5" w:fontKey="{7D6F0DDD-1220-4C22-B791-41811E0461CE}"/>
  </w:font>
  <w:font w:name="新宋体">
    <w:panose1 w:val="02010609030101010101"/>
    <w:charset w:val="86"/>
    <w:family w:val="modern"/>
    <w:pitch w:val="default"/>
    <w:sig w:usb0="00000283" w:usb1="288F0000" w:usb2="00000006" w:usb3="00000000" w:csb0="00040001" w:csb1="00000000"/>
    <w:embedRegular r:id="rId6" w:fontKey="{81A36921-C38D-4410-B5CB-7941DB0BD69A}"/>
  </w:font>
  <w:font w:name="华文楷体">
    <w:panose1 w:val="02010600040101010101"/>
    <w:charset w:val="86"/>
    <w:family w:val="auto"/>
    <w:pitch w:val="default"/>
    <w:sig w:usb0="00000287" w:usb1="080F0000" w:usb2="00000000" w:usb3="00000000" w:csb0="0004009F" w:csb1="DFD70000"/>
    <w:embedRegular r:id="rId7" w:fontKey="{D85E5D53-86A1-41C5-BA28-CF66036714AA}"/>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 xml:space="preserve"> 14</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 xml:space="preserve"> 14</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遵化市退役军人事务局2022年优抚对象解三难资金项目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2173"/>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614"/>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414147C"/>
    <w:rsid w:val="044C0C16"/>
    <w:rsid w:val="044C6E68"/>
    <w:rsid w:val="049A58D3"/>
    <w:rsid w:val="04B073F7"/>
    <w:rsid w:val="04D501F8"/>
    <w:rsid w:val="04D8694E"/>
    <w:rsid w:val="05263468"/>
    <w:rsid w:val="05BD34C6"/>
    <w:rsid w:val="06040568"/>
    <w:rsid w:val="06AC0F25"/>
    <w:rsid w:val="06BD6003"/>
    <w:rsid w:val="08E3549B"/>
    <w:rsid w:val="08ED4403"/>
    <w:rsid w:val="092254AC"/>
    <w:rsid w:val="093C001B"/>
    <w:rsid w:val="09E50FA8"/>
    <w:rsid w:val="0B686E0F"/>
    <w:rsid w:val="0B8503B4"/>
    <w:rsid w:val="0BA40C75"/>
    <w:rsid w:val="0BD4298E"/>
    <w:rsid w:val="0DA848D0"/>
    <w:rsid w:val="0DEA241E"/>
    <w:rsid w:val="0E0124A9"/>
    <w:rsid w:val="0E2877D0"/>
    <w:rsid w:val="0F232C0E"/>
    <w:rsid w:val="0F84609F"/>
    <w:rsid w:val="0FDA17CC"/>
    <w:rsid w:val="10C30531"/>
    <w:rsid w:val="11115459"/>
    <w:rsid w:val="11AB23AA"/>
    <w:rsid w:val="12584A32"/>
    <w:rsid w:val="131F4B85"/>
    <w:rsid w:val="1354447C"/>
    <w:rsid w:val="14CA009D"/>
    <w:rsid w:val="15AF0464"/>
    <w:rsid w:val="15DF4FB2"/>
    <w:rsid w:val="15FA2BC8"/>
    <w:rsid w:val="16C260F0"/>
    <w:rsid w:val="16EC1B0F"/>
    <w:rsid w:val="1711481A"/>
    <w:rsid w:val="17EC1A1B"/>
    <w:rsid w:val="186B171B"/>
    <w:rsid w:val="188E339C"/>
    <w:rsid w:val="18CB25F9"/>
    <w:rsid w:val="19B054B3"/>
    <w:rsid w:val="1A5D6F52"/>
    <w:rsid w:val="1A7949F4"/>
    <w:rsid w:val="1B3C45FF"/>
    <w:rsid w:val="1B6B767C"/>
    <w:rsid w:val="1BE96DA4"/>
    <w:rsid w:val="1C5754D7"/>
    <w:rsid w:val="1C5C013C"/>
    <w:rsid w:val="1C817C78"/>
    <w:rsid w:val="1C835314"/>
    <w:rsid w:val="1F75556F"/>
    <w:rsid w:val="1F993BDF"/>
    <w:rsid w:val="20492CFD"/>
    <w:rsid w:val="20EF6765"/>
    <w:rsid w:val="238E4C84"/>
    <w:rsid w:val="25102EC3"/>
    <w:rsid w:val="27150C90"/>
    <w:rsid w:val="284101E2"/>
    <w:rsid w:val="289D7DA2"/>
    <w:rsid w:val="29915199"/>
    <w:rsid w:val="2AE5579D"/>
    <w:rsid w:val="2B0C1FDA"/>
    <w:rsid w:val="2F5D3F8F"/>
    <w:rsid w:val="2F6955C8"/>
    <w:rsid w:val="2F7E2A72"/>
    <w:rsid w:val="2FA01BB6"/>
    <w:rsid w:val="309679D2"/>
    <w:rsid w:val="31567508"/>
    <w:rsid w:val="327708BF"/>
    <w:rsid w:val="329428E2"/>
    <w:rsid w:val="336165A4"/>
    <w:rsid w:val="33744269"/>
    <w:rsid w:val="33C57B0C"/>
    <w:rsid w:val="346321BB"/>
    <w:rsid w:val="35443689"/>
    <w:rsid w:val="360D457A"/>
    <w:rsid w:val="3646059A"/>
    <w:rsid w:val="36781C61"/>
    <w:rsid w:val="36E20DE2"/>
    <w:rsid w:val="37210C65"/>
    <w:rsid w:val="37EF5A09"/>
    <w:rsid w:val="387719FE"/>
    <w:rsid w:val="388C7258"/>
    <w:rsid w:val="38A04AB1"/>
    <w:rsid w:val="38B10437"/>
    <w:rsid w:val="39BE0ACC"/>
    <w:rsid w:val="3B3F3604"/>
    <w:rsid w:val="3CD2571E"/>
    <w:rsid w:val="3D525B89"/>
    <w:rsid w:val="3DEC5291"/>
    <w:rsid w:val="3E79102E"/>
    <w:rsid w:val="3EBD718B"/>
    <w:rsid w:val="3F0464D4"/>
    <w:rsid w:val="40503350"/>
    <w:rsid w:val="406A6ED2"/>
    <w:rsid w:val="4093139F"/>
    <w:rsid w:val="40BA6BEE"/>
    <w:rsid w:val="41175B2C"/>
    <w:rsid w:val="426C06D4"/>
    <w:rsid w:val="42755200"/>
    <w:rsid w:val="42A461D5"/>
    <w:rsid w:val="439271FF"/>
    <w:rsid w:val="43941B0C"/>
    <w:rsid w:val="443F1AB1"/>
    <w:rsid w:val="4490644F"/>
    <w:rsid w:val="45020FF2"/>
    <w:rsid w:val="45E91091"/>
    <w:rsid w:val="465C608A"/>
    <w:rsid w:val="46910613"/>
    <w:rsid w:val="47305B9A"/>
    <w:rsid w:val="481F55E7"/>
    <w:rsid w:val="483E2CF5"/>
    <w:rsid w:val="484241B8"/>
    <w:rsid w:val="48847F4B"/>
    <w:rsid w:val="48924C93"/>
    <w:rsid w:val="48D53720"/>
    <w:rsid w:val="493D6DA4"/>
    <w:rsid w:val="4A215C27"/>
    <w:rsid w:val="4C45046E"/>
    <w:rsid w:val="4C903B50"/>
    <w:rsid w:val="4CD64D36"/>
    <w:rsid w:val="4CF00129"/>
    <w:rsid w:val="4D4C7943"/>
    <w:rsid w:val="4E2F2C3D"/>
    <w:rsid w:val="4E577EB0"/>
    <w:rsid w:val="4F391364"/>
    <w:rsid w:val="4F4F52B5"/>
    <w:rsid w:val="4FB0653A"/>
    <w:rsid w:val="4FE41EFB"/>
    <w:rsid w:val="515B02E3"/>
    <w:rsid w:val="51B04DD1"/>
    <w:rsid w:val="51B16329"/>
    <w:rsid w:val="524C511B"/>
    <w:rsid w:val="528C359C"/>
    <w:rsid w:val="52955ABE"/>
    <w:rsid w:val="537A2BAA"/>
    <w:rsid w:val="53B042EA"/>
    <w:rsid w:val="53E050EE"/>
    <w:rsid w:val="549F0B94"/>
    <w:rsid w:val="54A0007E"/>
    <w:rsid w:val="54A62B0A"/>
    <w:rsid w:val="54EF5C55"/>
    <w:rsid w:val="54F46459"/>
    <w:rsid w:val="54FF3DA0"/>
    <w:rsid w:val="55095F58"/>
    <w:rsid w:val="563A5AA7"/>
    <w:rsid w:val="573E1723"/>
    <w:rsid w:val="575F7F14"/>
    <w:rsid w:val="59254F8A"/>
    <w:rsid w:val="595B7131"/>
    <w:rsid w:val="59902CF9"/>
    <w:rsid w:val="5A251C79"/>
    <w:rsid w:val="5A295C01"/>
    <w:rsid w:val="5A322A73"/>
    <w:rsid w:val="5B3B4064"/>
    <w:rsid w:val="5B9E24E1"/>
    <w:rsid w:val="5C21005E"/>
    <w:rsid w:val="5C425CFC"/>
    <w:rsid w:val="5C4721D0"/>
    <w:rsid w:val="5CF01F04"/>
    <w:rsid w:val="5E532196"/>
    <w:rsid w:val="5EE150CE"/>
    <w:rsid w:val="5FF636E0"/>
    <w:rsid w:val="606904C2"/>
    <w:rsid w:val="60B86515"/>
    <w:rsid w:val="61FF42D8"/>
    <w:rsid w:val="622B0FE0"/>
    <w:rsid w:val="622F7804"/>
    <w:rsid w:val="62887D4A"/>
    <w:rsid w:val="63133F4E"/>
    <w:rsid w:val="633833D6"/>
    <w:rsid w:val="633A3175"/>
    <w:rsid w:val="63BF2892"/>
    <w:rsid w:val="6556579E"/>
    <w:rsid w:val="65833FDE"/>
    <w:rsid w:val="665912E8"/>
    <w:rsid w:val="66A8455E"/>
    <w:rsid w:val="679109C9"/>
    <w:rsid w:val="684C7ED7"/>
    <w:rsid w:val="690B5C60"/>
    <w:rsid w:val="69A073F1"/>
    <w:rsid w:val="6A494BEF"/>
    <w:rsid w:val="6AA3564D"/>
    <w:rsid w:val="6D4B0788"/>
    <w:rsid w:val="6D504110"/>
    <w:rsid w:val="6D5C48D6"/>
    <w:rsid w:val="703A5210"/>
    <w:rsid w:val="70545C15"/>
    <w:rsid w:val="70700C31"/>
    <w:rsid w:val="710D46D2"/>
    <w:rsid w:val="71416E99"/>
    <w:rsid w:val="724506DD"/>
    <w:rsid w:val="72560A78"/>
    <w:rsid w:val="72BF19FC"/>
    <w:rsid w:val="73CD43C4"/>
    <w:rsid w:val="741507BF"/>
    <w:rsid w:val="744D7DC9"/>
    <w:rsid w:val="74884203"/>
    <w:rsid w:val="749B05BF"/>
    <w:rsid w:val="76533A9A"/>
    <w:rsid w:val="7695762E"/>
    <w:rsid w:val="76E21684"/>
    <w:rsid w:val="77006FDD"/>
    <w:rsid w:val="772462D2"/>
    <w:rsid w:val="77863E64"/>
    <w:rsid w:val="79033361"/>
    <w:rsid w:val="79360875"/>
    <w:rsid w:val="798B6ADC"/>
    <w:rsid w:val="7A561C55"/>
    <w:rsid w:val="7ADD493B"/>
    <w:rsid w:val="7AE755CA"/>
    <w:rsid w:val="7BB83E64"/>
    <w:rsid w:val="7C1D4A5F"/>
    <w:rsid w:val="7CCD0704"/>
    <w:rsid w:val="7DC83252"/>
    <w:rsid w:val="7E5F5E41"/>
    <w:rsid w:val="7E7E0B3D"/>
    <w:rsid w:val="7E905F18"/>
    <w:rsid w:val="7F6B7A06"/>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38">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39">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40">
    <w:name w:val="新正一级标题"/>
    <w:basedOn w:val="8"/>
    <w:next w:val="5"/>
    <w:link w:val="63"/>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41">
    <w:name w:val="新正正文"/>
    <w:basedOn w:val="1"/>
    <w:qFormat/>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63">
    <w:name w:val="新正一级标题 Char"/>
    <w:link w:val="40"/>
    <w:uiPriority w:val="0"/>
    <w:rPr>
      <w:rFonts w:hint="eastAsia" w:ascii="黑体" w:hAnsi="黑体" w:eastAsia="黑体" w:cs="黑体"/>
      <w:bCs/>
      <w:color w:val="auto"/>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17</Pages>
  <Words>5854</Words>
  <Characters>6398</Characters>
  <Lines>68</Lines>
  <Paragraphs>19</Paragraphs>
  <TotalTime>41</TotalTime>
  <ScaleCrop>false</ScaleCrop>
  <LinksUpToDate>false</LinksUpToDate>
  <CharactersWithSpaces>6548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Xin12345</cp:lastModifiedBy>
  <cp:lastPrinted>2023-05-09T02:51:00Z</cp:lastPrinted>
  <dcterms:modified xsi:type="dcterms:W3CDTF">2023-08-17T07:11:21Z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8E3A4EEF111C4FD19C307001537481C1_13</vt:lpwstr>
  </property>
</Properties>
</file>