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20"/>
        <w:rPr>
          <w:b/>
          <w:bCs/>
          <w:w w:val="99"/>
          <w:sz w:val="48"/>
          <w:szCs w:val="48"/>
          <w:highlight w:val="green"/>
        </w:rPr>
      </w:pPr>
      <w:bookmarkStart w:id="0" w:name="_Hlk521009067"/>
    </w:p>
    <w:p>
      <w:pPr>
        <w:spacing w:before="120" w:beforeLines="50" w:after="120" w:afterLines="50"/>
        <w:ind w:firstLine="0" w:firstLineChars="0"/>
        <w:jc w:val="center"/>
        <w:rPr>
          <w:b/>
          <w:bCs/>
          <w:w w:val="99"/>
          <w:sz w:val="48"/>
          <w:szCs w:val="48"/>
          <w:highlight w:val="green"/>
        </w:rPr>
      </w:pPr>
    </w:p>
    <w:p>
      <w:pPr>
        <w:spacing w:before="50" w:after="50"/>
        <w:ind w:firstLine="0" w:firstLineChars="0"/>
        <w:jc w:val="center"/>
        <w:rPr>
          <w:rFonts w:hint="eastAsia"/>
          <w:b/>
          <w:bCs/>
          <w:w w:val="99"/>
          <w:sz w:val="44"/>
          <w:szCs w:val="44"/>
          <w:highlight w:val="none"/>
        </w:rPr>
      </w:pPr>
      <w:r>
        <w:rPr>
          <w:rFonts w:hint="eastAsia"/>
          <w:b/>
          <w:bCs/>
          <w:w w:val="99"/>
          <w:sz w:val="44"/>
          <w:szCs w:val="44"/>
          <w:highlight w:val="none"/>
        </w:rPr>
        <w:t>遵化市恒泰矿业有限公司</w:t>
      </w:r>
    </w:p>
    <w:p>
      <w:pPr>
        <w:spacing w:before="50" w:after="50"/>
        <w:ind w:firstLine="0" w:firstLineChars="0"/>
        <w:jc w:val="center"/>
        <w:rPr>
          <w:b/>
          <w:bCs/>
          <w:spacing w:val="-28"/>
          <w:w w:val="99"/>
          <w:sz w:val="44"/>
          <w:szCs w:val="44"/>
          <w:highlight w:val="none"/>
        </w:rPr>
      </w:pPr>
      <w:r>
        <w:rPr>
          <w:rFonts w:hint="eastAsia"/>
          <w:b/>
          <w:bCs/>
          <w:spacing w:val="-28"/>
          <w:w w:val="99"/>
          <w:sz w:val="44"/>
          <w:szCs w:val="44"/>
          <w:highlight w:val="none"/>
        </w:rPr>
        <w:t>年处理</w:t>
      </w:r>
      <w:r>
        <w:rPr>
          <w:rFonts w:hint="eastAsia"/>
          <w:b/>
          <w:bCs/>
          <w:spacing w:val="-28"/>
          <w:w w:val="99"/>
          <w:sz w:val="44"/>
          <w:szCs w:val="44"/>
          <w:highlight w:val="none"/>
          <w:lang w:val="en-US" w:eastAsia="zh-CN"/>
        </w:rPr>
        <w:t>60</w:t>
      </w:r>
      <w:r>
        <w:rPr>
          <w:rFonts w:hint="eastAsia"/>
          <w:b/>
          <w:bCs/>
          <w:spacing w:val="-28"/>
          <w:w w:val="99"/>
          <w:sz w:val="44"/>
          <w:szCs w:val="44"/>
          <w:highlight w:val="none"/>
        </w:rPr>
        <w:t>万吨铁矿石、30万吨粗精矿</w:t>
      </w:r>
      <w:r>
        <w:rPr>
          <w:rFonts w:hint="eastAsia"/>
          <w:b/>
          <w:bCs/>
          <w:spacing w:val="-28"/>
          <w:w w:val="99"/>
          <w:sz w:val="44"/>
          <w:szCs w:val="44"/>
          <w:highlight w:val="none"/>
          <w:lang w:val="en-US" w:eastAsia="zh-CN"/>
        </w:rPr>
        <w:t>改扩建</w:t>
      </w:r>
      <w:r>
        <w:rPr>
          <w:rFonts w:hint="eastAsia"/>
          <w:b/>
          <w:bCs/>
          <w:spacing w:val="-28"/>
          <w:w w:val="99"/>
          <w:sz w:val="44"/>
          <w:szCs w:val="44"/>
          <w:highlight w:val="none"/>
        </w:rPr>
        <w:t>项目</w:t>
      </w:r>
    </w:p>
    <w:p>
      <w:pPr>
        <w:spacing w:before="50" w:after="50"/>
        <w:ind w:firstLine="0" w:firstLineChars="0"/>
        <w:jc w:val="center"/>
        <w:rPr>
          <w:b/>
          <w:bCs/>
          <w:w w:val="99"/>
          <w:sz w:val="48"/>
          <w:szCs w:val="48"/>
          <w:highlight w:val="none"/>
        </w:rPr>
      </w:pPr>
      <w:r>
        <w:rPr>
          <w:b/>
          <w:bCs/>
          <w:w w:val="99"/>
          <w:sz w:val="48"/>
          <w:szCs w:val="48"/>
          <w:highlight w:val="none"/>
        </w:rPr>
        <w:t>环境影响报告书</w:t>
      </w:r>
    </w:p>
    <w:p>
      <w:pPr>
        <w:spacing w:before="120" w:beforeLines="50"/>
        <w:ind w:firstLine="0" w:firstLineChars="0"/>
        <w:jc w:val="center"/>
        <w:rPr>
          <w:b/>
          <w:bCs/>
          <w:sz w:val="36"/>
          <w:szCs w:val="36"/>
          <w:highlight w:val="none"/>
        </w:rPr>
      </w:pPr>
      <w:r>
        <w:rPr>
          <w:b/>
          <w:bCs/>
          <w:sz w:val="36"/>
          <w:szCs w:val="36"/>
          <w:highlight w:val="none"/>
        </w:rPr>
        <w:t>（</w:t>
      </w:r>
      <w:r>
        <w:rPr>
          <w:rFonts w:hint="eastAsia"/>
          <w:b/>
          <w:bCs/>
          <w:sz w:val="36"/>
          <w:szCs w:val="36"/>
          <w:highlight w:val="none"/>
        </w:rPr>
        <w:t>报</w:t>
      </w:r>
      <w:r>
        <w:rPr>
          <w:rFonts w:hint="eastAsia"/>
          <w:b/>
          <w:bCs/>
          <w:sz w:val="36"/>
          <w:szCs w:val="36"/>
          <w:highlight w:val="none"/>
          <w:lang w:val="en-US" w:eastAsia="zh-CN"/>
        </w:rPr>
        <w:t>审</w:t>
      </w:r>
      <w:r>
        <w:rPr>
          <w:rFonts w:hint="eastAsia"/>
          <w:b/>
          <w:bCs/>
          <w:sz w:val="36"/>
          <w:szCs w:val="36"/>
          <w:highlight w:val="none"/>
        </w:rPr>
        <w:t>版</w:t>
      </w:r>
      <w:r>
        <w:rPr>
          <w:b/>
          <w:bCs/>
          <w:sz w:val="36"/>
          <w:szCs w:val="36"/>
          <w:highlight w:val="none"/>
        </w:rPr>
        <w:t>）</w:t>
      </w:r>
    </w:p>
    <w:p>
      <w:pPr>
        <w:spacing w:before="50" w:after="50"/>
        <w:ind w:firstLine="0" w:firstLineChars="0"/>
        <w:jc w:val="center"/>
        <w:rPr>
          <w:b/>
          <w:bCs/>
          <w:w w:val="99"/>
          <w:sz w:val="48"/>
          <w:szCs w:val="48"/>
          <w:highlight w:val="green"/>
        </w:rPr>
      </w:pPr>
    </w:p>
    <w:p>
      <w:pPr>
        <w:spacing w:before="50" w:after="50"/>
        <w:ind w:firstLine="0" w:firstLineChars="0"/>
        <w:jc w:val="center"/>
        <w:rPr>
          <w:b/>
          <w:bCs/>
          <w:w w:val="99"/>
          <w:sz w:val="48"/>
          <w:szCs w:val="48"/>
          <w:highlight w:val="green"/>
        </w:rPr>
      </w:pPr>
    </w:p>
    <w:p>
      <w:pPr>
        <w:spacing w:before="50" w:after="50"/>
        <w:ind w:firstLine="0" w:firstLineChars="0"/>
        <w:jc w:val="center"/>
        <w:rPr>
          <w:b/>
          <w:bCs/>
          <w:w w:val="99"/>
          <w:sz w:val="48"/>
          <w:szCs w:val="48"/>
          <w:highlight w:val="green"/>
        </w:rPr>
      </w:pPr>
    </w:p>
    <w:p>
      <w:pPr>
        <w:spacing w:before="50" w:after="50"/>
        <w:ind w:firstLine="0" w:firstLineChars="0"/>
        <w:jc w:val="center"/>
        <w:rPr>
          <w:b/>
          <w:bCs/>
          <w:w w:val="99"/>
          <w:sz w:val="48"/>
          <w:szCs w:val="48"/>
          <w:highlight w:val="green"/>
        </w:rPr>
      </w:pPr>
    </w:p>
    <w:p>
      <w:pPr>
        <w:spacing w:before="50" w:after="50"/>
        <w:ind w:firstLine="0" w:firstLineChars="0"/>
        <w:jc w:val="center"/>
        <w:rPr>
          <w:b/>
          <w:bCs/>
          <w:w w:val="99"/>
          <w:sz w:val="48"/>
          <w:szCs w:val="48"/>
          <w:highlight w:val="green"/>
        </w:rPr>
      </w:pPr>
      <w:bookmarkStart w:id="828" w:name="_GoBack"/>
      <w:bookmarkEnd w:id="828"/>
    </w:p>
    <w:p>
      <w:pPr>
        <w:spacing w:before="120" w:beforeLines="50" w:after="120" w:afterLines="50"/>
        <w:ind w:firstLine="1506" w:firstLineChars="500"/>
        <w:rPr>
          <w:rFonts w:hAnsi="宋体"/>
          <w:b/>
          <w:bCs/>
          <w:sz w:val="30"/>
          <w:szCs w:val="30"/>
          <w:highlight w:val="none"/>
        </w:rPr>
      </w:pPr>
      <w:r>
        <w:rPr>
          <w:rFonts w:hAnsi="宋体"/>
          <w:b/>
          <w:sz w:val="30"/>
          <w:szCs w:val="30"/>
          <w:highlight w:val="none"/>
        </w:rPr>
        <w:t>建设单位：</w:t>
      </w:r>
      <w:r>
        <w:rPr>
          <w:rFonts w:hint="eastAsia" w:hAnsi="宋体"/>
          <w:b/>
          <w:sz w:val="30"/>
          <w:szCs w:val="30"/>
          <w:highlight w:val="none"/>
        </w:rPr>
        <w:t>遵化市恒泰矿业有限公司</w:t>
      </w:r>
    </w:p>
    <w:bookmarkEnd w:id="0"/>
    <w:p>
      <w:pPr>
        <w:pStyle w:val="33"/>
        <w:ind w:firstLine="562"/>
        <w:jc w:val="center"/>
        <w:rPr>
          <w:rFonts w:ascii="Times New Roman" w:hAnsi="Times New Roman" w:cs="Times New Roman"/>
          <w:bCs w:val="0"/>
          <w:caps w:val="0"/>
          <w:sz w:val="28"/>
          <w:highlight w:val="none"/>
        </w:rPr>
        <w:sectPr>
          <w:headerReference r:id="rId7" w:type="first"/>
          <w:footerReference r:id="rId9" w:type="first"/>
          <w:headerReference r:id="rId5" w:type="default"/>
          <w:headerReference r:id="rId6" w:type="even"/>
          <w:footerReference r:id="rId8" w:type="even"/>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linePitch="312" w:charSpace="0"/>
        </w:sectPr>
      </w:pPr>
      <w:r>
        <w:rPr>
          <w:rFonts w:ascii="Times New Roman" w:hAnsi="Times New Roman" w:cs="Times New Roman"/>
          <w:bCs w:val="0"/>
          <w:caps w:val="0"/>
          <w:sz w:val="28"/>
          <w:highlight w:val="none"/>
        </w:rPr>
        <w:t>20</w:t>
      </w:r>
      <w:r>
        <w:rPr>
          <w:rFonts w:hint="eastAsia" w:ascii="Times New Roman" w:hAnsi="Times New Roman" w:cs="Times New Roman"/>
          <w:bCs w:val="0"/>
          <w:caps w:val="0"/>
          <w:sz w:val="28"/>
          <w:highlight w:val="none"/>
          <w:lang w:val="en-US" w:eastAsia="zh-CN"/>
        </w:rPr>
        <w:t>23</w:t>
      </w:r>
      <w:r>
        <w:rPr>
          <w:rFonts w:ascii="Times New Roman" w:hAnsi="Times New Roman" w:cs="Times New Roman"/>
          <w:bCs w:val="0"/>
          <w:caps w:val="0"/>
          <w:sz w:val="28"/>
          <w:highlight w:val="none"/>
        </w:rPr>
        <w:t>年</w:t>
      </w:r>
      <w:r>
        <w:rPr>
          <w:rFonts w:ascii="Times New Roman" w:hAnsi="Times New Roman" w:cs="Times New Roman"/>
          <w:sz w:val="28"/>
          <w:szCs w:val="30"/>
          <w:highlight w:val="none"/>
        </w:rPr>
        <w:t>5</w:t>
      </w:r>
      <w:r>
        <w:rPr>
          <w:rFonts w:ascii="Times New Roman" w:hAnsi="Times New Roman" w:cs="Times New Roman"/>
          <w:bCs w:val="0"/>
          <w:caps w:val="0"/>
          <w:sz w:val="28"/>
          <w:highlight w:val="none"/>
        </w:rPr>
        <w:t>月</w:t>
      </w:r>
    </w:p>
    <w:p>
      <w:pPr>
        <w:pStyle w:val="33"/>
        <w:ind w:firstLine="402"/>
        <w:jc w:val="center"/>
        <w:rPr>
          <w:rFonts w:ascii="Times New Roman" w:hAnsi="Times New Roman" w:cs="Times New Roman"/>
          <w:highlight w:val="green"/>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linePitch="312" w:charSpace="0"/>
        </w:sectPr>
      </w:pPr>
    </w:p>
    <w:p>
      <w:pPr>
        <w:pStyle w:val="33"/>
        <w:ind w:firstLine="643"/>
        <w:jc w:val="center"/>
        <w:rPr>
          <w:rFonts w:ascii="Times New Roman" w:hAnsi="Times New Roman" w:cs="Times New Roman"/>
          <w:sz w:val="32"/>
          <w:szCs w:val="32"/>
          <w:highlight w:val="none"/>
        </w:rPr>
      </w:pPr>
      <w:r>
        <w:rPr>
          <w:rFonts w:ascii="Times New Roman" w:hAnsi="Times New Roman" w:cs="Times New Roman"/>
          <w:sz w:val="32"/>
          <w:szCs w:val="32"/>
          <w:highlight w:val="none"/>
        </w:rPr>
        <w:pict>
          <v:shape id="_x0000_s1027" o:spid="_x0000_s1027" o:spt="202" type="#_x0000_t202" style="position:absolute;left:0pt;margin-left:452.1pt;margin-top:177pt;height:31.35pt;width:177.15pt;z-index:251664384;mso-width-relative:margin;mso-height-relative:margin;mso-height-percent:200;"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">
            <v:path/>
            <v:fill on="f" focussize="0,0"/>
            <v:stroke on="f" joinstyle="miter"/>
            <v:imagedata o:title=""/>
            <o:lock v:ext="edit"/>
            <v:textbox style="mso-fit-shape-to-text:t;">
              <w:txbxContent>
                <w:p>
                  <w:pPr>
                    <w:ind w:firstLine="562"/>
                    <w:rPr>
                      <w:b/>
                      <w:szCs w:val="28"/>
                    </w:rPr>
                  </w:pPr>
                </w:p>
              </w:txbxContent>
            </v:textbox>
          </v:shape>
        </w:pict>
      </w:r>
      <w:r>
        <w:rPr>
          <w:rFonts w:ascii="Times New Roman" w:cs="Times New Roman"/>
          <w:sz w:val="32"/>
          <w:szCs w:val="32"/>
          <w:highlight w:val="none"/>
        </w:rPr>
        <w:t>目录</w:t>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TOC \o "1-2" \u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概述</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_Toc536557271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1.1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项目由来</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_Toc536557272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1.2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建设项目特点</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_Toc536557273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2</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1.3</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环境影响评价工作过程</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_Toc536557274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2</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1.4</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分析判定相关情况</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_Toc536557275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2</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1.5</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关注的主要环境问题及环境影响</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_Toc536557276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3</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1.6</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环境影响报告主要结论</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_Toc536557277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4</w:t>
      </w:r>
      <w:r>
        <w:rPr>
          <w:rFonts w:ascii="Times New Roman" w:hAnsi="Times New Roman" w:cs="Times New Roman"/>
          <w:sz w:val="24"/>
          <w:szCs w:val="24"/>
          <w:highlight w:val="none"/>
        </w:rPr>
        <w:fldChar w:fldCharType="end"/>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t>2</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总则</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_Toc536557278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5</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2.1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编制依据</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_Toc536557279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5</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2.2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评价目的与评价原则</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_Toc536557280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9</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2.3</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评价因子识别与筛选</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_Toc536557281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10</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2.4</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评价标准</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_Toc536557282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11</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2.5</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评价等级和评价范围</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_Toc536557283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14</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2.6</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相关规划及环境功能区划</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_Toc536557284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22</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2.7</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主要环境保护目标</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_Toc536557285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40</w:t>
      </w:r>
      <w:r>
        <w:rPr>
          <w:rFonts w:ascii="Times New Roman" w:hAnsi="Times New Roman" w:cs="Times New Roman"/>
          <w:sz w:val="24"/>
          <w:szCs w:val="24"/>
          <w:highlight w:val="none"/>
        </w:rPr>
        <w:fldChar w:fldCharType="end"/>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t>3</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建设项目工程分析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_Toc536557286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42</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3.1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项目概况</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_Toc536557287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42</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3.2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污染影响因素分析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_Toc536557288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48</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3.3</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污染源源强核算</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_Toc536557289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62</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3.4</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清洁生产分析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_Toc536557290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76</w:t>
      </w:r>
      <w:r>
        <w:rPr>
          <w:rFonts w:ascii="Times New Roman" w:hAnsi="Times New Roman" w:cs="Times New Roman"/>
          <w:sz w:val="24"/>
          <w:szCs w:val="24"/>
          <w:highlight w:val="none"/>
        </w:rPr>
        <w:fldChar w:fldCharType="end"/>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t>4</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环境现状调查与评价</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_Toc536557291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81</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4.1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自然环境概况</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_Toc536557292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81</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4.2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环境功能规划及环境保护目标调查</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_Toc536557293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101</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4.3</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环境质量现状调查与评价</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_Toc536557294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101</w:t>
      </w:r>
      <w:r>
        <w:rPr>
          <w:rFonts w:ascii="Times New Roman" w:hAnsi="Times New Roman" w:cs="Times New Roman"/>
          <w:sz w:val="24"/>
          <w:szCs w:val="24"/>
          <w:highlight w:val="none"/>
        </w:rPr>
        <w:fldChar w:fldCharType="end"/>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t>5</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环境影响预测与评价</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_Toc536557295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114</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5.1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施工期环境影响分析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_Toc536557296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114</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5.2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营运期环境影响预测与评价</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_Toc536557297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117</w:t>
      </w:r>
      <w:r>
        <w:rPr>
          <w:rFonts w:ascii="Times New Roman" w:hAnsi="Times New Roman" w:cs="Times New Roman"/>
          <w:sz w:val="24"/>
          <w:szCs w:val="24"/>
          <w:highlight w:val="none"/>
        </w:rPr>
        <w:fldChar w:fldCharType="end"/>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t>6</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环境保护措施及其可行性论证</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_Toc536557300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168</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6.1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施工期环境保护措施</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_Toc536557301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168</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6.2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营运期环境保护措施</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_Toc536557302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169</w:t>
      </w:r>
      <w:r>
        <w:rPr>
          <w:rFonts w:ascii="Times New Roman" w:hAnsi="Times New Roman" w:cs="Times New Roman"/>
          <w:sz w:val="24"/>
          <w:szCs w:val="24"/>
          <w:highlight w:val="none"/>
        </w:rPr>
        <w:fldChar w:fldCharType="end"/>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t>7</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环境影响经济损益分析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_Toc536557303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185</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7.1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环境影响经济损失分析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_Toc536557304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185</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7.2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经济效益分析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_Toc536557305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186</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7.3</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环境效益分析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_Toc536557306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186</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7.4</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社会效益分析</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_Toc536557307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186</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7.5</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分析结论</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_Toc536557308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187</w:t>
      </w:r>
      <w:r>
        <w:rPr>
          <w:rFonts w:ascii="Times New Roman" w:hAnsi="Times New Roman" w:cs="Times New Roman"/>
          <w:sz w:val="24"/>
          <w:szCs w:val="24"/>
          <w:highlight w:val="none"/>
        </w:rPr>
        <w:fldChar w:fldCharType="end"/>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t>8</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环境管理和环境监测</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_Toc536557309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188</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8.1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运营期环境管理</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_Toc536557310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188</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8.2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污染物排放清单</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_Toc536557311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191</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8.3</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环境监测</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_Toc536557312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194</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8.4</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环境保护三同时验收</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_Toc536557313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194</w:t>
      </w:r>
      <w:r>
        <w:rPr>
          <w:rFonts w:ascii="Times New Roman" w:hAnsi="Times New Roman" w:cs="Times New Roman"/>
          <w:sz w:val="24"/>
          <w:szCs w:val="24"/>
          <w:highlight w:val="none"/>
        </w:rPr>
        <w:fldChar w:fldCharType="end"/>
      </w:r>
    </w:p>
    <w:p>
      <w:pPr>
        <w:pStyle w:val="33"/>
        <w:tabs>
          <w:tab w:val="left" w:pos="840"/>
          <w:tab w:val="right" w:leader="dot" w:pos="8396"/>
        </w:tabs>
        <w:spacing w:line="240" w:lineRule="auto"/>
        <w:ind w:firstLine="482"/>
        <w:rPr>
          <w:rFonts w:ascii="Times New Roman" w:hAnsi="Times New Roman" w:cs="Times New Roman" w:eastAsiaTheme="minorEastAsia"/>
          <w:b w:val="0"/>
          <w:bCs w:val="0"/>
          <w:caps w:val="0"/>
          <w:kern w:val="2"/>
          <w:sz w:val="24"/>
          <w:szCs w:val="24"/>
          <w:highlight w:val="none"/>
        </w:rPr>
      </w:pPr>
      <w:r>
        <w:rPr>
          <w:rFonts w:ascii="Times New Roman" w:hAnsi="Times New Roman" w:cs="Times New Roman"/>
          <w:sz w:val="24"/>
          <w:szCs w:val="24"/>
          <w:highlight w:val="none"/>
        </w:rPr>
        <w:t>9</w:t>
      </w:r>
      <w:r>
        <w:rPr>
          <w:rFonts w:ascii="Times New Roman" w:hAnsi="Times New Roman" w:cs="Times New Roman" w:eastAsiaTheme="minorEastAsia"/>
          <w:b w:val="0"/>
          <w:bCs w:val="0"/>
          <w:caps w:val="0"/>
          <w:kern w:val="2"/>
          <w:sz w:val="24"/>
          <w:szCs w:val="24"/>
          <w:highlight w:val="none"/>
        </w:rPr>
        <w:tab/>
      </w:r>
      <w:r>
        <w:rPr>
          <w:rFonts w:ascii="Times New Roman" w:hAnsi="Times New Roman" w:cs="Times New Roman"/>
          <w:sz w:val="24"/>
          <w:szCs w:val="24"/>
          <w:highlight w:val="none"/>
        </w:rPr>
        <w:t>结论</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_Toc536557314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197</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9.1</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项目概况</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_Toc536557315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197</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9.2</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评价结论</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_Toc536557316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197</w:t>
      </w:r>
      <w:r>
        <w:rPr>
          <w:rFonts w:ascii="Times New Roman" w:hAnsi="Times New Roman" w:cs="Times New Roman"/>
          <w:sz w:val="24"/>
          <w:szCs w:val="24"/>
          <w:highlight w:val="none"/>
        </w:rPr>
        <w:fldChar w:fldCharType="end"/>
      </w:r>
    </w:p>
    <w:p>
      <w:pPr>
        <w:pStyle w:val="38"/>
        <w:tabs>
          <w:tab w:val="left" w:pos="1400"/>
          <w:tab w:val="right" w:leader="dot" w:pos="8396"/>
        </w:tabs>
        <w:spacing w:line="240" w:lineRule="auto"/>
        <w:ind w:firstLine="480"/>
        <w:rPr>
          <w:rFonts w:ascii="Times New Roman" w:hAnsi="Times New Roman" w:cs="Times New Roman" w:eastAsiaTheme="minorEastAsia"/>
          <w:smallCaps w:val="0"/>
          <w:kern w:val="2"/>
          <w:sz w:val="24"/>
          <w:szCs w:val="24"/>
          <w:highlight w:val="none"/>
        </w:rPr>
      </w:pPr>
      <w:r>
        <w:rPr>
          <w:rFonts w:ascii="Times New Roman" w:hAnsi="Times New Roman" w:cs="Times New Roman"/>
          <w:snapToGrid w:val="0"/>
          <w:sz w:val="24"/>
          <w:szCs w:val="24"/>
          <w:highlight w:val="none"/>
        </w:rPr>
        <w:t>9.3</w:t>
      </w:r>
      <w:r>
        <w:rPr>
          <w:rFonts w:ascii="Times New Roman" w:hAnsi="Times New Roman" w:cs="Times New Roman" w:eastAsiaTheme="minorEastAsia"/>
          <w:smallCaps w:val="0"/>
          <w:kern w:val="2"/>
          <w:sz w:val="24"/>
          <w:szCs w:val="24"/>
          <w:highlight w:val="none"/>
        </w:rPr>
        <w:tab/>
      </w:r>
      <w:r>
        <w:rPr>
          <w:rFonts w:ascii="Times New Roman" w:hAnsi="Times New Roman" w:cs="Times New Roman"/>
          <w:snapToGrid w:val="0"/>
          <w:sz w:val="24"/>
          <w:szCs w:val="24"/>
          <w:highlight w:val="none"/>
        </w:rPr>
        <w:t>建设项目的环境影响可行性结论</w:t>
      </w:r>
      <w:r>
        <w:rPr>
          <w:rFonts w:ascii="Times New Roman" w:hAnsi="Times New Roman" w:cs="Times New Roman"/>
          <w:sz w:val="24"/>
          <w:szCs w:val="24"/>
          <w:highlight w:val="none"/>
        </w:rPr>
        <w:tab/>
      </w: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PAGEREF _Toc536557317 \h </w:instrText>
      </w:r>
      <w:r>
        <w:rPr>
          <w:rFonts w:ascii="Times New Roman" w:hAnsi="Times New Roman" w:cs="Times New Roman"/>
          <w:sz w:val="24"/>
          <w:szCs w:val="24"/>
          <w:highlight w:val="none"/>
        </w:rPr>
        <w:fldChar w:fldCharType="separate"/>
      </w:r>
      <w:r>
        <w:rPr>
          <w:rFonts w:ascii="Times New Roman" w:hAnsi="Times New Roman" w:cs="Times New Roman"/>
          <w:sz w:val="24"/>
          <w:szCs w:val="24"/>
          <w:highlight w:val="none"/>
        </w:rPr>
        <w:t>202</w:t>
      </w:r>
      <w:r>
        <w:rPr>
          <w:rFonts w:ascii="Times New Roman" w:hAnsi="Times New Roman" w:cs="Times New Roman"/>
          <w:sz w:val="24"/>
          <w:szCs w:val="24"/>
          <w:highlight w:val="none"/>
        </w:rPr>
        <w:fldChar w:fldCharType="end"/>
      </w:r>
    </w:p>
    <w:p>
      <w:pPr>
        <w:spacing w:line="240" w:lineRule="auto"/>
        <w:ind w:firstLine="480"/>
        <w:rPr>
          <w:highlight w:val="green"/>
        </w:rPr>
      </w:pPr>
      <w:r>
        <w:rPr>
          <w:sz w:val="24"/>
          <w:szCs w:val="24"/>
          <w:highlight w:val="none"/>
        </w:rPr>
        <w:fldChar w:fldCharType="end"/>
      </w:r>
    </w:p>
    <w:p>
      <w:pPr>
        <w:pStyle w:val="38"/>
        <w:ind w:firstLine="400"/>
        <w:rPr>
          <w:rFonts w:ascii="Times New Roman" w:hAnsi="Times New Roman" w:cs="Times New Roman"/>
          <w:highlight w:val="green"/>
        </w:rPr>
      </w:pPr>
    </w:p>
    <w:p>
      <w:pPr>
        <w:pStyle w:val="38"/>
        <w:ind w:firstLine="400"/>
        <w:rPr>
          <w:rFonts w:ascii="Times New Roman" w:hAnsi="Times New Roman" w:cs="Times New Roman"/>
          <w:highlight w:val="green"/>
        </w:rPr>
      </w:pPr>
    </w:p>
    <w:p>
      <w:pPr>
        <w:ind w:firstLine="0" w:firstLineChars="0"/>
        <w:rPr>
          <w:sz w:val="24"/>
          <w:szCs w:val="24"/>
          <w:highlight w:val="green"/>
        </w:rPr>
        <w:sectPr>
          <w:footerReference r:id="rId10" w:type="default"/>
          <w:pgSz w:w="11906" w:h="16838"/>
          <w:pgMar w:top="1440" w:right="1700" w:bottom="1440" w:left="1800" w:header="851" w:footer="992" w:gutter="0"/>
          <w:pgBorders>
            <w:top w:val="none" w:sz="0" w:space="0"/>
            <w:left w:val="none" w:sz="0" w:space="0"/>
            <w:bottom w:val="none" w:sz="0" w:space="0"/>
            <w:right w:val="none" w:sz="0" w:space="0"/>
          </w:pgBorders>
          <w:pgNumType w:fmt="lowerRoman" w:start="1"/>
          <w:cols w:space="720" w:num="1"/>
          <w:docGrid w:linePitch="312" w:charSpace="0"/>
        </w:sectPr>
      </w:pPr>
    </w:p>
    <w:p>
      <w:pPr>
        <w:pStyle w:val="4"/>
        <w:numPr>
          <w:ilvl w:val="0"/>
          <w:numId w:val="1"/>
        </w:numPr>
        <w:rPr>
          <w:rFonts w:ascii="Times New Roman"/>
          <w:sz w:val="36"/>
          <w:highlight w:val="none"/>
        </w:rPr>
      </w:pPr>
      <w:bookmarkStart w:id="1" w:name="_Toc6589"/>
      <w:bookmarkStart w:id="2" w:name="_Toc521591662"/>
      <w:bookmarkStart w:id="3" w:name="_Toc536557271"/>
      <w:bookmarkStart w:id="4" w:name="_Toc524284651"/>
      <w:bookmarkStart w:id="5" w:name="_Toc26822"/>
      <w:bookmarkStart w:id="6" w:name="_Toc11001"/>
      <w:r>
        <w:rPr>
          <w:rFonts w:ascii="Times New Roman"/>
          <w:sz w:val="36"/>
          <w:highlight w:val="none"/>
        </w:rPr>
        <w:t>概述</w:t>
      </w:r>
      <w:bookmarkEnd w:id="1"/>
      <w:bookmarkEnd w:id="2"/>
      <w:bookmarkEnd w:id="3"/>
      <w:bookmarkEnd w:id="4"/>
      <w:bookmarkEnd w:id="5"/>
      <w:bookmarkEnd w:id="6"/>
    </w:p>
    <w:p>
      <w:pPr>
        <w:pStyle w:val="5"/>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 w:name="_Toc521591663"/>
      <w:bookmarkStart w:id="8" w:name="_Toc28416"/>
      <w:bookmarkStart w:id="9" w:name="_Toc536557272"/>
      <w:bookmarkStart w:id="10" w:name="_Toc29951"/>
      <w:bookmarkStart w:id="11" w:name="_Toc17144"/>
      <w:bookmarkStart w:id="12" w:name="_Toc524284652"/>
      <w:r>
        <w:rPr>
          <w:rFonts w:ascii="Times New Roman" w:hAnsi="Times New Roman" w:eastAsia="宋体"/>
          <w:bCs w:val="0"/>
          <w:snapToGrid w:val="0"/>
          <w:kern w:val="0"/>
          <w:sz w:val="28"/>
          <w:szCs w:val="28"/>
          <w:highlight w:val="none"/>
        </w:rPr>
        <w:t>项目由来</w:t>
      </w:r>
      <w:bookmarkEnd w:id="7"/>
      <w:bookmarkEnd w:id="8"/>
      <w:bookmarkEnd w:id="9"/>
      <w:bookmarkEnd w:id="10"/>
      <w:bookmarkEnd w:id="11"/>
      <w:bookmarkEnd w:id="12"/>
    </w:p>
    <w:p>
      <w:pPr>
        <w:snapToGrid w:val="0"/>
        <w:ind w:firstLine="480"/>
        <w:jc w:val="both"/>
        <w:rPr>
          <w:sz w:val="24"/>
          <w:szCs w:val="24"/>
          <w:highlight w:val="none"/>
        </w:rPr>
      </w:pPr>
      <w:bookmarkStart w:id="13" w:name="_Toc12890"/>
      <w:r>
        <w:rPr>
          <w:rFonts w:hint="eastAsia"/>
          <w:sz w:val="24"/>
          <w:szCs w:val="24"/>
          <w:highlight w:val="none"/>
        </w:rPr>
        <w:t>遵化市地处河北省</w:t>
      </w:r>
      <w:r>
        <w:rPr>
          <w:sz w:val="24"/>
          <w:szCs w:val="24"/>
          <w:highlight w:val="none"/>
        </w:rPr>
        <w:t>东北部，</w:t>
      </w:r>
      <w:r>
        <w:rPr>
          <w:highlight w:val="none"/>
        </w:rPr>
        <w:fldChar w:fldCharType="begin"/>
      </w:r>
      <w:r>
        <w:rPr>
          <w:highlight w:val="none"/>
        </w:rPr>
        <w:instrText xml:space="preserve"> HYPERLINK "http://baike.baidu.com/view/8140.htm" \t "_blank" </w:instrText>
      </w:r>
      <w:r>
        <w:rPr>
          <w:highlight w:val="none"/>
        </w:rPr>
        <w:fldChar w:fldCharType="separate"/>
      </w:r>
      <w:r>
        <w:rPr>
          <w:sz w:val="24"/>
          <w:szCs w:val="24"/>
          <w:highlight w:val="none"/>
        </w:rPr>
        <w:t>燕山</w:t>
      </w:r>
      <w:r>
        <w:rPr>
          <w:sz w:val="24"/>
          <w:szCs w:val="24"/>
          <w:highlight w:val="none"/>
        </w:rPr>
        <w:fldChar w:fldCharType="end"/>
      </w:r>
      <w:r>
        <w:rPr>
          <w:sz w:val="24"/>
          <w:szCs w:val="24"/>
          <w:highlight w:val="none"/>
        </w:rPr>
        <w:t>南麓，境内铁矿石资源储量丰富，近年来随着我国钢铁工业的发展、铁精粉的需求量不断增加，使得当地铁精粉选矿企业飞速发展。</w:t>
      </w:r>
    </w:p>
    <w:p>
      <w:pPr>
        <w:snapToGrid w:val="0"/>
        <w:ind w:firstLine="480"/>
        <w:jc w:val="both"/>
        <w:rPr>
          <w:rFonts w:hint="default" w:eastAsia="宋体"/>
          <w:sz w:val="24"/>
          <w:szCs w:val="24"/>
          <w:highlight w:val="none"/>
          <w:lang w:val="en-US" w:eastAsia="zh-CN"/>
        </w:rPr>
      </w:pPr>
      <w:r>
        <w:rPr>
          <w:rFonts w:hint="eastAsia"/>
          <w:sz w:val="24"/>
          <w:szCs w:val="24"/>
          <w:highlight w:val="none"/>
        </w:rPr>
        <w:t>遵化市瑞萍铁选厂</w:t>
      </w:r>
      <w:r>
        <w:rPr>
          <w:rFonts w:hint="eastAsia"/>
          <w:sz w:val="24"/>
          <w:szCs w:val="24"/>
          <w:highlight w:val="none"/>
          <w:lang w:val="en-US" w:eastAsia="zh-CN"/>
        </w:rPr>
        <w:t>位于</w:t>
      </w:r>
      <w:r>
        <w:rPr>
          <w:rFonts w:hint="eastAsia"/>
          <w:sz w:val="24"/>
          <w:szCs w:val="24"/>
          <w:highlight w:val="none"/>
        </w:rPr>
        <w:t>遵化市堡子店镇西新店子村南</w:t>
      </w:r>
      <w:r>
        <w:rPr>
          <w:rFonts w:hint="eastAsia"/>
          <w:sz w:val="24"/>
          <w:szCs w:val="24"/>
          <w:highlight w:val="none"/>
          <w:lang w:eastAsia="zh-CN"/>
        </w:rPr>
        <w:t>，</w:t>
      </w:r>
      <w:r>
        <w:rPr>
          <w:rFonts w:hint="eastAsia"/>
          <w:sz w:val="24"/>
          <w:szCs w:val="24"/>
          <w:highlight w:val="none"/>
          <w:lang w:val="en-US" w:eastAsia="zh-CN"/>
        </w:rPr>
        <w:t>于2021年实施了“</w:t>
      </w:r>
      <w:r>
        <w:rPr>
          <w:rFonts w:hint="eastAsia"/>
          <w:sz w:val="24"/>
          <w:szCs w:val="24"/>
          <w:highlight w:val="none"/>
        </w:rPr>
        <w:t>遵化市瑞萍铁选厂年处理30万吨铁矿石、30万吨粗精矿项目</w:t>
      </w:r>
      <w:r>
        <w:rPr>
          <w:rFonts w:hint="eastAsia"/>
          <w:sz w:val="24"/>
          <w:szCs w:val="24"/>
          <w:highlight w:val="none"/>
          <w:lang w:val="en-US" w:eastAsia="zh-CN"/>
        </w:rPr>
        <w:t>”，并取得了遵化市行政审批局出具的《</w:t>
      </w:r>
      <w:r>
        <w:rPr>
          <w:rFonts w:hint="eastAsia"/>
          <w:sz w:val="24"/>
          <w:szCs w:val="24"/>
          <w:highlight w:val="none"/>
        </w:rPr>
        <w:t>遵化市瑞萍铁选厂年处理30万吨铁矿石、30万吨粗精矿项目</w:t>
      </w:r>
      <w:r>
        <w:rPr>
          <w:rFonts w:hint="eastAsia"/>
          <w:sz w:val="24"/>
          <w:szCs w:val="24"/>
          <w:highlight w:val="none"/>
          <w:lang w:val="en-US" w:eastAsia="zh-CN"/>
        </w:rPr>
        <w:t>环境影响报告书》的批复文件（遵审投资环字[2021]32号），于2022年建设完成进行了排污登记并通过了竣工环境保护验收，而后</w:t>
      </w:r>
      <w:r>
        <w:rPr>
          <w:rFonts w:hint="eastAsia"/>
          <w:sz w:val="24"/>
          <w:szCs w:val="24"/>
          <w:highlight w:val="none"/>
        </w:rPr>
        <w:t>遵化市瑞萍铁选厂</w:t>
      </w:r>
      <w:r>
        <w:rPr>
          <w:rFonts w:hint="eastAsia"/>
          <w:sz w:val="24"/>
          <w:szCs w:val="24"/>
          <w:highlight w:val="none"/>
          <w:lang w:val="en-US" w:eastAsia="zh-CN"/>
        </w:rPr>
        <w:t>名称进行了变更，更名为“</w:t>
      </w:r>
      <w:r>
        <w:rPr>
          <w:rFonts w:hint="eastAsia"/>
          <w:sz w:val="24"/>
          <w:szCs w:val="24"/>
          <w:highlight w:val="none"/>
        </w:rPr>
        <w:t>遵化市恒泰矿业有限公司</w:t>
      </w:r>
      <w:r>
        <w:rPr>
          <w:rFonts w:hint="eastAsia"/>
          <w:sz w:val="24"/>
          <w:szCs w:val="24"/>
          <w:highlight w:val="none"/>
          <w:lang w:val="en-US" w:eastAsia="zh-CN"/>
        </w:rPr>
        <w:t>”</w:t>
      </w:r>
      <w:r>
        <w:rPr>
          <w:rFonts w:hint="eastAsia"/>
          <w:sz w:val="24"/>
          <w:szCs w:val="24"/>
          <w:highlight w:val="none"/>
          <w:lang w:eastAsia="zh-CN"/>
        </w:rPr>
        <w:t>，</w:t>
      </w:r>
      <w:r>
        <w:rPr>
          <w:rFonts w:hint="eastAsia"/>
          <w:sz w:val="24"/>
          <w:szCs w:val="24"/>
          <w:highlight w:val="none"/>
          <w:lang w:val="en-US" w:eastAsia="zh-CN"/>
        </w:rPr>
        <w:t>生产设施等均未发生变化。</w:t>
      </w:r>
    </w:p>
    <w:p>
      <w:pPr>
        <w:snapToGrid w:val="0"/>
        <w:ind w:firstLine="480"/>
        <w:jc w:val="both"/>
        <w:rPr>
          <w:rFonts w:hint="eastAsia"/>
          <w:sz w:val="24"/>
          <w:szCs w:val="24"/>
          <w:highlight w:val="none"/>
          <w:lang w:val="en-US" w:eastAsia="zh-CN"/>
        </w:rPr>
      </w:pPr>
      <w:r>
        <w:rPr>
          <w:rFonts w:hint="eastAsia"/>
          <w:sz w:val="24"/>
          <w:szCs w:val="24"/>
          <w:highlight w:val="none"/>
          <w:lang w:val="en-US" w:eastAsia="zh-CN"/>
        </w:rPr>
        <w:t>目前，</w:t>
      </w:r>
      <w:r>
        <w:rPr>
          <w:rFonts w:hint="eastAsia"/>
          <w:sz w:val="24"/>
          <w:szCs w:val="24"/>
          <w:highlight w:val="none"/>
        </w:rPr>
        <w:t>遵化市恒泰矿业有限公司</w:t>
      </w:r>
      <w:r>
        <w:rPr>
          <w:rFonts w:hint="eastAsia"/>
          <w:sz w:val="24"/>
          <w:szCs w:val="24"/>
          <w:highlight w:val="none"/>
          <w:lang w:val="en-US" w:eastAsia="zh-CN"/>
        </w:rPr>
        <w:t>分为南、北两个厂区，其中南厂区建有1条破碎粗选生产线，年处理铁矿石30万吨，年产粗精矿15万吨；北厂区建有1条精选生产线，年处理粗精矿30万吨，年产品位66%铁精粉25万吨，北厂区所需原料部分由南厂区提供，不足的15万吨粗精矿外购于周边选矿企业。</w:t>
      </w:r>
    </w:p>
    <w:p>
      <w:pPr>
        <w:snapToGrid w:val="0"/>
        <w:ind w:firstLine="480"/>
        <w:jc w:val="both"/>
        <w:rPr>
          <w:rFonts w:hint="eastAsia"/>
          <w:sz w:val="24"/>
          <w:szCs w:val="24"/>
          <w:highlight w:val="none"/>
        </w:rPr>
      </w:pPr>
      <w:r>
        <w:rPr>
          <w:rFonts w:hint="eastAsia"/>
          <w:sz w:val="24"/>
          <w:szCs w:val="24"/>
          <w:highlight w:val="none"/>
        </w:rPr>
        <w:t>遵化市恒泰矿业有限公司厂为了充分发挥本地区矿产资源优势，</w:t>
      </w:r>
      <w:r>
        <w:rPr>
          <w:rFonts w:hint="eastAsia"/>
          <w:sz w:val="24"/>
          <w:szCs w:val="24"/>
          <w:highlight w:val="none"/>
          <w:lang w:val="en-US" w:eastAsia="zh-CN"/>
        </w:rPr>
        <w:t>优化自身生产线，完善南、北厂区产能的匹配性，降低企业运行成本，提高市场竞争力，决定投资28</w:t>
      </w:r>
      <w:r>
        <w:rPr>
          <w:rFonts w:hint="eastAsia"/>
          <w:sz w:val="24"/>
          <w:szCs w:val="24"/>
          <w:highlight w:val="none"/>
        </w:rPr>
        <w:t>00万元建设“遵化市恒泰矿业有限公司年处理60万吨铁矿石、30万吨粗精矿改扩建项目”，</w:t>
      </w:r>
      <w:r>
        <w:rPr>
          <w:rFonts w:hint="eastAsia"/>
          <w:sz w:val="24"/>
          <w:szCs w:val="24"/>
          <w:highlight w:val="none"/>
          <w:lang w:val="en-US" w:eastAsia="zh-CN"/>
        </w:rPr>
        <w:t>本项目由</w:t>
      </w:r>
      <w:r>
        <w:rPr>
          <w:rFonts w:hint="eastAsia"/>
          <w:sz w:val="24"/>
          <w:szCs w:val="24"/>
          <w:highlight w:val="none"/>
        </w:rPr>
        <w:t>河北省发展和改革委员会</w:t>
      </w:r>
      <w:r>
        <w:rPr>
          <w:rFonts w:hint="eastAsia"/>
          <w:sz w:val="24"/>
          <w:szCs w:val="24"/>
          <w:highlight w:val="none"/>
          <w:lang w:val="en-US" w:eastAsia="zh-CN"/>
        </w:rPr>
        <w:t>于</w:t>
      </w:r>
      <w:r>
        <w:rPr>
          <w:rFonts w:hint="eastAsia"/>
          <w:sz w:val="24"/>
          <w:szCs w:val="24"/>
          <w:highlight w:val="none"/>
        </w:rPr>
        <w:t>20</w:t>
      </w:r>
      <w:r>
        <w:rPr>
          <w:rFonts w:hint="eastAsia"/>
          <w:sz w:val="24"/>
          <w:szCs w:val="24"/>
          <w:highlight w:val="none"/>
          <w:lang w:val="en-US" w:eastAsia="zh-CN"/>
        </w:rPr>
        <w:t>23</w:t>
      </w:r>
      <w:r>
        <w:rPr>
          <w:rFonts w:hint="eastAsia"/>
          <w:sz w:val="24"/>
          <w:szCs w:val="24"/>
          <w:highlight w:val="none"/>
        </w:rPr>
        <w:t>年</w:t>
      </w:r>
      <w:r>
        <w:rPr>
          <w:rFonts w:hint="eastAsia"/>
          <w:sz w:val="24"/>
          <w:szCs w:val="24"/>
          <w:highlight w:val="none"/>
          <w:lang w:val="en-US" w:eastAsia="zh-CN"/>
        </w:rPr>
        <w:t>2</w:t>
      </w:r>
      <w:r>
        <w:rPr>
          <w:rFonts w:hint="eastAsia"/>
          <w:sz w:val="24"/>
          <w:szCs w:val="24"/>
          <w:highlight w:val="none"/>
        </w:rPr>
        <w:t>月</w:t>
      </w:r>
      <w:r>
        <w:rPr>
          <w:rFonts w:hint="eastAsia"/>
          <w:sz w:val="24"/>
          <w:szCs w:val="24"/>
          <w:highlight w:val="none"/>
          <w:lang w:val="en-US" w:eastAsia="zh-CN"/>
        </w:rPr>
        <w:t>24</w:t>
      </w:r>
      <w:r>
        <w:rPr>
          <w:rFonts w:hint="eastAsia"/>
          <w:sz w:val="24"/>
          <w:szCs w:val="24"/>
          <w:highlight w:val="none"/>
        </w:rPr>
        <w:t>日以冀发改政务备字[202</w:t>
      </w:r>
      <w:r>
        <w:rPr>
          <w:rFonts w:hint="eastAsia"/>
          <w:sz w:val="24"/>
          <w:szCs w:val="24"/>
          <w:highlight w:val="none"/>
          <w:lang w:val="en-US" w:eastAsia="zh-CN"/>
        </w:rPr>
        <w:t>3</w:t>
      </w:r>
      <w:r>
        <w:rPr>
          <w:rFonts w:hint="eastAsia"/>
          <w:sz w:val="24"/>
          <w:szCs w:val="24"/>
          <w:highlight w:val="none"/>
        </w:rPr>
        <w:t>]</w:t>
      </w:r>
      <w:r>
        <w:rPr>
          <w:rFonts w:hint="eastAsia"/>
          <w:sz w:val="24"/>
          <w:szCs w:val="24"/>
          <w:highlight w:val="none"/>
          <w:lang w:val="en-US" w:eastAsia="zh-CN"/>
        </w:rPr>
        <w:t>2</w:t>
      </w:r>
      <w:r>
        <w:rPr>
          <w:rFonts w:hint="eastAsia"/>
          <w:sz w:val="24"/>
          <w:szCs w:val="24"/>
          <w:highlight w:val="none"/>
        </w:rPr>
        <w:t>9号文予以备案。</w:t>
      </w:r>
    </w:p>
    <w:p>
      <w:pPr>
        <w:snapToGrid w:val="0"/>
        <w:ind w:firstLine="480"/>
        <w:jc w:val="both"/>
        <w:rPr>
          <w:sz w:val="24"/>
          <w:szCs w:val="24"/>
          <w:highlight w:val="none"/>
        </w:rPr>
      </w:pPr>
      <w:r>
        <w:rPr>
          <w:rFonts w:hint="eastAsia"/>
          <w:sz w:val="24"/>
          <w:szCs w:val="24"/>
          <w:highlight w:val="none"/>
        </w:rPr>
        <w:t>本项目位于遵化市恒泰矿业有限公司</w:t>
      </w:r>
      <w:r>
        <w:rPr>
          <w:rFonts w:hint="eastAsia"/>
          <w:sz w:val="24"/>
          <w:szCs w:val="24"/>
          <w:highlight w:val="none"/>
          <w:lang w:val="en-US" w:eastAsia="zh-CN"/>
        </w:rPr>
        <w:t>南厂区内</w:t>
      </w:r>
      <w:r>
        <w:rPr>
          <w:rFonts w:hint="eastAsia"/>
          <w:sz w:val="24"/>
          <w:szCs w:val="24"/>
          <w:highlight w:val="none"/>
        </w:rPr>
        <w:t>，</w:t>
      </w:r>
      <w:r>
        <w:rPr>
          <w:rFonts w:hint="eastAsia"/>
          <w:sz w:val="24"/>
          <w:szCs w:val="24"/>
          <w:highlight w:val="none"/>
          <w:lang w:val="en-US" w:eastAsia="zh-CN"/>
        </w:rPr>
        <w:t>主要新增南厂区的破碎生产能力，将原有年30万吨破碎生产能力提升至年60万吨，建设完成后南厂区年产粗精矿30万吨，全部作为北厂区精选生产线原料使用，本项目主要新增1套破碎设备，</w:t>
      </w:r>
      <w:r>
        <w:rPr>
          <w:rFonts w:hint="eastAsia"/>
          <w:sz w:val="24"/>
          <w:szCs w:val="24"/>
          <w:highlight w:val="none"/>
        </w:rPr>
        <w:t>主要建设</w:t>
      </w:r>
      <w:r>
        <w:rPr>
          <w:sz w:val="24"/>
          <w:szCs w:val="24"/>
          <w:highlight w:val="none"/>
        </w:rPr>
        <w:t>破碎车间、</w:t>
      </w:r>
      <w:r>
        <w:rPr>
          <w:rFonts w:hint="eastAsia"/>
          <w:sz w:val="24"/>
          <w:szCs w:val="24"/>
          <w:highlight w:val="none"/>
          <w:lang w:val="en-US" w:eastAsia="zh-CN"/>
        </w:rPr>
        <w:t>原料棚</w:t>
      </w:r>
      <w:r>
        <w:rPr>
          <w:sz w:val="24"/>
          <w:szCs w:val="24"/>
          <w:highlight w:val="none"/>
        </w:rPr>
        <w:t>、成品库</w:t>
      </w:r>
      <w:r>
        <w:rPr>
          <w:rFonts w:hint="eastAsia"/>
          <w:sz w:val="24"/>
          <w:szCs w:val="24"/>
          <w:highlight w:val="none"/>
          <w:lang w:val="en-US" w:eastAsia="zh-CN"/>
        </w:rPr>
        <w:t>等</w:t>
      </w:r>
      <w:r>
        <w:rPr>
          <w:sz w:val="24"/>
          <w:szCs w:val="24"/>
          <w:highlight w:val="none"/>
        </w:rPr>
        <w:t>相关配套公辅设施</w:t>
      </w:r>
      <w:r>
        <w:rPr>
          <w:rFonts w:hint="eastAsia"/>
          <w:sz w:val="24"/>
          <w:szCs w:val="24"/>
          <w:highlight w:val="none"/>
          <w:lang w:eastAsia="zh-CN"/>
        </w:rPr>
        <w:t>，</w:t>
      </w:r>
      <w:r>
        <w:rPr>
          <w:rFonts w:hint="eastAsia"/>
          <w:sz w:val="24"/>
          <w:szCs w:val="24"/>
          <w:highlight w:val="none"/>
          <w:lang w:val="en-US" w:eastAsia="zh-CN"/>
        </w:rPr>
        <w:t>北厂区保持现状不变</w:t>
      </w:r>
      <w:r>
        <w:rPr>
          <w:rFonts w:hint="eastAsia"/>
          <w:sz w:val="24"/>
          <w:szCs w:val="24"/>
          <w:highlight w:val="none"/>
        </w:rPr>
        <w:t>。</w:t>
      </w:r>
    </w:p>
    <w:p>
      <w:pPr>
        <w:snapToGrid w:val="0"/>
        <w:ind w:firstLine="496"/>
        <w:jc w:val="both"/>
        <w:rPr>
          <w:highlight w:val="none"/>
        </w:rPr>
      </w:pPr>
      <w:bookmarkStart w:id="14" w:name="_Toc3234"/>
      <w:bookmarkStart w:id="15" w:name="_Toc521591664"/>
      <w:r>
        <w:rPr>
          <w:rFonts w:hint="eastAsia"/>
          <w:bCs/>
          <w:spacing w:val="4"/>
          <w:sz w:val="24"/>
          <w:highlight w:val="none"/>
        </w:rPr>
        <w:t>根据《中华人民共和国环境保护法》、《中华人民共和国环境影响评价法》和《建设项目环境保护管理条例》（国务院第 682 号令）等法律法规规定，该项目</w:t>
      </w:r>
      <w:r>
        <w:rPr>
          <w:sz w:val="24"/>
          <w:szCs w:val="24"/>
          <w:highlight w:val="none"/>
        </w:rPr>
        <w:t>需进行环境影响评价，</w:t>
      </w:r>
      <w:r>
        <w:rPr>
          <w:rFonts w:hint="eastAsia"/>
          <w:bCs/>
          <w:spacing w:val="4"/>
          <w:sz w:val="24"/>
          <w:highlight w:val="none"/>
        </w:rPr>
        <w:t>属于《建设项目环境影响评价分类管理名录（2021年本）》中“六、黑色金属矿采选业-9-铁矿采选业”，需编制</w:t>
      </w:r>
      <w:r>
        <w:rPr>
          <w:sz w:val="24"/>
          <w:szCs w:val="24"/>
          <w:highlight w:val="none"/>
        </w:rPr>
        <w:t>《</w:t>
      </w:r>
      <w:r>
        <w:rPr>
          <w:rFonts w:hint="eastAsia"/>
          <w:sz w:val="24"/>
          <w:szCs w:val="24"/>
          <w:highlight w:val="none"/>
        </w:rPr>
        <w:t>遵化市恒泰矿业有限公司年处理60万吨铁矿石、30万吨粗精矿改扩建项目</w:t>
      </w:r>
      <w:r>
        <w:rPr>
          <w:sz w:val="24"/>
          <w:szCs w:val="24"/>
          <w:highlight w:val="none"/>
        </w:rPr>
        <w:t>环境影响报告书》</w:t>
      </w:r>
      <w:r>
        <w:rPr>
          <w:rFonts w:hint="eastAsia"/>
          <w:bCs/>
          <w:spacing w:val="4"/>
          <w:sz w:val="24"/>
          <w:highlight w:val="none"/>
        </w:rPr>
        <w:t>。</w:t>
      </w:r>
    </w:p>
    <w:p>
      <w:pPr>
        <w:pStyle w:val="5"/>
        <w:keepLines w:val="0"/>
        <w:widowControl/>
        <w:numPr>
          <w:ilvl w:val="1"/>
          <w:numId w:val="2"/>
        </w:numPr>
        <w:tabs>
          <w:tab w:val="left" w:pos="482"/>
          <w:tab w:val="left" w:pos="6810"/>
        </w:tabs>
        <w:spacing w:before="0" w:after="0" w:line="360" w:lineRule="auto"/>
        <w:ind w:left="567"/>
        <w:rPr>
          <w:rFonts w:ascii="Times New Roman" w:hAnsi="Times New Roman" w:eastAsia="宋体"/>
          <w:bCs w:val="0"/>
          <w:snapToGrid w:val="0"/>
          <w:kern w:val="0"/>
          <w:sz w:val="28"/>
          <w:szCs w:val="28"/>
          <w:highlight w:val="none"/>
        </w:rPr>
      </w:pPr>
      <w:bookmarkStart w:id="16" w:name="_Toc20213"/>
      <w:bookmarkStart w:id="17" w:name="_Toc536557273"/>
      <w:bookmarkStart w:id="18" w:name="_Toc524284653"/>
      <w:r>
        <w:rPr>
          <w:rFonts w:ascii="Times New Roman" w:hAnsi="Times New Roman" w:eastAsia="宋体"/>
          <w:bCs w:val="0"/>
          <w:snapToGrid w:val="0"/>
          <w:kern w:val="0"/>
          <w:sz w:val="28"/>
          <w:szCs w:val="28"/>
          <w:highlight w:val="none"/>
        </w:rPr>
        <w:t>建设项目特点</w:t>
      </w:r>
      <w:bookmarkEnd w:id="13"/>
      <w:bookmarkEnd w:id="14"/>
      <w:bookmarkEnd w:id="15"/>
      <w:bookmarkEnd w:id="16"/>
      <w:bookmarkEnd w:id="17"/>
      <w:bookmarkEnd w:id="18"/>
    </w:p>
    <w:p>
      <w:pPr>
        <w:ind w:firstLine="480"/>
        <w:jc w:val="both"/>
        <w:rPr>
          <w:sz w:val="24"/>
          <w:szCs w:val="24"/>
          <w:highlight w:val="none"/>
        </w:rPr>
      </w:pPr>
      <w:r>
        <w:rPr>
          <w:rFonts w:hint="eastAsia"/>
          <w:sz w:val="24"/>
          <w:szCs w:val="24"/>
          <w:highlight w:val="none"/>
        </w:rPr>
        <w:t>（1）本项目</w:t>
      </w:r>
      <w:r>
        <w:rPr>
          <w:rFonts w:hint="eastAsia"/>
          <w:sz w:val="24"/>
          <w:szCs w:val="24"/>
          <w:highlight w:val="none"/>
          <w:lang w:val="en-US" w:eastAsia="zh-CN"/>
        </w:rPr>
        <w:t>在</w:t>
      </w:r>
      <w:r>
        <w:rPr>
          <w:rFonts w:hint="eastAsia"/>
          <w:sz w:val="24"/>
          <w:szCs w:val="24"/>
          <w:highlight w:val="none"/>
        </w:rPr>
        <w:t>遵化市恒泰矿业有限公司</w:t>
      </w:r>
      <w:r>
        <w:rPr>
          <w:rFonts w:hint="eastAsia"/>
          <w:sz w:val="24"/>
          <w:szCs w:val="24"/>
          <w:highlight w:val="none"/>
          <w:lang w:val="en-US" w:eastAsia="zh-CN"/>
        </w:rPr>
        <w:t>现有南厂区内进行建设</w:t>
      </w:r>
      <w:r>
        <w:rPr>
          <w:rFonts w:hint="eastAsia"/>
          <w:sz w:val="24"/>
          <w:szCs w:val="24"/>
          <w:highlight w:val="none"/>
        </w:rPr>
        <w:t>，</w:t>
      </w:r>
      <w:r>
        <w:rPr>
          <w:rFonts w:hint="eastAsia"/>
          <w:sz w:val="24"/>
          <w:szCs w:val="24"/>
          <w:highlight w:val="none"/>
          <w:lang w:val="en-US" w:eastAsia="zh-CN"/>
        </w:rPr>
        <w:t>不新增占地，北厂区维持现有生产设施不变</w:t>
      </w:r>
      <w:r>
        <w:rPr>
          <w:rFonts w:hint="eastAsia"/>
          <w:sz w:val="24"/>
          <w:szCs w:val="24"/>
          <w:highlight w:val="none"/>
        </w:rPr>
        <w:t>。</w:t>
      </w:r>
    </w:p>
    <w:p>
      <w:pPr>
        <w:ind w:firstLine="480"/>
        <w:jc w:val="both"/>
        <w:rPr>
          <w:rFonts w:hint="default"/>
          <w:sz w:val="24"/>
          <w:szCs w:val="24"/>
          <w:highlight w:val="none"/>
        </w:rPr>
      </w:pPr>
      <w:r>
        <w:rPr>
          <w:rFonts w:hint="eastAsia"/>
          <w:sz w:val="24"/>
          <w:szCs w:val="24"/>
          <w:highlight w:val="none"/>
        </w:rPr>
        <w:t>（2）</w:t>
      </w:r>
      <w:r>
        <w:rPr>
          <w:rFonts w:hint="eastAsia"/>
          <w:sz w:val="24"/>
          <w:szCs w:val="24"/>
          <w:highlight w:val="none"/>
          <w:lang w:val="en-US" w:eastAsia="zh-CN"/>
        </w:rPr>
        <w:t>南厂区现有1条粗选生产线，</w:t>
      </w:r>
      <w:r>
        <w:rPr>
          <w:rFonts w:hint="eastAsia"/>
          <w:sz w:val="24"/>
          <w:szCs w:val="24"/>
          <w:highlight w:val="none"/>
        </w:rPr>
        <w:t>本项</w:t>
      </w:r>
      <w:r>
        <w:rPr>
          <w:rFonts w:hint="eastAsia"/>
          <w:sz w:val="24"/>
          <w:szCs w:val="24"/>
          <w:highlight w:val="none"/>
          <w:lang w:val="en-US" w:eastAsia="zh-CN"/>
        </w:rPr>
        <w:t>目拟在南厂区新增1套破碎设备，将现有原矿年处理能力从30万吨提升至60万吨</w:t>
      </w:r>
      <w:r>
        <w:rPr>
          <w:rFonts w:hint="default"/>
          <w:sz w:val="24"/>
          <w:szCs w:val="24"/>
          <w:highlight w:val="none"/>
        </w:rPr>
        <w:t>。</w:t>
      </w:r>
    </w:p>
    <w:p>
      <w:pPr>
        <w:spacing w:before="75" w:line="403" w:lineRule="auto"/>
        <w:ind w:left="21" w:firstLine="481"/>
        <w:jc w:val="both"/>
        <w:rPr>
          <w:rFonts w:hint="default" w:ascii="Times New Roman" w:hAnsi="Times New Roman" w:eastAsia="宋体" w:cs="Times New Roman"/>
          <w:spacing w:val="4"/>
          <w:sz w:val="23"/>
          <w:szCs w:val="23"/>
        </w:rPr>
      </w:pPr>
      <w:bookmarkStart w:id="19" w:name="_Toc521591665"/>
      <w:bookmarkStart w:id="20" w:name="_Toc2222"/>
      <w:bookmarkStart w:id="21" w:name="_Toc495"/>
      <w:bookmarkStart w:id="22" w:name="_Toc524284654"/>
      <w:bookmarkStart w:id="23" w:name="_Toc17076"/>
      <w:bookmarkStart w:id="24" w:name="_Toc536557274"/>
      <w:r>
        <w:rPr>
          <w:rFonts w:hint="eastAsia" w:ascii="Times New Roman" w:hAnsi="Times New Roman" w:eastAsia="宋体" w:cs="Times New Roman"/>
          <w:spacing w:val="4"/>
          <w:sz w:val="23"/>
          <w:szCs w:val="23"/>
        </w:rPr>
        <w:t>（3）项目生产工艺中产生的废气</w:t>
      </w:r>
      <w:r>
        <w:rPr>
          <w:rFonts w:hint="eastAsia" w:ascii="Times New Roman" w:hAnsi="Times New Roman" w:eastAsia="宋体" w:cs="Times New Roman"/>
          <w:spacing w:val="4"/>
          <w:sz w:val="23"/>
          <w:szCs w:val="23"/>
          <w:lang w:val="en-US" w:eastAsia="zh-CN"/>
        </w:rPr>
        <w:t>主要为含尘废气，无生产废水外排，采用基础减振、厂房隔声等措施控制设备</w:t>
      </w:r>
      <w:r>
        <w:rPr>
          <w:rFonts w:hint="eastAsia" w:ascii="Times New Roman" w:hAnsi="Times New Roman" w:eastAsia="宋体" w:cs="Times New Roman"/>
          <w:spacing w:val="4"/>
          <w:sz w:val="23"/>
          <w:szCs w:val="23"/>
        </w:rPr>
        <w:t>噪声</w:t>
      </w:r>
      <w:r>
        <w:rPr>
          <w:rFonts w:hint="eastAsia" w:ascii="Times New Roman" w:hAnsi="Times New Roman" w:eastAsia="宋体" w:cs="Times New Roman"/>
          <w:spacing w:val="4"/>
          <w:sz w:val="23"/>
          <w:szCs w:val="23"/>
          <w:lang w:eastAsia="zh-CN"/>
        </w:rPr>
        <w:t>，</w:t>
      </w:r>
      <w:r>
        <w:rPr>
          <w:rFonts w:hint="eastAsia" w:ascii="Times New Roman" w:hAnsi="Times New Roman" w:eastAsia="宋体" w:cs="Times New Roman"/>
          <w:spacing w:val="4"/>
          <w:sz w:val="23"/>
          <w:szCs w:val="23"/>
        </w:rPr>
        <w:t>固体废物</w:t>
      </w:r>
      <w:r>
        <w:rPr>
          <w:rFonts w:hint="eastAsia" w:ascii="Times New Roman" w:hAnsi="Times New Roman" w:eastAsia="宋体" w:cs="Times New Roman"/>
          <w:spacing w:val="4"/>
          <w:sz w:val="23"/>
          <w:szCs w:val="23"/>
          <w:lang w:val="en-US" w:eastAsia="zh-CN"/>
        </w:rPr>
        <w:t>全部得到妥善处置</w:t>
      </w:r>
      <w:r>
        <w:rPr>
          <w:rFonts w:hint="eastAsia" w:ascii="Times New Roman" w:hAnsi="Times New Roman" w:eastAsia="宋体" w:cs="Times New Roman"/>
          <w:spacing w:val="4"/>
          <w:sz w:val="23"/>
          <w:szCs w:val="23"/>
        </w:rPr>
        <w:t>，确保实现经济效益、社会效益、环境效益的协调发展。</w:t>
      </w:r>
    </w:p>
    <w:p>
      <w:pPr>
        <w:pStyle w:val="5"/>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r>
        <w:rPr>
          <w:rFonts w:ascii="Times New Roman" w:hAnsi="Times New Roman" w:eastAsia="宋体"/>
          <w:bCs w:val="0"/>
          <w:snapToGrid w:val="0"/>
          <w:kern w:val="0"/>
          <w:sz w:val="28"/>
          <w:szCs w:val="28"/>
          <w:highlight w:val="none"/>
        </w:rPr>
        <w:t>环境影响评价工作</w:t>
      </w:r>
      <w:bookmarkEnd w:id="19"/>
      <w:bookmarkEnd w:id="20"/>
      <w:bookmarkEnd w:id="21"/>
      <w:bookmarkEnd w:id="22"/>
      <w:bookmarkEnd w:id="23"/>
      <w:r>
        <w:rPr>
          <w:rFonts w:hint="eastAsia" w:ascii="Times New Roman" w:hAnsi="Times New Roman" w:eastAsia="宋体"/>
          <w:bCs w:val="0"/>
          <w:snapToGrid w:val="0"/>
          <w:kern w:val="0"/>
          <w:sz w:val="28"/>
          <w:szCs w:val="28"/>
          <w:highlight w:val="none"/>
        </w:rPr>
        <w:t>过程</w:t>
      </w:r>
      <w:bookmarkEnd w:id="24"/>
    </w:p>
    <w:p>
      <w:pPr>
        <w:ind w:firstLine="480"/>
        <w:jc w:val="both"/>
        <w:rPr>
          <w:sz w:val="24"/>
          <w:szCs w:val="24"/>
          <w:highlight w:val="none"/>
        </w:rPr>
      </w:pPr>
      <w:bookmarkStart w:id="25" w:name="_Hlk532151010"/>
      <w:r>
        <w:rPr>
          <w:sz w:val="24"/>
          <w:szCs w:val="24"/>
          <w:highlight w:val="none"/>
        </w:rPr>
        <w:t>根据《中华人民共和国环境保护法》、《中华人民共和国环境影响评价法》和《建设项目环境保护管理条例》（国务院第 682 号令）等法律法规规定，本项目属于</w:t>
      </w:r>
      <w:r>
        <w:rPr>
          <w:rFonts w:hint="eastAsia"/>
          <w:bCs/>
          <w:spacing w:val="4"/>
          <w:sz w:val="24"/>
          <w:highlight w:val="none"/>
        </w:rPr>
        <w:t>《建设项目环境影响评价分类管理名录（2021年本）》中“六、黑色金属矿采选业-9-铁矿采选业”</w:t>
      </w:r>
      <w:r>
        <w:rPr>
          <w:sz w:val="24"/>
          <w:szCs w:val="24"/>
          <w:highlight w:val="none"/>
        </w:rPr>
        <w:t>，需编制环境影响报告书。</w:t>
      </w:r>
    </w:p>
    <w:p>
      <w:pPr>
        <w:ind w:firstLine="480"/>
        <w:jc w:val="both"/>
        <w:rPr>
          <w:sz w:val="24"/>
          <w:szCs w:val="24"/>
          <w:highlight w:val="none"/>
        </w:rPr>
      </w:pPr>
      <w:r>
        <w:rPr>
          <w:sz w:val="24"/>
          <w:szCs w:val="24"/>
          <w:highlight w:val="none"/>
        </w:rPr>
        <w:t>受建设单位</w:t>
      </w:r>
      <w:r>
        <w:rPr>
          <w:rFonts w:hint="eastAsia"/>
          <w:sz w:val="24"/>
          <w:szCs w:val="24"/>
          <w:highlight w:val="none"/>
        </w:rPr>
        <w:t>遵化市恒泰矿业有限公司</w:t>
      </w:r>
      <w:r>
        <w:rPr>
          <w:sz w:val="24"/>
          <w:szCs w:val="24"/>
          <w:highlight w:val="none"/>
        </w:rPr>
        <w:t>委托，</w:t>
      </w:r>
      <w:r>
        <w:rPr>
          <w:rFonts w:hint="eastAsia"/>
          <w:sz w:val="24"/>
          <w:szCs w:val="24"/>
          <w:highlight w:val="none"/>
        </w:rPr>
        <w:t>我</w:t>
      </w:r>
      <w:r>
        <w:rPr>
          <w:sz w:val="24"/>
          <w:szCs w:val="24"/>
          <w:highlight w:val="none"/>
        </w:rPr>
        <w:t>公司承担本项目环境影响评价工作。接受委托后，评价单位组织技术人员认真研究本项目的有关材料，并进行实地踏勘和调研，收集和核实有关资料。根据有关工程资料，在进行现场调查、预测计算分析等工作的基础上，编制完成了《</w:t>
      </w:r>
      <w:r>
        <w:rPr>
          <w:rFonts w:hint="eastAsia"/>
          <w:sz w:val="24"/>
          <w:szCs w:val="24"/>
          <w:highlight w:val="none"/>
        </w:rPr>
        <w:t>遵化市恒泰矿业有限公司年处理60万吨铁矿石、30万吨粗精矿改扩建项目</w:t>
      </w:r>
      <w:r>
        <w:rPr>
          <w:sz w:val="24"/>
          <w:szCs w:val="24"/>
          <w:highlight w:val="none"/>
        </w:rPr>
        <w:t>环境影响报告书》。</w:t>
      </w:r>
    </w:p>
    <w:p>
      <w:pPr>
        <w:ind w:firstLine="480"/>
        <w:jc w:val="both"/>
        <w:rPr>
          <w:sz w:val="24"/>
          <w:szCs w:val="24"/>
          <w:highlight w:val="none"/>
        </w:rPr>
      </w:pPr>
      <w:r>
        <w:rPr>
          <w:sz w:val="24"/>
          <w:szCs w:val="24"/>
          <w:highlight w:val="none"/>
        </w:rPr>
        <w:t>通过环境影响评价，了解项目建设前的环境现状，预测项目建设过程和建成后对大气环境、水环境、声环境的影响程度和范围，并提出防止污染和减缓项目建设对周围环境影响的可行措施，为建设项目的工程设计、施工和建成后的环境管理提供科学依据。</w:t>
      </w:r>
      <w:bookmarkEnd w:id="25"/>
    </w:p>
    <w:p>
      <w:pPr>
        <w:pStyle w:val="5"/>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6" w:name="_Toc536557275"/>
      <w:bookmarkStart w:id="27" w:name="_Hlk532151070"/>
      <w:bookmarkStart w:id="28" w:name="_Toc10755"/>
      <w:bookmarkStart w:id="29" w:name="_Toc524284655"/>
      <w:bookmarkStart w:id="30" w:name="_Toc521591666"/>
      <w:bookmarkStart w:id="31" w:name="_Toc20001"/>
      <w:bookmarkStart w:id="32" w:name="_Toc11884"/>
      <w:r>
        <w:rPr>
          <w:rFonts w:hint="eastAsia" w:ascii="Times New Roman" w:hAnsi="Times New Roman" w:eastAsia="宋体"/>
          <w:bCs w:val="0"/>
          <w:snapToGrid w:val="0"/>
          <w:kern w:val="0"/>
          <w:sz w:val="28"/>
          <w:szCs w:val="28"/>
          <w:highlight w:val="none"/>
        </w:rPr>
        <w:t>分析判定相关情况</w:t>
      </w:r>
      <w:bookmarkEnd w:id="26"/>
    </w:p>
    <w:p>
      <w:pPr>
        <w:ind w:firstLine="480"/>
        <w:jc w:val="both"/>
        <w:rPr>
          <w:sz w:val="24"/>
          <w:szCs w:val="24"/>
          <w:highlight w:val="none"/>
        </w:rPr>
      </w:pPr>
      <w:r>
        <w:rPr>
          <w:rFonts w:hint="eastAsia"/>
          <w:sz w:val="24"/>
          <w:szCs w:val="24"/>
          <w:highlight w:val="none"/>
        </w:rPr>
        <w:t>（1）产业政策符合性</w:t>
      </w:r>
    </w:p>
    <w:p>
      <w:pPr>
        <w:ind w:firstLine="480"/>
        <w:jc w:val="both"/>
        <w:rPr>
          <w:sz w:val="24"/>
          <w:highlight w:val="none"/>
        </w:rPr>
      </w:pPr>
      <w:r>
        <w:rPr>
          <w:rFonts w:hint="eastAsia"/>
          <w:sz w:val="24"/>
          <w:highlight w:val="none"/>
        </w:rPr>
        <w:t>本项目不属于</w:t>
      </w:r>
      <w:r>
        <w:rPr>
          <w:sz w:val="24"/>
          <w:highlight w:val="none"/>
        </w:rPr>
        <w:t>《产业结构调整指导目录（201</w:t>
      </w:r>
      <w:r>
        <w:rPr>
          <w:rFonts w:hint="eastAsia"/>
          <w:sz w:val="24"/>
          <w:highlight w:val="none"/>
        </w:rPr>
        <w:t>9</w:t>
      </w:r>
      <w:r>
        <w:rPr>
          <w:sz w:val="24"/>
          <w:highlight w:val="none"/>
        </w:rPr>
        <w:t>年本）》，</w:t>
      </w:r>
      <w:r>
        <w:rPr>
          <w:rFonts w:hint="eastAsia"/>
          <w:sz w:val="24"/>
          <w:highlight w:val="none"/>
        </w:rPr>
        <w:t>中的</w:t>
      </w:r>
      <w:r>
        <w:rPr>
          <w:sz w:val="24"/>
          <w:highlight w:val="none"/>
        </w:rPr>
        <w:t>淘汰类、限制类</w:t>
      </w:r>
      <w:r>
        <w:rPr>
          <w:rFonts w:hint="eastAsia"/>
          <w:sz w:val="24"/>
          <w:highlight w:val="none"/>
        </w:rPr>
        <w:t>产业项目</w:t>
      </w:r>
      <w:r>
        <w:rPr>
          <w:sz w:val="24"/>
          <w:highlight w:val="none"/>
        </w:rPr>
        <w:t>，符合产业政策</w:t>
      </w:r>
      <w:r>
        <w:rPr>
          <w:rFonts w:hint="eastAsia"/>
          <w:sz w:val="24"/>
          <w:highlight w:val="none"/>
        </w:rPr>
        <w:t>要求</w:t>
      </w:r>
      <w:r>
        <w:rPr>
          <w:sz w:val="24"/>
          <w:highlight w:val="none"/>
        </w:rPr>
        <w:t>。</w:t>
      </w:r>
    </w:p>
    <w:p>
      <w:pPr>
        <w:ind w:firstLine="480"/>
        <w:jc w:val="both"/>
        <w:rPr>
          <w:sz w:val="24"/>
          <w:highlight w:val="none"/>
        </w:rPr>
      </w:pPr>
      <w:r>
        <w:rPr>
          <w:sz w:val="24"/>
          <w:highlight w:val="none"/>
        </w:rPr>
        <w:t>本项目为选矿项目，不属于《河北省新增限制和淘汰类产业目录（2015年版）》中淘汰类、限制类项目，项目建设符合河北省政策要求。</w:t>
      </w:r>
    </w:p>
    <w:p>
      <w:pPr>
        <w:ind w:firstLine="480"/>
        <w:jc w:val="both"/>
        <w:rPr>
          <w:sz w:val="24"/>
          <w:szCs w:val="24"/>
          <w:highlight w:val="none"/>
        </w:rPr>
      </w:pPr>
      <w:r>
        <w:rPr>
          <w:rFonts w:hint="eastAsia"/>
          <w:sz w:val="24"/>
          <w:szCs w:val="24"/>
          <w:highlight w:val="none"/>
        </w:rPr>
        <w:t>（2）选址合理性</w:t>
      </w:r>
    </w:p>
    <w:p>
      <w:pPr>
        <w:snapToGrid w:val="0"/>
        <w:ind w:firstLine="480"/>
        <w:jc w:val="both"/>
        <w:rPr>
          <w:sz w:val="24"/>
          <w:highlight w:val="none"/>
        </w:rPr>
      </w:pPr>
      <w:r>
        <w:rPr>
          <w:sz w:val="24"/>
          <w:highlight w:val="none"/>
        </w:rPr>
        <w:t>本项目位于</w:t>
      </w:r>
      <w:r>
        <w:rPr>
          <w:rFonts w:hint="eastAsia"/>
          <w:sz w:val="24"/>
          <w:highlight w:val="none"/>
        </w:rPr>
        <w:t>遵化市</w:t>
      </w:r>
      <w:r>
        <w:rPr>
          <w:rFonts w:hint="eastAsia"/>
          <w:sz w:val="24"/>
          <w:szCs w:val="24"/>
          <w:highlight w:val="none"/>
        </w:rPr>
        <w:t>堡子店</w:t>
      </w:r>
      <w:r>
        <w:rPr>
          <w:sz w:val="24"/>
          <w:szCs w:val="24"/>
          <w:highlight w:val="none"/>
        </w:rPr>
        <w:t>镇</w:t>
      </w:r>
      <w:r>
        <w:rPr>
          <w:rFonts w:hint="eastAsia"/>
          <w:sz w:val="24"/>
          <w:szCs w:val="24"/>
          <w:highlight w:val="none"/>
        </w:rPr>
        <w:t>西新店子村南遵化市恒泰矿业有限公司</w:t>
      </w:r>
      <w:r>
        <w:rPr>
          <w:rFonts w:hint="eastAsia"/>
          <w:sz w:val="24"/>
          <w:szCs w:val="24"/>
          <w:highlight w:val="none"/>
          <w:lang w:val="en-US" w:eastAsia="zh-CN"/>
        </w:rPr>
        <w:t>现有南区厂区内</w:t>
      </w:r>
      <w:r>
        <w:rPr>
          <w:rFonts w:hint="eastAsia"/>
          <w:sz w:val="24"/>
          <w:highlight w:val="none"/>
        </w:rPr>
        <w:t>，</w:t>
      </w:r>
      <w:r>
        <w:rPr>
          <w:rFonts w:hint="eastAsia"/>
          <w:sz w:val="24"/>
          <w:highlight w:val="none"/>
          <w:lang w:val="en-US" w:eastAsia="zh-CN"/>
        </w:rPr>
        <w:t>符合</w:t>
      </w:r>
      <w:r>
        <w:rPr>
          <w:rFonts w:hint="eastAsia"/>
          <w:sz w:val="24"/>
          <w:highlight w:val="none"/>
        </w:rPr>
        <w:t>所在地</w:t>
      </w:r>
      <w:r>
        <w:rPr>
          <w:sz w:val="24"/>
          <w:highlight w:val="none"/>
        </w:rPr>
        <w:t>符合</w:t>
      </w:r>
      <w:r>
        <w:rPr>
          <w:rFonts w:hint="eastAsia"/>
          <w:sz w:val="24"/>
          <w:highlight w:val="none"/>
        </w:rPr>
        <w:t>城乡</w:t>
      </w:r>
      <w:r>
        <w:rPr>
          <w:sz w:val="24"/>
          <w:highlight w:val="none"/>
        </w:rPr>
        <w:t>规划</w:t>
      </w:r>
      <w:r>
        <w:rPr>
          <w:rFonts w:hint="eastAsia"/>
          <w:sz w:val="24"/>
          <w:highlight w:val="none"/>
        </w:rPr>
        <w:t>要求</w:t>
      </w:r>
      <w:r>
        <w:rPr>
          <w:sz w:val="24"/>
          <w:highlight w:val="none"/>
        </w:rPr>
        <w:t>。</w:t>
      </w:r>
    </w:p>
    <w:p>
      <w:pPr>
        <w:snapToGrid w:val="0"/>
        <w:ind w:firstLine="480"/>
        <w:jc w:val="both"/>
        <w:rPr>
          <w:sz w:val="24"/>
          <w:highlight w:val="none"/>
        </w:rPr>
      </w:pPr>
      <w:r>
        <w:rPr>
          <w:rFonts w:hint="eastAsia"/>
          <w:sz w:val="24"/>
          <w:highlight w:val="none"/>
        </w:rPr>
        <w:t>本项目为铁选厂，不涉及采矿，主要工序为对铁矿石进行破碎、</w:t>
      </w:r>
      <w:r>
        <w:rPr>
          <w:rFonts w:hint="eastAsia"/>
          <w:bCs/>
          <w:sz w:val="24"/>
          <w:szCs w:val="24"/>
          <w:highlight w:val="none"/>
        </w:rPr>
        <w:t>球磨</w:t>
      </w:r>
      <w:r>
        <w:rPr>
          <w:rFonts w:hint="eastAsia" w:ascii="宋体" w:hAnsi="宋体"/>
          <w:bCs/>
          <w:sz w:val="24"/>
          <w:szCs w:val="24"/>
          <w:highlight w:val="none"/>
        </w:rPr>
        <w:t>、</w:t>
      </w:r>
      <w:r>
        <w:rPr>
          <w:rFonts w:hint="eastAsia"/>
          <w:bCs/>
          <w:sz w:val="24"/>
          <w:szCs w:val="24"/>
          <w:highlight w:val="none"/>
        </w:rPr>
        <w:t>磁选</w:t>
      </w:r>
      <w:r>
        <w:rPr>
          <w:rFonts w:hint="eastAsia" w:ascii="宋体" w:hAnsi="宋体"/>
          <w:bCs/>
          <w:sz w:val="24"/>
          <w:szCs w:val="24"/>
          <w:highlight w:val="none"/>
        </w:rPr>
        <w:t>、</w:t>
      </w:r>
      <w:r>
        <w:rPr>
          <w:rFonts w:hint="eastAsia"/>
          <w:bCs/>
          <w:sz w:val="24"/>
          <w:szCs w:val="24"/>
          <w:highlight w:val="none"/>
        </w:rPr>
        <w:t>过滤</w:t>
      </w:r>
      <w:r>
        <w:rPr>
          <w:rFonts w:hint="eastAsia"/>
          <w:sz w:val="24"/>
          <w:highlight w:val="none"/>
          <w:lang w:eastAsia="zh-CN"/>
        </w:rPr>
        <w:t>，</w:t>
      </w:r>
      <w:r>
        <w:rPr>
          <w:rFonts w:hint="eastAsia"/>
          <w:sz w:val="24"/>
          <w:highlight w:val="none"/>
        </w:rPr>
        <w:t>产生的生产废水经处理后全部回用于生产，不会对水体产生影响；项目不在水源地保护区范围内；项目周边</w:t>
      </w:r>
      <w:r>
        <w:rPr>
          <w:sz w:val="24"/>
          <w:highlight w:val="none"/>
        </w:rPr>
        <w:t>500m</w:t>
      </w:r>
      <w:r>
        <w:rPr>
          <w:rFonts w:hint="eastAsia"/>
          <w:sz w:val="24"/>
          <w:highlight w:val="none"/>
        </w:rPr>
        <w:t>范围内无河流水库等，满足《遵化市铁选矿综合治理工作实施方案》中相关要求；通过噪声影响预测，项目运行期厂界噪声贡献值达标，影响较小；项目运行期采取环保措施后对周围环境影响可以接受；另外，在公示期间，未收到相关群众反馈意见。</w:t>
      </w:r>
    </w:p>
    <w:p>
      <w:pPr>
        <w:ind w:firstLine="480"/>
        <w:jc w:val="both"/>
        <w:rPr>
          <w:sz w:val="24"/>
          <w:szCs w:val="24"/>
          <w:highlight w:val="none"/>
        </w:rPr>
      </w:pPr>
      <w:r>
        <w:rPr>
          <w:rFonts w:hint="eastAsia"/>
          <w:sz w:val="24"/>
          <w:highlight w:val="none"/>
        </w:rPr>
        <w:t>综上所述，从环境保护角度，项目选址合理。</w:t>
      </w:r>
    </w:p>
    <w:p>
      <w:pPr>
        <w:ind w:firstLine="480"/>
        <w:jc w:val="both"/>
        <w:rPr>
          <w:sz w:val="24"/>
          <w:highlight w:val="none"/>
        </w:rPr>
      </w:pPr>
      <w:r>
        <w:rPr>
          <w:sz w:val="24"/>
          <w:highlight w:val="none"/>
        </w:rPr>
        <w:t>本项目位于</w:t>
      </w:r>
      <w:r>
        <w:rPr>
          <w:rFonts w:hint="eastAsia"/>
          <w:sz w:val="24"/>
          <w:highlight w:val="none"/>
        </w:rPr>
        <w:t>遵化市</w:t>
      </w:r>
      <w:r>
        <w:rPr>
          <w:rFonts w:hint="eastAsia"/>
          <w:sz w:val="24"/>
          <w:szCs w:val="24"/>
          <w:highlight w:val="none"/>
        </w:rPr>
        <w:t>堡子店</w:t>
      </w:r>
      <w:r>
        <w:rPr>
          <w:sz w:val="24"/>
          <w:szCs w:val="24"/>
          <w:highlight w:val="none"/>
        </w:rPr>
        <w:t>镇</w:t>
      </w:r>
      <w:r>
        <w:rPr>
          <w:rFonts w:hint="eastAsia"/>
          <w:sz w:val="24"/>
          <w:szCs w:val="24"/>
          <w:highlight w:val="none"/>
        </w:rPr>
        <w:t>西新店子村南遵化市恒泰矿业有限公司</w:t>
      </w:r>
      <w:r>
        <w:rPr>
          <w:rFonts w:hint="eastAsia"/>
          <w:sz w:val="24"/>
          <w:szCs w:val="24"/>
          <w:highlight w:val="none"/>
          <w:lang w:val="en-US" w:eastAsia="zh-CN"/>
        </w:rPr>
        <w:t>现有南区厂区内</w:t>
      </w:r>
      <w:r>
        <w:rPr>
          <w:sz w:val="24"/>
          <w:highlight w:val="none"/>
        </w:rPr>
        <w:t>，</w:t>
      </w:r>
      <w:r>
        <w:rPr>
          <w:rFonts w:hint="eastAsia"/>
          <w:sz w:val="24"/>
          <w:highlight w:val="none"/>
        </w:rPr>
        <w:t>未在遵化市生态保护红线范围内。</w:t>
      </w:r>
    </w:p>
    <w:p>
      <w:pPr>
        <w:ind w:firstLine="480"/>
        <w:jc w:val="both"/>
        <w:rPr>
          <w:sz w:val="24"/>
          <w:highlight w:val="none"/>
        </w:rPr>
      </w:pPr>
      <w:r>
        <w:rPr>
          <w:sz w:val="24"/>
          <w:highlight w:val="none"/>
        </w:rPr>
        <w:t>本项目采取完善的污染源处理措施，各类污染物均能够实现达标排放。在严格落实废气、废水、噪声、固废等污染防治措施前提下，项目的实施不会对周围环境产生明显影响</w:t>
      </w:r>
      <w:r>
        <w:rPr>
          <w:rFonts w:hint="eastAsia"/>
          <w:sz w:val="24"/>
          <w:highlight w:val="none"/>
        </w:rPr>
        <w:t>，不会改变区域的环境质量功能类别</w:t>
      </w:r>
      <w:r>
        <w:rPr>
          <w:sz w:val="24"/>
          <w:highlight w:val="none"/>
        </w:rPr>
        <w:t>。</w:t>
      </w:r>
    </w:p>
    <w:p>
      <w:pPr>
        <w:ind w:firstLine="480"/>
        <w:jc w:val="both"/>
        <w:rPr>
          <w:sz w:val="24"/>
          <w:highlight w:val="none"/>
        </w:rPr>
      </w:pPr>
      <w:r>
        <w:rPr>
          <w:rFonts w:hint="eastAsia"/>
          <w:sz w:val="24"/>
          <w:highlight w:val="none"/>
        </w:rPr>
        <w:t>本项目所在地不属于</w:t>
      </w:r>
      <w:r>
        <w:rPr>
          <w:sz w:val="24"/>
          <w:highlight w:val="none"/>
        </w:rPr>
        <w:t>超采、禁采和限采</w:t>
      </w:r>
      <w:r>
        <w:rPr>
          <w:rFonts w:hint="eastAsia"/>
          <w:sz w:val="24"/>
          <w:highlight w:val="none"/>
        </w:rPr>
        <w:t>范围内，项目所在区地下水资源丰富，水资源供应有保障。</w:t>
      </w:r>
    </w:p>
    <w:p>
      <w:pPr>
        <w:snapToGrid w:val="0"/>
        <w:ind w:firstLine="480"/>
        <w:jc w:val="both"/>
        <w:rPr>
          <w:sz w:val="24"/>
          <w:highlight w:val="none"/>
        </w:rPr>
      </w:pPr>
      <w:r>
        <w:rPr>
          <w:sz w:val="24"/>
          <w:highlight w:val="none"/>
        </w:rPr>
        <w:t>本项目生产规模</w:t>
      </w:r>
      <w:r>
        <w:rPr>
          <w:rFonts w:hint="eastAsia"/>
          <w:sz w:val="24"/>
          <w:highlight w:val="none"/>
        </w:rPr>
        <w:t>为年处理</w:t>
      </w:r>
      <w:r>
        <w:rPr>
          <w:rFonts w:hint="eastAsia"/>
          <w:sz w:val="24"/>
          <w:highlight w:val="none"/>
          <w:lang w:val="en-US" w:eastAsia="zh-CN"/>
        </w:rPr>
        <w:t>60</w:t>
      </w:r>
      <w:r>
        <w:rPr>
          <w:rFonts w:hint="eastAsia"/>
          <w:sz w:val="24"/>
          <w:highlight w:val="none"/>
        </w:rPr>
        <w:t>万吨铁矿石、30万吨粗精矿，</w:t>
      </w:r>
      <w:r>
        <w:rPr>
          <w:sz w:val="24"/>
          <w:highlight w:val="none"/>
        </w:rPr>
        <w:t>不属于《产业结构调整指导目录</w:t>
      </w:r>
      <w:r>
        <w:rPr>
          <w:rFonts w:hint="eastAsia"/>
          <w:sz w:val="24"/>
          <w:highlight w:val="none"/>
        </w:rPr>
        <w:t>（</w:t>
      </w:r>
      <w:r>
        <w:rPr>
          <w:sz w:val="24"/>
          <w:highlight w:val="none"/>
        </w:rPr>
        <w:t>201</w:t>
      </w:r>
      <w:r>
        <w:rPr>
          <w:rFonts w:hint="eastAsia"/>
          <w:sz w:val="24"/>
          <w:highlight w:val="none"/>
        </w:rPr>
        <w:t>9</w:t>
      </w:r>
      <w:r>
        <w:rPr>
          <w:sz w:val="24"/>
          <w:highlight w:val="none"/>
        </w:rPr>
        <w:t>年本）禁止或限制类工程，属于允许建设类工程；不属于《河北省人民政府办公厅关于印发河北省新增限制和淘汰类产业目录的通知》（冀政办发[2015]7号）中所规定的禁止和限制建设的工程</w:t>
      </w:r>
      <w:r>
        <w:rPr>
          <w:rFonts w:hint="eastAsia"/>
          <w:sz w:val="24"/>
          <w:highlight w:val="none"/>
        </w:rPr>
        <w:t>，符合《遵化市铁选矿综合治理工作实施方案》要求。</w:t>
      </w:r>
    </w:p>
    <w:p>
      <w:pPr>
        <w:ind w:firstLine="480"/>
        <w:jc w:val="both"/>
        <w:rPr>
          <w:highlight w:val="none"/>
        </w:rPr>
      </w:pPr>
      <w:r>
        <w:rPr>
          <w:rFonts w:hint="eastAsia"/>
          <w:sz w:val="24"/>
          <w:highlight w:val="none"/>
        </w:rPr>
        <w:t>综上</w:t>
      </w:r>
      <w:r>
        <w:rPr>
          <w:sz w:val="24"/>
          <w:highlight w:val="none"/>
        </w:rPr>
        <w:t>分析可知，本项目符合</w:t>
      </w:r>
      <w:r>
        <w:rPr>
          <w:rFonts w:hint="eastAsia"/>
          <w:sz w:val="24"/>
          <w:highlight w:val="none"/>
        </w:rPr>
        <w:t>“</w:t>
      </w:r>
      <w:r>
        <w:rPr>
          <w:sz w:val="24"/>
          <w:highlight w:val="none"/>
        </w:rPr>
        <w:t>三线一单</w:t>
      </w:r>
      <w:r>
        <w:rPr>
          <w:rFonts w:hint="eastAsia"/>
          <w:sz w:val="24"/>
          <w:highlight w:val="none"/>
        </w:rPr>
        <w:t>”</w:t>
      </w:r>
      <w:r>
        <w:rPr>
          <w:sz w:val="24"/>
          <w:highlight w:val="none"/>
        </w:rPr>
        <w:t>的要求</w:t>
      </w:r>
      <w:r>
        <w:rPr>
          <w:rFonts w:hint="eastAsia"/>
          <w:sz w:val="24"/>
          <w:highlight w:val="none"/>
        </w:rPr>
        <w:t>。</w:t>
      </w:r>
      <w:bookmarkEnd w:id="27"/>
    </w:p>
    <w:p>
      <w:pPr>
        <w:pStyle w:val="5"/>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3" w:name="_Toc536557276"/>
      <w:r>
        <w:rPr>
          <w:rFonts w:ascii="Times New Roman" w:hAnsi="Times New Roman" w:eastAsia="宋体"/>
          <w:bCs w:val="0"/>
          <w:snapToGrid w:val="0"/>
          <w:kern w:val="0"/>
          <w:sz w:val="28"/>
          <w:szCs w:val="28"/>
          <w:highlight w:val="none"/>
        </w:rPr>
        <w:t>关注的主要环境问题及环境影响</w:t>
      </w:r>
      <w:bookmarkEnd w:id="28"/>
      <w:bookmarkEnd w:id="29"/>
      <w:bookmarkEnd w:id="30"/>
      <w:bookmarkEnd w:id="31"/>
      <w:bookmarkEnd w:id="32"/>
      <w:bookmarkEnd w:id="33"/>
    </w:p>
    <w:p>
      <w:pPr>
        <w:snapToGrid w:val="0"/>
        <w:ind w:firstLine="496"/>
        <w:jc w:val="both"/>
        <w:rPr>
          <w:bCs/>
          <w:spacing w:val="4"/>
          <w:sz w:val="24"/>
          <w:highlight w:val="none"/>
        </w:rPr>
      </w:pPr>
      <w:bookmarkStart w:id="34" w:name="_Hlk532151121"/>
      <w:r>
        <w:rPr>
          <w:rFonts w:hint="eastAsia"/>
          <w:bCs/>
          <w:spacing w:val="4"/>
          <w:sz w:val="24"/>
          <w:highlight w:val="none"/>
        </w:rPr>
        <w:t>根据地下水现状监测报告，项目占地区域地下水各监测因子均满足《地下水质量标准》（GB/T14848－2017）中Ⅲ类标准限值要求；施工期采取严格的污染防治措施，不会对周围环境造成影响。</w:t>
      </w:r>
    </w:p>
    <w:p>
      <w:pPr>
        <w:snapToGrid w:val="0"/>
        <w:ind w:firstLine="496"/>
        <w:jc w:val="both"/>
        <w:rPr>
          <w:bCs/>
          <w:spacing w:val="4"/>
          <w:sz w:val="24"/>
          <w:highlight w:val="none"/>
        </w:rPr>
      </w:pPr>
      <w:r>
        <w:rPr>
          <w:rFonts w:hint="eastAsia"/>
          <w:bCs/>
          <w:spacing w:val="4"/>
          <w:sz w:val="24"/>
          <w:highlight w:val="none"/>
        </w:rPr>
        <w:t>本项目运营期关注的环境问题为：</w:t>
      </w:r>
    </w:p>
    <w:p>
      <w:pPr>
        <w:snapToGrid w:val="0"/>
        <w:ind w:firstLine="496"/>
        <w:jc w:val="both"/>
        <w:rPr>
          <w:bCs/>
          <w:spacing w:val="4"/>
          <w:sz w:val="24"/>
          <w:highlight w:val="none"/>
        </w:rPr>
      </w:pPr>
      <w:r>
        <w:rPr>
          <w:rFonts w:hint="eastAsia"/>
          <w:bCs/>
          <w:spacing w:val="4"/>
          <w:sz w:val="24"/>
          <w:highlight w:val="none"/>
        </w:rPr>
        <w:t>（1）废气：颗粒物对大气环境的影响；</w:t>
      </w:r>
    </w:p>
    <w:p>
      <w:pPr>
        <w:snapToGrid w:val="0"/>
        <w:ind w:firstLine="496"/>
        <w:jc w:val="both"/>
        <w:rPr>
          <w:bCs/>
          <w:spacing w:val="4"/>
          <w:sz w:val="24"/>
          <w:highlight w:val="none"/>
        </w:rPr>
      </w:pPr>
      <w:r>
        <w:rPr>
          <w:rFonts w:hint="eastAsia"/>
          <w:bCs/>
          <w:spacing w:val="4"/>
          <w:sz w:val="24"/>
          <w:highlight w:val="none"/>
        </w:rPr>
        <w:t>（2）噪声：生产设备运行过程中产生的噪声对周边环境的影响；</w:t>
      </w:r>
    </w:p>
    <w:p>
      <w:pPr>
        <w:snapToGrid w:val="0"/>
        <w:ind w:firstLine="496"/>
        <w:jc w:val="both"/>
        <w:rPr>
          <w:bCs/>
          <w:spacing w:val="4"/>
          <w:sz w:val="24"/>
          <w:highlight w:val="none"/>
        </w:rPr>
      </w:pPr>
      <w:r>
        <w:rPr>
          <w:rFonts w:hint="eastAsia"/>
          <w:bCs/>
          <w:spacing w:val="4"/>
          <w:sz w:val="24"/>
          <w:highlight w:val="none"/>
        </w:rPr>
        <w:t>（3）地下水：项目建设对区域地下水环境的影响。</w:t>
      </w:r>
    </w:p>
    <w:p>
      <w:pPr>
        <w:snapToGrid w:val="0"/>
        <w:ind w:firstLine="496"/>
        <w:jc w:val="both"/>
        <w:rPr>
          <w:bCs/>
          <w:sz w:val="24"/>
          <w:highlight w:val="none"/>
        </w:rPr>
      </w:pPr>
      <w:r>
        <w:rPr>
          <w:rFonts w:hint="eastAsia"/>
          <w:bCs/>
          <w:spacing w:val="4"/>
          <w:sz w:val="24"/>
          <w:highlight w:val="none"/>
        </w:rPr>
        <w:t>项目产生的废气主要为破碎筛分工序、物料堆存、装卸过程中产生的颗粒物，</w:t>
      </w:r>
      <w:r>
        <w:rPr>
          <w:rFonts w:hint="eastAsia"/>
          <w:bCs/>
          <w:spacing w:val="4"/>
          <w:sz w:val="24"/>
          <w:highlight w:val="none"/>
          <w:lang w:val="en-US" w:eastAsia="zh-CN"/>
        </w:rPr>
        <w:t>采取在</w:t>
      </w:r>
      <w:r>
        <w:rPr>
          <w:rFonts w:hint="eastAsia"/>
          <w:bCs/>
          <w:spacing w:val="4"/>
          <w:sz w:val="24"/>
          <w:highlight w:val="none"/>
        </w:rPr>
        <w:t>车间内设置喷雾抑尘</w:t>
      </w:r>
      <w:r>
        <w:rPr>
          <w:rFonts w:hint="eastAsia"/>
          <w:bCs/>
          <w:spacing w:val="4"/>
          <w:sz w:val="24"/>
          <w:highlight w:val="none"/>
          <w:lang w:val="en-US" w:eastAsia="zh-CN"/>
        </w:rPr>
        <w:t>装置</w:t>
      </w:r>
      <w:r>
        <w:rPr>
          <w:rFonts w:hint="eastAsia"/>
          <w:bCs/>
          <w:spacing w:val="4"/>
          <w:sz w:val="24"/>
          <w:highlight w:val="none"/>
          <w:lang w:eastAsia="zh-CN"/>
        </w:rPr>
        <w:t>，</w:t>
      </w:r>
      <w:r>
        <w:rPr>
          <w:rFonts w:hint="eastAsia"/>
          <w:bCs/>
          <w:spacing w:val="4"/>
          <w:sz w:val="24"/>
          <w:highlight w:val="none"/>
          <w:lang w:val="en-US" w:eastAsia="zh-CN"/>
        </w:rPr>
        <w:t>产尘点废气由集气罩收集后由</w:t>
      </w:r>
      <w:r>
        <w:rPr>
          <w:bCs/>
          <w:spacing w:val="4"/>
          <w:sz w:val="24"/>
          <w:highlight w:val="none"/>
        </w:rPr>
        <w:t>离线清灰脉冲布袋除尘器</w:t>
      </w:r>
      <w:r>
        <w:rPr>
          <w:rFonts w:hint="eastAsia"/>
          <w:bCs/>
          <w:spacing w:val="4"/>
          <w:sz w:val="24"/>
          <w:highlight w:val="none"/>
        </w:rPr>
        <w:t>处理后</w:t>
      </w:r>
      <w:r>
        <w:rPr>
          <w:rFonts w:hint="eastAsia"/>
          <w:bCs/>
          <w:spacing w:val="4"/>
          <w:sz w:val="24"/>
          <w:highlight w:val="none"/>
          <w:lang w:val="en-US" w:eastAsia="zh-CN"/>
        </w:rPr>
        <w:t>通过</w:t>
      </w:r>
      <w:r>
        <w:rPr>
          <w:rFonts w:hint="eastAsia"/>
          <w:bCs/>
          <w:spacing w:val="4"/>
          <w:sz w:val="24"/>
          <w:highlight w:val="none"/>
        </w:rPr>
        <w:t>20m</w:t>
      </w:r>
      <w:r>
        <w:rPr>
          <w:bCs/>
          <w:spacing w:val="4"/>
          <w:sz w:val="24"/>
          <w:highlight w:val="none"/>
        </w:rPr>
        <w:t>高排气筒</w:t>
      </w:r>
      <w:r>
        <w:rPr>
          <w:rFonts w:hint="eastAsia"/>
          <w:bCs/>
          <w:spacing w:val="4"/>
          <w:sz w:val="24"/>
          <w:highlight w:val="none"/>
        </w:rPr>
        <w:t>达标排放等措施置；</w:t>
      </w:r>
      <w:r>
        <w:rPr>
          <w:rFonts w:hint="eastAsia"/>
          <w:bCs/>
          <w:spacing w:val="4"/>
          <w:sz w:val="24"/>
          <w:highlight w:val="none"/>
          <w:lang w:val="en-US" w:eastAsia="zh-CN"/>
        </w:rPr>
        <w:t>本项目生产废水</w:t>
      </w:r>
      <w:r>
        <w:rPr>
          <w:rFonts w:hint="eastAsia"/>
          <w:bCs/>
          <w:spacing w:val="4"/>
          <w:sz w:val="24"/>
          <w:highlight w:val="none"/>
        </w:rPr>
        <w:t>经处理后回用于生产，</w:t>
      </w:r>
      <w:r>
        <w:rPr>
          <w:rFonts w:hint="eastAsia"/>
          <w:bCs/>
          <w:spacing w:val="4"/>
          <w:sz w:val="24"/>
          <w:highlight w:val="none"/>
          <w:lang w:val="en-US" w:eastAsia="zh-CN"/>
        </w:rPr>
        <w:t>不新增生活污水产生量</w:t>
      </w:r>
      <w:r>
        <w:rPr>
          <w:rFonts w:hint="eastAsia"/>
          <w:bCs/>
          <w:spacing w:val="4"/>
          <w:sz w:val="24"/>
          <w:highlight w:val="none"/>
        </w:rPr>
        <w:t>，无生产生活废水外排；</w:t>
      </w:r>
      <w:r>
        <w:rPr>
          <w:rFonts w:hint="eastAsia"/>
          <w:bCs/>
          <w:spacing w:val="4"/>
          <w:sz w:val="24"/>
          <w:highlight w:val="none"/>
          <w:lang w:val="en-US" w:eastAsia="zh-CN"/>
        </w:rPr>
        <w:t>厂区现有</w:t>
      </w:r>
      <w:r>
        <w:rPr>
          <w:rFonts w:hint="eastAsia"/>
          <w:bCs/>
          <w:spacing w:val="4"/>
          <w:sz w:val="24"/>
          <w:highlight w:val="none"/>
        </w:rPr>
        <w:t>危废间、浓密池、清水池、事故池等均进行了防渗</w:t>
      </w:r>
      <w:r>
        <w:rPr>
          <w:rFonts w:hint="eastAsia"/>
          <w:bCs/>
          <w:spacing w:val="4"/>
          <w:sz w:val="24"/>
          <w:highlight w:val="none"/>
          <w:lang w:val="en-US" w:eastAsia="zh-CN"/>
        </w:rPr>
        <w:t>处理</w:t>
      </w:r>
      <w:r>
        <w:rPr>
          <w:rFonts w:hint="eastAsia"/>
          <w:bCs/>
          <w:spacing w:val="4"/>
          <w:sz w:val="24"/>
          <w:highlight w:val="none"/>
        </w:rPr>
        <w:t>，噪声污染源主要为破碎机、</w:t>
      </w:r>
      <w:r>
        <w:rPr>
          <w:rFonts w:hint="eastAsia"/>
          <w:bCs/>
          <w:spacing w:val="4"/>
          <w:sz w:val="24"/>
          <w:highlight w:val="none"/>
          <w:lang w:val="en-US" w:eastAsia="zh-CN"/>
        </w:rPr>
        <w:t>振动筛</w:t>
      </w:r>
      <w:r>
        <w:rPr>
          <w:rFonts w:hint="eastAsia"/>
          <w:bCs/>
          <w:spacing w:val="4"/>
          <w:sz w:val="24"/>
          <w:highlight w:val="none"/>
        </w:rPr>
        <w:t>、风机等</w:t>
      </w:r>
      <w:r>
        <w:rPr>
          <w:rFonts w:hint="eastAsia"/>
          <w:bCs/>
          <w:spacing w:val="4"/>
          <w:sz w:val="24"/>
          <w:highlight w:val="none"/>
          <w:lang w:val="en-US" w:eastAsia="zh-CN"/>
        </w:rPr>
        <w:t>设备</w:t>
      </w:r>
      <w:r>
        <w:rPr>
          <w:rFonts w:hint="eastAsia"/>
          <w:bCs/>
          <w:spacing w:val="4"/>
          <w:sz w:val="24"/>
          <w:highlight w:val="none"/>
        </w:rPr>
        <w:t>产生的噪声，采取隔声、减振、吸声等措施；一般固体废物主要为</w:t>
      </w:r>
      <w:r>
        <w:rPr>
          <w:rFonts w:hint="eastAsia"/>
          <w:bCs/>
          <w:spacing w:val="4"/>
          <w:sz w:val="24"/>
          <w:highlight w:val="none"/>
          <w:lang w:val="en-US" w:eastAsia="zh-CN"/>
        </w:rPr>
        <w:t>砂石料</w:t>
      </w:r>
      <w:r>
        <w:rPr>
          <w:rFonts w:hint="eastAsia"/>
          <w:bCs/>
          <w:spacing w:val="4"/>
          <w:sz w:val="24"/>
          <w:highlight w:val="none"/>
        </w:rPr>
        <w:t>，</w:t>
      </w:r>
      <w:r>
        <w:rPr>
          <w:rFonts w:hint="eastAsia"/>
          <w:bCs/>
          <w:spacing w:val="4"/>
          <w:sz w:val="24"/>
          <w:highlight w:val="none"/>
          <w:lang w:val="en-US" w:eastAsia="zh-CN"/>
        </w:rPr>
        <w:t>作为建筑材料外售</w:t>
      </w:r>
      <w:r>
        <w:rPr>
          <w:rFonts w:hint="eastAsia"/>
          <w:bCs/>
          <w:spacing w:val="4"/>
          <w:sz w:val="24"/>
          <w:highlight w:val="none"/>
        </w:rPr>
        <w:t>；危险废物全部委托有资质单位处置。经预测，颗粒物、噪声均能长期稳定达标排放，不会改变区域环境质量。</w:t>
      </w:r>
      <w:bookmarkEnd w:id="34"/>
      <w:r>
        <w:rPr>
          <w:rFonts w:hint="eastAsia"/>
          <w:bCs/>
          <w:spacing w:val="4"/>
          <w:sz w:val="24"/>
          <w:highlight w:val="none"/>
        </w:rPr>
        <w:t>故项目的建设不会对周围环境造成影响。</w:t>
      </w:r>
    </w:p>
    <w:p>
      <w:pPr>
        <w:pStyle w:val="5"/>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5" w:name="_Toc20321"/>
      <w:bookmarkStart w:id="36" w:name="_Toc521591667"/>
      <w:bookmarkStart w:id="37" w:name="_Toc476574684"/>
      <w:bookmarkStart w:id="38" w:name="_Toc524284656"/>
      <w:bookmarkStart w:id="39" w:name="_Toc499651394"/>
      <w:bookmarkStart w:id="40" w:name="_Toc26550"/>
      <w:bookmarkStart w:id="41" w:name="_Toc536557277"/>
      <w:bookmarkStart w:id="42" w:name="_Toc179"/>
      <w:bookmarkStart w:id="43" w:name="_Toc503218093"/>
      <w:r>
        <w:rPr>
          <w:rFonts w:ascii="Times New Roman" w:hAnsi="Times New Roman" w:eastAsia="宋体"/>
          <w:bCs w:val="0"/>
          <w:snapToGrid w:val="0"/>
          <w:kern w:val="0"/>
          <w:sz w:val="28"/>
          <w:szCs w:val="28"/>
          <w:highlight w:val="none"/>
        </w:rPr>
        <w:t>环境影响报告主要结论</w:t>
      </w:r>
      <w:bookmarkEnd w:id="35"/>
      <w:bookmarkEnd w:id="36"/>
      <w:bookmarkEnd w:id="37"/>
      <w:bookmarkEnd w:id="38"/>
      <w:bookmarkEnd w:id="39"/>
      <w:bookmarkEnd w:id="40"/>
      <w:bookmarkEnd w:id="41"/>
      <w:bookmarkEnd w:id="42"/>
      <w:bookmarkEnd w:id="43"/>
    </w:p>
    <w:p>
      <w:pPr>
        <w:ind w:firstLine="480"/>
        <w:jc w:val="both"/>
        <w:rPr>
          <w:bCs/>
          <w:spacing w:val="4"/>
          <w:sz w:val="24"/>
          <w:highlight w:val="none"/>
        </w:rPr>
      </w:pPr>
      <w:r>
        <w:rPr>
          <w:rFonts w:hint="eastAsia"/>
          <w:sz w:val="24"/>
          <w:szCs w:val="24"/>
          <w:highlight w:val="none"/>
        </w:rPr>
        <w:t>遵化市恒泰矿业有限公司年处理60万吨铁矿石、30万吨粗精矿改扩建项目</w:t>
      </w:r>
      <w:r>
        <w:rPr>
          <w:bCs/>
          <w:spacing w:val="4"/>
          <w:sz w:val="24"/>
          <w:highlight w:val="none"/>
        </w:rPr>
        <w:t>符合国家产业政策和当地发展规划，用地符合遵化市土地利用总体规划；项目采取了合理、有效的污染治理措施，对周围环境的影响程度在可接受的范围内，不会改变项目周围地区大气环境、水环境、声环境的现有功能。</w:t>
      </w:r>
      <w:r>
        <w:rPr>
          <w:bCs/>
          <w:spacing w:val="4"/>
          <w:sz w:val="24"/>
          <w:szCs w:val="24"/>
          <w:highlight w:val="none"/>
        </w:rPr>
        <w:t>项目具有良好的经济效益和社会效益，</w:t>
      </w:r>
      <w:r>
        <w:rPr>
          <w:bCs/>
          <w:spacing w:val="4"/>
          <w:sz w:val="24"/>
          <w:highlight w:val="none"/>
        </w:rPr>
        <w:t>可以推动当地经济的发展。因此，在严格落实报告书中提出的各项环保治理措施后，从环境保护角度分析，本项目建设环境影响可行。</w:t>
      </w:r>
    </w:p>
    <w:p>
      <w:pPr>
        <w:spacing w:line="460" w:lineRule="exact"/>
        <w:ind w:firstLine="560"/>
        <w:rPr>
          <w:highlight w:val="green"/>
        </w:rPr>
        <w:sectPr>
          <w:headerReference r:id="rId11" w:type="default"/>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linePitch="312" w:charSpace="0"/>
        </w:sectPr>
      </w:pPr>
    </w:p>
    <w:p>
      <w:pPr>
        <w:pStyle w:val="4"/>
        <w:numPr>
          <w:ilvl w:val="0"/>
          <w:numId w:val="1"/>
        </w:numPr>
        <w:rPr>
          <w:rFonts w:ascii="Times New Roman"/>
          <w:sz w:val="36"/>
          <w:highlight w:val="none"/>
        </w:rPr>
      </w:pPr>
      <w:bookmarkStart w:id="44" w:name="_Toc524284657"/>
      <w:bookmarkStart w:id="45" w:name="_Toc18006"/>
      <w:bookmarkStart w:id="46" w:name="_Toc9364"/>
      <w:bookmarkStart w:id="47" w:name="_Toc521591668"/>
      <w:bookmarkStart w:id="48" w:name="_Toc22810"/>
      <w:bookmarkStart w:id="49" w:name="_Toc536557278"/>
      <w:r>
        <w:rPr>
          <w:rFonts w:ascii="Times New Roman"/>
          <w:sz w:val="36"/>
          <w:highlight w:val="none"/>
        </w:rPr>
        <w:t>总则</w:t>
      </w:r>
      <w:bookmarkEnd w:id="44"/>
      <w:bookmarkEnd w:id="45"/>
      <w:bookmarkEnd w:id="46"/>
      <w:bookmarkEnd w:id="47"/>
      <w:bookmarkEnd w:id="48"/>
      <w:bookmarkEnd w:id="49"/>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50" w:name="_Toc524284658"/>
      <w:bookmarkStart w:id="51" w:name="_Toc5807"/>
      <w:bookmarkStart w:id="52" w:name="_Toc521591669"/>
      <w:bookmarkStart w:id="53" w:name="_Toc499651396"/>
      <w:bookmarkStart w:id="54" w:name="_Toc3976"/>
      <w:bookmarkStart w:id="55" w:name="_Toc476574686"/>
      <w:bookmarkStart w:id="56" w:name="_Toc13558"/>
      <w:bookmarkStart w:id="57" w:name="_Toc536557279"/>
      <w:bookmarkStart w:id="58" w:name="_Toc503218095"/>
      <w:bookmarkStart w:id="59" w:name="_Toc50980392"/>
      <w:r>
        <w:rPr>
          <w:rFonts w:ascii="Times New Roman" w:hAnsi="Times New Roman" w:eastAsia="宋体"/>
          <w:bCs w:val="0"/>
          <w:snapToGrid w:val="0"/>
          <w:kern w:val="0"/>
          <w:sz w:val="28"/>
          <w:szCs w:val="28"/>
          <w:highlight w:val="none"/>
        </w:rPr>
        <w:t>编制依据</w:t>
      </w:r>
      <w:bookmarkEnd w:id="50"/>
      <w:bookmarkEnd w:id="51"/>
      <w:bookmarkEnd w:id="52"/>
      <w:bookmarkEnd w:id="53"/>
      <w:bookmarkEnd w:id="54"/>
      <w:bookmarkEnd w:id="55"/>
      <w:bookmarkEnd w:id="56"/>
      <w:bookmarkEnd w:id="57"/>
      <w:bookmarkEnd w:id="58"/>
    </w:p>
    <w:bookmarkEnd w:id="59"/>
    <w:p>
      <w:pPr>
        <w:pStyle w:val="6"/>
        <w:numPr>
          <w:ilvl w:val="2"/>
          <w:numId w:val="1"/>
        </w:numPr>
        <w:spacing w:before="0" w:after="0"/>
        <w:ind w:left="567"/>
        <w:rPr>
          <w:szCs w:val="28"/>
          <w:highlight w:val="none"/>
        </w:rPr>
      </w:pPr>
      <w:bookmarkStart w:id="60" w:name="_Toc8116"/>
      <w:bookmarkStart w:id="61" w:name="_Toc521591670"/>
      <w:r>
        <w:rPr>
          <w:szCs w:val="28"/>
          <w:highlight w:val="none"/>
        </w:rPr>
        <w:t>法律</w:t>
      </w:r>
      <w:bookmarkEnd w:id="60"/>
      <w:bookmarkEnd w:id="61"/>
    </w:p>
    <w:p>
      <w:pPr>
        <w:ind w:firstLine="480"/>
        <w:jc w:val="both"/>
        <w:rPr>
          <w:bCs/>
          <w:kern w:val="2"/>
          <w:sz w:val="24"/>
          <w:szCs w:val="24"/>
          <w:highlight w:val="none"/>
        </w:rPr>
      </w:pPr>
      <w:bookmarkStart w:id="62" w:name="_Toc2560"/>
      <w:r>
        <w:rPr>
          <w:rFonts w:hint="eastAsia"/>
          <w:bCs/>
          <w:kern w:val="2"/>
          <w:sz w:val="24"/>
          <w:szCs w:val="24"/>
          <w:highlight w:val="none"/>
        </w:rPr>
        <w:t>（1）《中华人民共和国环境保护法》，2015年1月1日施行；</w:t>
      </w:r>
    </w:p>
    <w:p>
      <w:pPr>
        <w:ind w:firstLine="480"/>
        <w:jc w:val="both"/>
        <w:rPr>
          <w:bCs/>
          <w:kern w:val="2"/>
          <w:sz w:val="24"/>
          <w:szCs w:val="24"/>
          <w:highlight w:val="none"/>
        </w:rPr>
      </w:pPr>
      <w:r>
        <w:rPr>
          <w:rFonts w:hint="eastAsia"/>
          <w:bCs/>
          <w:kern w:val="2"/>
          <w:sz w:val="24"/>
          <w:szCs w:val="24"/>
          <w:highlight w:val="none"/>
        </w:rPr>
        <w:t>（2）《中华人民共和国环境影响评价法》，2018年12月29日施行；</w:t>
      </w:r>
    </w:p>
    <w:p>
      <w:pPr>
        <w:ind w:firstLine="480"/>
        <w:jc w:val="both"/>
        <w:rPr>
          <w:bCs/>
          <w:kern w:val="2"/>
          <w:sz w:val="24"/>
          <w:szCs w:val="24"/>
          <w:highlight w:val="none"/>
        </w:rPr>
      </w:pPr>
      <w:r>
        <w:rPr>
          <w:rFonts w:hint="eastAsia"/>
          <w:bCs/>
          <w:kern w:val="2"/>
          <w:sz w:val="24"/>
          <w:szCs w:val="24"/>
          <w:highlight w:val="none"/>
        </w:rPr>
        <w:t>（3）《中华人民共和国大气污染防治法》，2018年10月修订；</w:t>
      </w:r>
    </w:p>
    <w:p>
      <w:pPr>
        <w:ind w:firstLine="480"/>
        <w:jc w:val="both"/>
        <w:rPr>
          <w:bCs/>
          <w:kern w:val="2"/>
          <w:sz w:val="24"/>
          <w:szCs w:val="24"/>
          <w:highlight w:val="none"/>
        </w:rPr>
      </w:pPr>
      <w:r>
        <w:rPr>
          <w:rFonts w:hint="eastAsia"/>
          <w:bCs/>
          <w:kern w:val="2"/>
          <w:sz w:val="24"/>
          <w:szCs w:val="24"/>
          <w:highlight w:val="none"/>
        </w:rPr>
        <w:t>（4）《中华人民共和国水污染防治法》，2018年1月1日施行；</w:t>
      </w:r>
    </w:p>
    <w:p>
      <w:pPr>
        <w:ind w:firstLine="480"/>
        <w:jc w:val="both"/>
        <w:rPr>
          <w:bCs/>
          <w:kern w:val="2"/>
          <w:sz w:val="24"/>
          <w:szCs w:val="24"/>
          <w:highlight w:val="none"/>
        </w:rPr>
      </w:pPr>
      <w:r>
        <w:rPr>
          <w:rFonts w:hint="eastAsia"/>
          <w:bCs/>
          <w:kern w:val="2"/>
          <w:sz w:val="24"/>
          <w:szCs w:val="24"/>
          <w:highlight w:val="none"/>
        </w:rPr>
        <w:t>（5）《中华人民共和国海洋环境保护法》，2016年11月7日修订；</w:t>
      </w:r>
    </w:p>
    <w:p>
      <w:pPr>
        <w:ind w:firstLine="480"/>
        <w:jc w:val="both"/>
        <w:rPr>
          <w:bCs/>
          <w:kern w:val="2"/>
          <w:sz w:val="24"/>
          <w:szCs w:val="24"/>
          <w:highlight w:val="none"/>
        </w:rPr>
      </w:pPr>
      <w:r>
        <w:rPr>
          <w:rFonts w:hint="eastAsia"/>
          <w:bCs/>
          <w:kern w:val="2"/>
          <w:sz w:val="24"/>
          <w:szCs w:val="24"/>
          <w:highlight w:val="none"/>
        </w:rPr>
        <w:t>（6）《中华人民共和国环境噪声污染防治法》， 2018年12月29日施行；</w:t>
      </w:r>
    </w:p>
    <w:p>
      <w:pPr>
        <w:ind w:firstLine="480"/>
        <w:jc w:val="both"/>
        <w:rPr>
          <w:bCs/>
          <w:kern w:val="2"/>
          <w:sz w:val="24"/>
          <w:szCs w:val="24"/>
          <w:highlight w:val="none"/>
        </w:rPr>
      </w:pPr>
      <w:r>
        <w:rPr>
          <w:rFonts w:hint="eastAsia"/>
          <w:bCs/>
          <w:kern w:val="2"/>
          <w:sz w:val="24"/>
          <w:szCs w:val="24"/>
          <w:highlight w:val="none"/>
        </w:rPr>
        <w:t>（7）《中华人民共和国固体废物污染环境防治法》，2020年9月1日施行；</w:t>
      </w:r>
    </w:p>
    <w:p>
      <w:pPr>
        <w:ind w:firstLine="480"/>
        <w:jc w:val="both"/>
        <w:rPr>
          <w:bCs/>
          <w:kern w:val="2"/>
          <w:sz w:val="24"/>
          <w:szCs w:val="24"/>
          <w:highlight w:val="none"/>
        </w:rPr>
      </w:pPr>
      <w:r>
        <w:rPr>
          <w:rFonts w:hint="eastAsia"/>
          <w:bCs/>
          <w:kern w:val="2"/>
          <w:sz w:val="24"/>
          <w:szCs w:val="24"/>
          <w:highlight w:val="none"/>
        </w:rPr>
        <w:t>（8）《中华人民共和国环境土壤污染防治法》，2019年1月1日施行；</w:t>
      </w:r>
    </w:p>
    <w:p>
      <w:pPr>
        <w:ind w:firstLine="480"/>
        <w:jc w:val="both"/>
        <w:rPr>
          <w:bCs/>
          <w:kern w:val="2"/>
          <w:sz w:val="24"/>
          <w:szCs w:val="24"/>
          <w:highlight w:val="none"/>
        </w:rPr>
      </w:pPr>
      <w:r>
        <w:rPr>
          <w:rFonts w:hint="eastAsia"/>
          <w:bCs/>
          <w:kern w:val="2"/>
          <w:sz w:val="24"/>
          <w:szCs w:val="24"/>
          <w:highlight w:val="none"/>
        </w:rPr>
        <w:t>（9）《中华人民共和国环境保护税法》，2018年1月1日施行；</w:t>
      </w:r>
    </w:p>
    <w:p>
      <w:pPr>
        <w:ind w:firstLine="480"/>
        <w:jc w:val="both"/>
        <w:rPr>
          <w:bCs/>
          <w:kern w:val="2"/>
          <w:sz w:val="24"/>
          <w:szCs w:val="24"/>
          <w:highlight w:val="none"/>
        </w:rPr>
      </w:pPr>
      <w:r>
        <w:rPr>
          <w:rFonts w:hint="eastAsia"/>
          <w:bCs/>
          <w:kern w:val="2"/>
          <w:sz w:val="24"/>
          <w:szCs w:val="24"/>
          <w:highlight w:val="none"/>
        </w:rPr>
        <w:t>（10）《中华人民共和国清洁生产促进法》，2018年10月26日修订；</w:t>
      </w:r>
    </w:p>
    <w:p>
      <w:pPr>
        <w:ind w:firstLine="480"/>
        <w:jc w:val="both"/>
        <w:rPr>
          <w:bCs/>
          <w:kern w:val="2"/>
          <w:sz w:val="24"/>
          <w:szCs w:val="24"/>
          <w:highlight w:val="none"/>
        </w:rPr>
      </w:pPr>
      <w:r>
        <w:rPr>
          <w:rFonts w:hint="eastAsia"/>
          <w:bCs/>
          <w:kern w:val="2"/>
          <w:sz w:val="24"/>
          <w:szCs w:val="24"/>
          <w:highlight w:val="none"/>
        </w:rPr>
        <w:t>（11）《中华人民共和国循环经济促进法》，2009年1月1日施行；</w:t>
      </w:r>
    </w:p>
    <w:p>
      <w:pPr>
        <w:ind w:firstLine="480"/>
        <w:jc w:val="both"/>
        <w:rPr>
          <w:bCs/>
          <w:kern w:val="2"/>
          <w:sz w:val="24"/>
          <w:szCs w:val="24"/>
          <w:highlight w:val="none"/>
        </w:rPr>
      </w:pPr>
      <w:r>
        <w:rPr>
          <w:rFonts w:hint="eastAsia"/>
          <w:bCs/>
          <w:kern w:val="2"/>
          <w:sz w:val="24"/>
          <w:szCs w:val="24"/>
          <w:highlight w:val="none"/>
        </w:rPr>
        <w:t>（12）《中华人民共和国节约能源法》，2016年7月2日修订；</w:t>
      </w:r>
    </w:p>
    <w:p>
      <w:pPr>
        <w:ind w:firstLine="480"/>
        <w:jc w:val="both"/>
        <w:rPr>
          <w:bCs/>
          <w:kern w:val="2"/>
          <w:sz w:val="24"/>
          <w:szCs w:val="24"/>
          <w:highlight w:val="none"/>
        </w:rPr>
      </w:pPr>
      <w:r>
        <w:rPr>
          <w:rFonts w:hint="eastAsia"/>
          <w:bCs/>
          <w:kern w:val="2"/>
          <w:sz w:val="24"/>
          <w:szCs w:val="24"/>
          <w:highlight w:val="none"/>
        </w:rPr>
        <w:t>（13）《中华人民共和国土地管理法》，2020年01月01日；</w:t>
      </w:r>
    </w:p>
    <w:p>
      <w:pPr>
        <w:ind w:firstLine="480"/>
        <w:jc w:val="both"/>
        <w:rPr>
          <w:bCs/>
          <w:kern w:val="2"/>
          <w:sz w:val="24"/>
          <w:szCs w:val="24"/>
          <w:highlight w:val="none"/>
        </w:rPr>
      </w:pPr>
      <w:r>
        <w:rPr>
          <w:rFonts w:hint="eastAsia"/>
          <w:bCs/>
          <w:kern w:val="2"/>
          <w:sz w:val="24"/>
          <w:szCs w:val="24"/>
          <w:highlight w:val="none"/>
        </w:rPr>
        <w:t>（14）《中华人民共和国水法》，2016年7月2日修订。</w:t>
      </w:r>
    </w:p>
    <w:p>
      <w:pPr>
        <w:pStyle w:val="6"/>
        <w:numPr>
          <w:ilvl w:val="2"/>
          <w:numId w:val="1"/>
        </w:numPr>
        <w:spacing w:before="0" w:after="0"/>
        <w:ind w:left="567"/>
        <w:rPr>
          <w:szCs w:val="28"/>
          <w:highlight w:val="none"/>
        </w:rPr>
      </w:pPr>
      <w:r>
        <w:rPr>
          <w:szCs w:val="28"/>
          <w:highlight w:val="none"/>
        </w:rPr>
        <w:t>法规及部门规章</w:t>
      </w:r>
      <w:bookmarkEnd w:id="62"/>
    </w:p>
    <w:p>
      <w:pPr>
        <w:ind w:firstLine="480"/>
        <w:jc w:val="both"/>
        <w:rPr>
          <w:sz w:val="24"/>
          <w:szCs w:val="24"/>
          <w:highlight w:val="none"/>
        </w:rPr>
      </w:pPr>
      <w:bookmarkStart w:id="63" w:name="_Toc4317"/>
      <w:r>
        <w:rPr>
          <w:sz w:val="24"/>
          <w:szCs w:val="24"/>
          <w:highlight w:val="none"/>
        </w:rPr>
        <w:t>（1）《建设项目环境保护管理条例》（国务院令第682号，2017年7月16日修订，2017年10月1日起实施）；</w:t>
      </w:r>
    </w:p>
    <w:p>
      <w:pPr>
        <w:ind w:firstLine="480"/>
        <w:jc w:val="both"/>
        <w:rPr>
          <w:sz w:val="24"/>
          <w:szCs w:val="24"/>
          <w:highlight w:val="none"/>
        </w:rPr>
      </w:pPr>
      <w:r>
        <w:rPr>
          <w:sz w:val="24"/>
          <w:szCs w:val="24"/>
          <w:highlight w:val="none"/>
        </w:rPr>
        <w:t>（2）《国务院关于落实科学发展观加强环境保护的决定》(国发[2005]39号)；</w:t>
      </w:r>
    </w:p>
    <w:p>
      <w:pPr>
        <w:ind w:firstLine="480"/>
        <w:jc w:val="both"/>
        <w:rPr>
          <w:sz w:val="24"/>
          <w:szCs w:val="24"/>
          <w:highlight w:val="none"/>
        </w:rPr>
      </w:pPr>
      <w:r>
        <w:rPr>
          <w:sz w:val="24"/>
          <w:szCs w:val="24"/>
          <w:highlight w:val="none"/>
        </w:rPr>
        <w:t>（3）《国务院关于加强环境保护重点工作的意见》(国发[2011]35号)；</w:t>
      </w:r>
    </w:p>
    <w:p>
      <w:pPr>
        <w:ind w:firstLine="480"/>
        <w:jc w:val="both"/>
        <w:rPr>
          <w:sz w:val="24"/>
          <w:szCs w:val="24"/>
          <w:highlight w:val="none"/>
        </w:rPr>
      </w:pPr>
      <w:r>
        <w:rPr>
          <w:sz w:val="24"/>
          <w:szCs w:val="24"/>
          <w:highlight w:val="none"/>
        </w:rPr>
        <w:t>（4）</w:t>
      </w:r>
      <w:r>
        <w:rPr>
          <w:rFonts w:hint="default" w:ascii="Times New Roman" w:hAnsi="Times New Roman" w:cs="Times New Roman"/>
          <w:sz w:val="24"/>
          <w:szCs w:val="24"/>
          <w:highlight w:val="none"/>
        </w:rPr>
        <w:t>《“十</w:t>
      </w:r>
      <w:r>
        <w:rPr>
          <w:rFonts w:hint="eastAsia" w:ascii="Times New Roman" w:hAnsi="Times New Roman" w:cs="Times New Roman"/>
          <w:sz w:val="24"/>
          <w:szCs w:val="24"/>
          <w:highlight w:val="none"/>
          <w:lang w:val="en-US" w:eastAsia="zh-CN"/>
        </w:rPr>
        <w:t>四</w:t>
      </w:r>
      <w:r>
        <w:rPr>
          <w:rFonts w:hint="default" w:ascii="Times New Roman" w:hAnsi="Times New Roman" w:cs="Times New Roman"/>
          <w:sz w:val="24"/>
          <w:szCs w:val="24"/>
          <w:highlight w:val="none"/>
        </w:rPr>
        <w:t>五”生态保护</w:t>
      </w:r>
      <w:r>
        <w:rPr>
          <w:rFonts w:hint="eastAsia" w:ascii="Times New Roman" w:hAnsi="Times New Roman" w:cs="Times New Roman"/>
          <w:sz w:val="24"/>
          <w:szCs w:val="24"/>
          <w:highlight w:val="none"/>
          <w:lang w:val="en-US" w:eastAsia="zh-CN"/>
        </w:rPr>
        <w:t>监管</w:t>
      </w:r>
      <w:r>
        <w:rPr>
          <w:rFonts w:hint="default" w:ascii="Times New Roman" w:hAnsi="Times New Roman" w:cs="Times New Roman"/>
          <w:sz w:val="24"/>
          <w:szCs w:val="24"/>
          <w:highlight w:val="none"/>
        </w:rPr>
        <w:t>规划》</w:t>
      </w: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环生态</w:t>
      </w:r>
      <w:r>
        <w:rPr>
          <w:rFonts w:hint="default" w:ascii="Times New Roman" w:hAnsi="Times New Roman" w:cs="Times New Roman"/>
          <w:sz w:val="24"/>
          <w:szCs w:val="24"/>
          <w:highlight w:val="none"/>
        </w:rPr>
        <w:t>[20</w:t>
      </w:r>
      <w:r>
        <w:rPr>
          <w:rFonts w:hint="eastAsia" w:ascii="Times New Roman" w:hAnsi="Times New Roman" w:cs="Times New Roman"/>
          <w:sz w:val="24"/>
          <w:szCs w:val="24"/>
          <w:highlight w:val="none"/>
          <w:lang w:val="en-US" w:eastAsia="zh-CN"/>
        </w:rPr>
        <w:t>22</w:t>
      </w:r>
      <w:r>
        <w:rPr>
          <w:rFonts w:hint="default"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5号</w:t>
      </w:r>
      <w:r>
        <w:rPr>
          <w:rFonts w:hint="eastAsia" w:ascii="Times New Roman" w:hAnsi="Times New Roman" w:cs="Times New Roman"/>
          <w:sz w:val="24"/>
          <w:szCs w:val="24"/>
          <w:highlight w:val="none"/>
          <w:lang w:eastAsia="zh-CN"/>
        </w:rPr>
        <w:t>）</w:t>
      </w:r>
      <w:r>
        <w:rPr>
          <w:rFonts w:ascii="Times New Roman" w:hAnsi="Times New Roman" w:cs="Times New Roman"/>
          <w:sz w:val="24"/>
          <w:szCs w:val="24"/>
          <w:highlight w:val="none"/>
        </w:rPr>
        <w:t>；</w:t>
      </w:r>
    </w:p>
    <w:p>
      <w:pPr>
        <w:ind w:firstLine="480"/>
        <w:jc w:val="both"/>
        <w:rPr>
          <w:sz w:val="24"/>
          <w:szCs w:val="24"/>
          <w:highlight w:val="none"/>
        </w:rPr>
      </w:pPr>
      <w:r>
        <w:rPr>
          <w:sz w:val="24"/>
          <w:szCs w:val="24"/>
          <w:highlight w:val="none"/>
        </w:rPr>
        <w:t>（5）《国务院大气污染防治十条措施》（2013年6月14）；</w:t>
      </w:r>
    </w:p>
    <w:p>
      <w:pPr>
        <w:ind w:firstLine="480"/>
        <w:jc w:val="both"/>
        <w:rPr>
          <w:sz w:val="24"/>
          <w:szCs w:val="24"/>
          <w:highlight w:val="none"/>
        </w:rPr>
      </w:pPr>
      <w:r>
        <w:rPr>
          <w:sz w:val="24"/>
          <w:szCs w:val="24"/>
          <w:highlight w:val="none"/>
        </w:rPr>
        <w:t>（6）《产业结构调整指导目录(201</w:t>
      </w:r>
      <w:r>
        <w:rPr>
          <w:rFonts w:hint="eastAsia"/>
          <w:sz w:val="24"/>
          <w:szCs w:val="24"/>
          <w:highlight w:val="none"/>
        </w:rPr>
        <w:t>9</w:t>
      </w:r>
      <w:r>
        <w:rPr>
          <w:sz w:val="24"/>
          <w:szCs w:val="24"/>
          <w:highlight w:val="none"/>
        </w:rPr>
        <w:t>年本)》(国家发展和改革委员会2019年第29号令)；</w:t>
      </w:r>
    </w:p>
    <w:p>
      <w:pPr>
        <w:ind w:firstLine="480"/>
        <w:jc w:val="both"/>
        <w:rPr>
          <w:sz w:val="24"/>
          <w:szCs w:val="24"/>
          <w:highlight w:val="none"/>
        </w:rPr>
      </w:pPr>
      <w:r>
        <w:rPr>
          <w:sz w:val="24"/>
          <w:szCs w:val="24"/>
          <w:highlight w:val="none"/>
        </w:rPr>
        <w:t>（7）《关于进一步加强环境保护信息公开工作的通知》(环境保护部办公厅文件环办[2012]134号)；</w:t>
      </w:r>
    </w:p>
    <w:p>
      <w:pPr>
        <w:ind w:firstLine="480"/>
        <w:jc w:val="both"/>
        <w:rPr>
          <w:sz w:val="24"/>
          <w:szCs w:val="24"/>
          <w:highlight w:val="none"/>
        </w:rPr>
      </w:pPr>
      <w:r>
        <w:rPr>
          <w:sz w:val="24"/>
          <w:szCs w:val="24"/>
          <w:highlight w:val="none"/>
        </w:rPr>
        <w:t>（8）《国务院关于印发大气污染防治行动计划的通知》(国发〔2013〕37号)；</w:t>
      </w:r>
    </w:p>
    <w:p>
      <w:pPr>
        <w:ind w:firstLine="480"/>
        <w:jc w:val="both"/>
        <w:rPr>
          <w:sz w:val="24"/>
          <w:szCs w:val="24"/>
          <w:highlight w:val="none"/>
        </w:rPr>
      </w:pPr>
      <w:r>
        <w:rPr>
          <w:sz w:val="24"/>
          <w:szCs w:val="24"/>
          <w:highlight w:val="none"/>
        </w:rPr>
        <w:t>（9）环境保护部、发展改革委等 6 部门联合印发《京津冀及周边地区落实大气污染防治行动计划实施细则》(2013 年 9 月 17 日)；</w:t>
      </w:r>
    </w:p>
    <w:p>
      <w:pPr>
        <w:ind w:firstLine="480"/>
        <w:jc w:val="both"/>
        <w:rPr>
          <w:sz w:val="24"/>
          <w:szCs w:val="24"/>
          <w:highlight w:val="none"/>
        </w:rPr>
      </w:pPr>
      <w:r>
        <w:rPr>
          <w:sz w:val="24"/>
          <w:szCs w:val="24"/>
          <w:highlight w:val="none"/>
        </w:rPr>
        <w:t>（10）《关于印发&lt;建设项目环境影响评价政府信息公开指南（试行）&gt;的通知》环办[2013]103 号；</w:t>
      </w:r>
    </w:p>
    <w:p>
      <w:pPr>
        <w:ind w:firstLine="480"/>
        <w:jc w:val="both"/>
        <w:rPr>
          <w:sz w:val="24"/>
          <w:szCs w:val="24"/>
          <w:highlight w:val="none"/>
        </w:rPr>
      </w:pPr>
      <w:r>
        <w:rPr>
          <w:sz w:val="24"/>
          <w:szCs w:val="24"/>
          <w:highlight w:val="none"/>
        </w:rPr>
        <w:t>（11）《关于落实大气污染防治行动计划严格环境影响评价准入的通知》（环办 [2014]30 号）(2014 年3月25日)；</w:t>
      </w:r>
    </w:p>
    <w:p>
      <w:pPr>
        <w:ind w:firstLine="480"/>
        <w:jc w:val="both"/>
        <w:rPr>
          <w:sz w:val="24"/>
          <w:szCs w:val="24"/>
          <w:highlight w:val="none"/>
        </w:rPr>
      </w:pPr>
      <w:r>
        <w:rPr>
          <w:sz w:val="24"/>
          <w:szCs w:val="24"/>
          <w:highlight w:val="none"/>
        </w:rPr>
        <w:t>（12）《建设项目主要污染物排放总量指标审核及管理暂行办法》(环境保护部 2014 年12月30日)；</w:t>
      </w:r>
    </w:p>
    <w:p>
      <w:pPr>
        <w:ind w:firstLine="480"/>
        <w:jc w:val="both"/>
        <w:rPr>
          <w:sz w:val="24"/>
          <w:szCs w:val="24"/>
          <w:highlight w:val="none"/>
        </w:rPr>
      </w:pPr>
      <w:r>
        <w:rPr>
          <w:sz w:val="24"/>
          <w:szCs w:val="24"/>
          <w:highlight w:val="none"/>
        </w:rPr>
        <w:t>（13）《国务院关于印发水污染防治行动计划的通知》(国发〔2015〕17号2015年4月2日)；</w:t>
      </w:r>
    </w:p>
    <w:p>
      <w:pPr>
        <w:ind w:firstLine="480"/>
        <w:jc w:val="both"/>
        <w:rPr>
          <w:sz w:val="24"/>
          <w:szCs w:val="24"/>
          <w:highlight w:val="none"/>
        </w:rPr>
      </w:pPr>
      <w:r>
        <w:rPr>
          <w:sz w:val="24"/>
          <w:szCs w:val="24"/>
          <w:highlight w:val="none"/>
        </w:rPr>
        <w:t>（14）《建设项目环境影响评价分类管理名录》（2021年版 部令第16号）；</w:t>
      </w:r>
    </w:p>
    <w:p>
      <w:pPr>
        <w:ind w:firstLine="480"/>
        <w:jc w:val="both"/>
        <w:rPr>
          <w:sz w:val="24"/>
          <w:szCs w:val="24"/>
          <w:highlight w:val="none"/>
        </w:rPr>
      </w:pPr>
      <w:r>
        <w:rPr>
          <w:sz w:val="24"/>
          <w:szCs w:val="24"/>
          <w:highlight w:val="none"/>
        </w:rPr>
        <w:t>（15）《国家危险废物名录》（部令第</w:t>
      </w:r>
      <w:r>
        <w:rPr>
          <w:rFonts w:hint="eastAsia"/>
          <w:sz w:val="24"/>
          <w:szCs w:val="24"/>
          <w:highlight w:val="none"/>
        </w:rPr>
        <w:t>15</w:t>
      </w:r>
      <w:r>
        <w:rPr>
          <w:sz w:val="24"/>
          <w:szCs w:val="24"/>
          <w:highlight w:val="none"/>
        </w:rPr>
        <w:t>号）(20</w:t>
      </w:r>
      <w:r>
        <w:rPr>
          <w:rFonts w:hint="eastAsia"/>
          <w:sz w:val="24"/>
          <w:szCs w:val="24"/>
          <w:highlight w:val="none"/>
        </w:rPr>
        <w:t>21</w:t>
      </w:r>
      <w:r>
        <w:rPr>
          <w:sz w:val="24"/>
          <w:szCs w:val="24"/>
          <w:highlight w:val="none"/>
        </w:rPr>
        <w:t>年</w:t>
      </w:r>
      <w:r>
        <w:rPr>
          <w:rFonts w:hint="eastAsia"/>
          <w:sz w:val="24"/>
          <w:szCs w:val="24"/>
          <w:highlight w:val="none"/>
        </w:rPr>
        <w:t>01</w:t>
      </w:r>
      <w:r>
        <w:rPr>
          <w:sz w:val="24"/>
          <w:szCs w:val="24"/>
          <w:highlight w:val="none"/>
        </w:rPr>
        <w:t>月</w:t>
      </w:r>
      <w:r>
        <w:rPr>
          <w:rFonts w:hint="eastAsia"/>
          <w:sz w:val="24"/>
          <w:szCs w:val="24"/>
          <w:highlight w:val="none"/>
        </w:rPr>
        <w:t>01</w:t>
      </w:r>
      <w:r>
        <w:rPr>
          <w:sz w:val="24"/>
          <w:szCs w:val="24"/>
          <w:highlight w:val="none"/>
        </w:rPr>
        <w:t>号实施)；</w:t>
      </w:r>
    </w:p>
    <w:p>
      <w:pPr>
        <w:ind w:firstLine="480"/>
        <w:jc w:val="both"/>
        <w:rPr>
          <w:sz w:val="24"/>
          <w:szCs w:val="24"/>
          <w:highlight w:val="none"/>
        </w:rPr>
      </w:pPr>
      <w:r>
        <w:rPr>
          <w:sz w:val="24"/>
          <w:szCs w:val="24"/>
          <w:highlight w:val="none"/>
        </w:rPr>
        <w:t>（16）国务院关于印发土壤污染防治行动计划的通知《土壤污染防治行动计划》 (国发〔2016〕31号，2016年5月28日)；</w:t>
      </w:r>
    </w:p>
    <w:p>
      <w:pPr>
        <w:ind w:firstLine="480"/>
        <w:jc w:val="both"/>
        <w:rPr>
          <w:rFonts w:ascii="Times New Roman" w:hAnsi="Times New Roman" w:cs="Times New Roman"/>
          <w:sz w:val="24"/>
          <w:szCs w:val="24"/>
          <w:highlight w:val="none"/>
        </w:rPr>
      </w:pPr>
      <w:r>
        <w:rPr>
          <w:rFonts w:ascii="Times New Roman" w:hAnsi="Times New Roman" w:cs="Times New Roman"/>
          <w:sz w:val="24"/>
          <w:szCs w:val="24"/>
          <w:highlight w:val="none"/>
        </w:rPr>
        <w:t>（17）</w:t>
      </w:r>
      <w:r>
        <w:rPr>
          <w:rFonts w:hint="default"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十四</w:t>
      </w:r>
      <w:r>
        <w:rPr>
          <w:rFonts w:hint="default" w:ascii="Times New Roman" w:hAnsi="Times New Roman" w:cs="Times New Roman"/>
          <w:sz w:val="24"/>
          <w:szCs w:val="24"/>
          <w:highlight w:val="none"/>
        </w:rPr>
        <w:t>五</w:t>
      </w:r>
      <w:r>
        <w:rPr>
          <w:rFonts w:hint="eastAsia" w:ascii="Times New Roman" w:hAnsi="Times New Roman" w:cs="Times New Roman"/>
          <w:sz w:val="24"/>
          <w:szCs w:val="24"/>
          <w:highlight w:val="none"/>
          <w:lang w:val="en-US" w:eastAsia="zh-CN"/>
        </w:rPr>
        <w:t>生态环境保护</w:t>
      </w:r>
      <w:r>
        <w:rPr>
          <w:rFonts w:hint="default" w:ascii="Times New Roman" w:hAnsi="Times New Roman" w:cs="Times New Roman"/>
          <w:sz w:val="24"/>
          <w:szCs w:val="24"/>
          <w:highlight w:val="none"/>
        </w:rPr>
        <w:t>规划纲要》</w:t>
      </w:r>
      <w:r>
        <w:rPr>
          <w:rFonts w:ascii="Times New Roman" w:hAnsi="Times New Roman" w:cs="Times New Roman"/>
          <w:sz w:val="24"/>
          <w:szCs w:val="24"/>
          <w:highlight w:val="none"/>
        </w:rPr>
        <w:t>；</w:t>
      </w:r>
    </w:p>
    <w:p>
      <w:pPr>
        <w:ind w:firstLine="480"/>
        <w:jc w:val="both"/>
        <w:rPr>
          <w:sz w:val="24"/>
          <w:szCs w:val="24"/>
          <w:highlight w:val="none"/>
        </w:rPr>
      </w:pPr>
      <w:r>
        <w:rPr>
          <w:sz w:val="24"/>
          <w:szCs w:val="24"/>
          <w:highlight w:val="none"/>
        </w:rPr>
        <w:t>（18）关于印发《“十三五”环境影响评价改革实施方案》的通知(环环评〔2016〕95号，2016年7月15日)；</w:t>
      </w:r>
    </w:p>
    <w:p>
      <w:pPr>
        <w:ind w:firstLine="480"/>
        <w:jc w:val="both"/>
        <w:rPr>
          <w:sz w:val="24"/>
          <w:szCs w:val="24"/>
          <w:highlight w:val="none"/>
        </w:rPr>
      </w:pPr>
      <w:r>
        <w:rPr>
          <w:sz w:val="24"/>
          <w:szCs w:val="24"/>
          <w:highlight w:val="none"/>
        </w:rPr>
        <w:t>（19）《关于京津冀大气污染传输通道城市执行大气污染物特别排放限值的公告》（环境保护部公告，2018年第9号；</w:t>
      </w:r>
    </w:p>
    <w:p>
      <w:pPr>
        <w:ind w:firstLine="480"/>
        <w:jc w:val="both"/>
        <w:rPr>
          <w:sz w:val="24"/>
          <w:szCs w:val="24"/>
          <w:highlight w:val="none"/>
        </w:rPr>
      </w:pPr>
      <w:r>
        <w:rPr>
          <w:sz w:val="24"/>
          <w:szCs w:val="24"/>
          <w:highlight w:val="none"/>
        </w:rPr>
        <w:t>（20）《环境保护部办公厅关于加强和规范声环境功能区划分管理工作的通知》（环办大气函[2017]1709 号）；</w:t>
      </w:r>
    </w:p>
    <w:p>
      <w:pPr>
        <w:ind w:firstLine="480"/>
        <w:jc w:val="both"/>
        <w:rPr>
          <w:sz w:val="24"/>
          <w:szCs w:val="24"/>
          <w:highlight w:val="none"/>
        </w:rPr>
      </w:pPr>
      <w:r>
        <w:rPr>
          <w:rFonts w:hint="eastAsia"/>
          <w:sz w:val="24"/>
          <w:szCs w:val="24"/>
          <w:highlight w:val="none"/>
        </w:rPr>
        <w:t>（21）《关于以改善环境质量为核心加强环境影响评价管理的通知》（环环评[2016]150号）</w:t>
      </w:r>
    </w:p>
    <w:p>
      <w:pPr>
        <w:ind w:firstLine="480"/>
        <w:jc w:val="both"/>
        <w:rPr>
          <w:sz w:val="24"/>
          <w:szCs w:val="24"/>
          <w:highlight w:val="none"/>
        </w:rPr>
      </w:pPr>
      <w:r>
        <w:rPr>
          <w:sz w:val="24"/>
          <w:szCs w:val="24"/>
          <w:highlight w:val="none"/>
        </w:rPr>
        <w:t>（2</w:t>
      </w:r>
      <w:r>
        <w:rPr>
          <w:rFonts w:hint="eastAsia"/>
          <w:sz w:val="24"/>
          <w:szCs w:val="24"/>
          <w:highlight w:val="none"/>
        </w:rPr>
        <w:t>2</w:t>
      </w:r>
      <w:r>
        <w:rPr>
          <w:sz w:val="24"/>
          <w:szCs w:val="24"/>
          <w:highlight w:val="none"/>
        </w:rPr>
        <w:t>）《河北省</w:t>
      </w:r>
      <w:r>
        <w:rPr>
          <w:rFonts w:hint="eastAsia"/>
          <w:sz w:val="24"/>
          <w:szCs w:val="24"/>
          <w:highlight w:val="none"/>
          <w:lang w:eastAsia="zh-CN"/>
        </w:rPr>
        <w:t>生态</w:t>
      </w:r>
      <w:r>
        <w:rPr>
          <w:sz w:val="24"/>
          <w:szCs w:val="24"/>
          <w:highlight w:val="none"/>
        </w:rPr>
        <w:t>环境保护条例》（河北省人大常委会，20</w:t>
      </w:r>
      <w:r>
        <w:rPr>
          <w:rFonts w:hint="eastAsia"/>
          <w:sz w:val="24"/>
          <w:szCs w:val="24"/>
          <w:highlight w:val="none"/>
          <w:lang w:val="en-US" w:eastAsia="zh-CN"/>
        </w:rPr>
        <w:t>20-07-01实施</w:t>
      </w:r>
      <w:r>
        <w:rPr>
          <w:sz w:val="24"/>
          <w:szCs w:val="24"/>
          <w:highlight w:val="none"/>
        </w:rPr>
        <w:t>）；</w:t>
      </w:r>
    </w:p>
    <w:p>
      <w:pPr>
        <w:ind w:firstLine="480"/>
        <w:jc w:val="both"/>
        <w:rPr>
          <w:sz w:val="24"/>
          <w:szCs w:val="24"/>
          <w:highlight w:val="none"/>
        </w:rPr>
      </w:pPr>
      <w:r>
        <w:rPr>
          <w:sz w:val="24"/>
          <w:szCs w:val="24"/>
          <w:highlight w:val="none"/>
        </w:rPr>
        <w:t>（2</w:t>
      </w:r>
      <w:r>
        <w:rPr>
          <w:rFonts w:hint="eastAsia"/>
          <w:sz w:val="24"/>
          <w:szCs w:val="24"/>
          <w:highlight w:val="none"/>
        </w:rPr>
        <w:t>3</w:t>
      </w:r>
      <w:r>
        <w:rPr>
          <w:sz w:val="24"/>
          <w:szCs w:val="24"/>
          <w:highlight w:val="none"/>
        </w:rPr>
        <w:t>）《河北省大气污染防治条例》(2016年3月1日起施行)；</w:t>
      </w:r>
    </w:p>
    <w:p>
      <w:pPr>
        <w:ind w:firstLine="480"/>
        <w:jc w:val="both"/>
        <w:rPr>
          <w:sz w:val="24"/>
          <w:szCs w:val="24"/>
          <w:highlight w:val="none"/>
        </w:rPr>
      </w:pPr>
      <w:r>
        <w:rPr>
          <w:sz w:val="24"/>
          <w:szCs w:val="24"/>
          <w:highlight w:val="none"/>
        </w:rPr>
        <w:t>（2</w:t>
      </w:r>
      <w:r>
        <w:rPr>
          <w:rFonts w:hint="eastAsia"/>
          <w:sz w:val="24"/>
          <w:szCs w:val="24"/>
          <w:highlight w:val="none"/>
        </w:rPr>
        <w:t>4</w:t>
      </w:r>
      <w:r>
        <w:rPr>
          <w:sz w:val="24"/>
          <w:szCs w:val="24"/>
          <w:highlight w:val="none"/>
        </w:rPr>
        <w:t>）《河北省水污染防治条例》（2018年5月31日修订，2018年9月1日起施行）；</w:t>
      </w:r>
    </w:p>
    <w:p>
      <w:pPr>
        <w:ind w:firstLine="480"/>
        <w:jc w:val="both"/>
        <w:rPr>
          <w:sz w:val="24"/>
          <w:szCs w:val="24"/>
          <w:highlight w:val="none"/>
        </w:rPr>
      </w:pPr>
      <w:r>
        <w:rPr>
          <w:sz w:val="24"/>
          <w:szCs w:val="24"/>
          <w:highlight w:val="none"/>
        </w:rPr>
        <w:t>（2</w:t>
      </w:r>
      <w:r>
        <w:rPr>
          <w:rFonts w:hint="eastAsia"/>
          <w:sz w:val="24"/>
          <w:szCs w:val="24"/>
          <w:highlight w:val="none"/>
        </w:rPr>
        <w:t>5</w:t>
      </w:r>
      <w:r>
        <w:rPr>
          <w:sz w:val="24"/>
          <w:szCs w:val="24"/>
          <w:highlight w:val="none"/>
        </w:rPr>
        <w:t>）《河北省环境敏感区支持、限制及禁止建设项目名录（2005年修订版）》（河北省环境保护局）；</w:t>
      </w:r>
    </w:p>
    <w:p>
      <w:pPr>
        <w:ind w:firstLine="480"/>
        <w:jc w:val="both"/>
        <w:rPr>
          <w:sz w:val="24"/>
          <w:szCs w:val="24"/>
          <w:highlight w:val="none"/>
        </w:rPr>
      </w:pPr>
      <w:r>
        <w:rPr>
          <w:sz w:val="24"/>
          <w:szCs w:val="24"/>
          <w:highlight w:val="none"/>
        </w:rPr>
        <w:t>（2</w:t>
      </w:r>
      <w:r>
        <w:rPr>
          <w:rFonts w:hint="eastAsia"/>
          <w:sz w:val="24"/>
          <w:szCs w:val="24"/>
          <w:highlight w:val="none"/>
        </w:rPr>
        <w:t>6</w:t>
      </w:r>
      <w:r>
        <w:rPr>
          <w:sz w:val="24"/>
          <w:szCs w:val="24"/>
          <w:highlight w:val="none"/>
        </w:rPr>
        <w:t>）《建设项目环境管理若干问题的规定》(冀环[2007]65号文)；</w:t>
      </w:r>
    </w:p>
    <w:p>
      <w:pPr>
        <w:ind w:firstLine="480"/>
        <w:jc w:val="both"/>
        <w:rPr>
          <w:sz w:val="24"/>
          <w:szCs w:val="24"/>
          <w:highlight w:val="none"/>
        </w:rPr>
      </w:pPr>
      <w:r>
        <w:rPr>
          <w:sz w:val="24"/>
          <w:szCs w:val="24"/>
          <w:highlight w:val="none"/>
        </w:rPr>
        <w:t>（2</w:t>
      </w:r>
      <w:r>
        <w:rPr>
          <w:rFonts w:hint="eastAsia"/>
          <w:sz w:val="24"/>
          <w:szCs w:val="24"/>
          <w:highlight w:val="none"/>
        </w:rPr>
        <w:t>7</w:t>
      </w:r>
      <w:r>
        <w:rPr>
          <w:sz w:val="24"/>
          <w:szCs w:val="24"/>
          <w:highlight w:val="none"/>
        </w:rPr>
        <w:t>）《关于进一步加强环境影响评价技术审核工作的通知》(冀环办[2011]186号)；</w:t>
      </w:r>
    </w:p>
    <w:p>
      <w:pPr>
        <w:ind w:firstLine="480"/>
        <w:jc w:val="both"/>
        <w:rPr>
          <w:sz w:val="24"/>
          <w:szCs w:val="24"/>
          <w:highlight w:val="none"/>
        </w:rPr>
      </w:pPr>
      <w:r>
        <w:rPr>
          <w:sz w:val="24"/>
          <w:szCs w:val="24"/>
          <w:highlight w:val="none"/>
        </w:rPr>
        <w:t>（2</w:t>
      </w:r>
      <w:r>
        <w:rPr>
          <w:rFonts w:hint="eastAsia"/>
          <w:sz w:val="24"/>
          <w:szCs w:val="24"/>
          <w:highlight w:val="none"/>
        </w:rPr>
        <w:t>8</w:t>
      </w:r>
      <w:r>
        <w:rPr>
          <w:sz w:val="24"/>
          <w:szCs w:val="24"/>
          <w:highlight w:val="none"/>
        </w:rPr>
        <w:t>）《关于我省建设项目环境现状监测执行《GB3095-2012 环境空气质量标准》的通知》(冀环办发〔2012〕225号)；</w:t>
      </w:r>
    </w:p>
    <w:p>
      <w:pPr>
        <w:ind w:firstLine="480"/>
        <w:jc w:val="both"/>
        <w:rPr>
          <w:sz w:val="24"/>
          <w:szCs w:val="24"/>
          <w:highlight w:val="none"/>
        </w:rPr>
      </w:pPr>
      <w:r>
        <w:rPr>
          <w:sz w:val="24"/>
          <w:szCs w:val="24"/>
          <w:highlight w:val="none"/>
        </w:rPr>
        <w:t>（2</w:t>
      </w:r>
      <w:r>
        <w:rPr>
          <w:rFonts w:hint="eastAsia"/>
          <w:sz w:val="24"/>
          <w:szCs w:val="24"/>
          <w:highlight w:val="none"/>
        </w:rPr>
        <w:t>9</w:t>
      </w:r>
      <w:r>
        <w:rPr>
          <w:sz w:val="24"/>
          <w:szCs w:val="24"/>
          <w:highlight w:val="none"/>
        </w:rPr>
        <w:t>）中共河北省委河北省人民政府关于印发《河北省大气污染防治行动计划实施方案》的通知（2013年9月6日）；</w:t>
      </w:r>
    </w:p>
    <w:p>
      <w:pPr>
        <w:ind w:firstLine="480"/>
        <w:jc w:val="both"/>
        <w:rPr>
          <w:sz w:val="24"/>
          <w:szCs w:val="24"/>
          <w:highlight w:val="none"/>
        </w:rPr>
      </w:pPr>
      <w:r>
        <w:rPr>
          <w:sz w:val="24"/>
          <w:szCs w:val="24"/>
          <w:highlight w:val="none"/>
        </w:rPr>
        <w:t>（</w:t>
      </w:r>
      <w:r>
        <w:rPr>
          <w:rFonts w:hint="eastAsia"/>
          <w:sz w:val="24"/>
          <w:szCs w:val="24"/>
          <w:highlight w:val="none"/>
        </w:rPr>
        <w:t>30</w:t>
      </w:r>
      <w:r>
        <w:rPr>
          <w:sz w:val="24"/>
          <w:szCs w:val="24"/>
          <w:highlight w:val="none"/>
        </w:rPr>
        <w:t>）</w:t>
      </w:r>
      <w:r>
        <w:rPr>
          <w:rFonts w:hint="eastAsia"/>
          <w:sz w:val="24"/>
          <w:szCs w:val="24"/>
          <w:highlight w:val="none"/>
        </w:rPr>
        <w:t>《河北省2018年建筑施工与城市道路扬尘整治工作方案》（冀建安（2018）8号）</w:t>
      </w:r>
      <w:r>
        <w:rPr>
          <w:sz w:val="24"/>
          <w:szCs w:val="24"/>
          <w:highlight w:val="none"/>
        </w:rPr>
        <w:t>；</w:t>
      </w:r>
    </w:p>
    <w:p>
      <w:pPr>
        <w:ind w:firstLine="480"/>
        <w:jc w:val="both"/>
        <w:rPr>
          <w:sz w:val="24"/>
          <w:szCs w:val="24"/>
          <w:highlight w:val="none"/>
        </w:rPr>
      </w:pPr>
      <w:r>
        <w:rPr>
          <w:sz w:val="24"/>
          <w:szCs w:val="24"/>
          <w:highlight w:val="none"/>
        </w:rPr>
        <w:t>（3</w:t>
      </w:r>
      <w:r>
        <w:rPr>
          <w:rFonts w:hint="eastAsia"/>
          <w:sz w:val="24"/>
          <w:szCs w:val="24"/>
          <w:highlight w:val="none"/>
        </w:rPr>
        <w:t>1</w:t>
      </w:r>
      <w:r>
        <w:rPr>
          <w:sz w:val="24"/>
          <w:szCs w:val="24"/>
          <w:highlight w:val="none"/>
        </w:rPr>
        <w:t>）</w:t>
      </w:r>
      <w:r>
        <w:rPr>
          <w:rFonts w:hint="eastAsia"/>
          <w:sz w:val="24"/>
          <w:szCs w:val="24"/>
          <w:highlight w:val="none"/>
        </w:rPr>
        <w:t>《关于河北省环境保护厅建设项目环评审批实施分类管理的通知》(冀环办[2014]63号)</w:t>
      </w:r>
      <w:r>
        <w:rPr>
          <w:sz w:val="24"/>
          <w:szCs w:val="24"/>
          <w:highlight w:val="none"/>
        </w:rPr>
        <w:t>；</w:t>
      </w:r>
    </w:p>
    <w:p>
      <w:pPr>
        <w:ind w:firstLine="480"/>
        <w:jc w:val="both"/>
        <w:rPr>
          <w:sz w:val="24"/>
          <w:szCs w:val="24"/>
          <w:highlight w:val="none"/>
        </w:rPr>
      </w:pPr>
      <w:r>
        <w:rPr>
          <w:sz w:val="24"/>
          <w:szCs w:val="24"/>
          <w:highlight w:val="none"/>
        </w:rPr>
        <w:t>（3</w:t>
      </w:r>
      <w:r>
        <w:rPr>
          <w:rFonts w:hint="eastAsia"/>
          <w:sz w:val="24"/>
          <w:szCs w:val="24"/>
          <w:highlight w:val="none"/>
        </w:rPr>
        <w:t>2</w:t>
      </w:r>
      <w:r>
        <w:rPr>
          <w:sz w:val="24"/>
          <w:szCs w:val="24"/>
          <w:highlight w:val="none"/>
        </w:rPr>
        <w:t>）《关于河北省环境保护厅建设项目环评审批实施分类管理的通知》(冀环办[2014]63号)；</w:t>
      </w:r>
    </w:p>
    <w:p>
      <w:pPr>
        <w:ind w:firstLine="480"/>
        <w:jc w:val="both"/>
        <w:rPr>
          <w:sz w:val="24"/>
          <w:szCs w:val="24"/>
          <w:highlight w:val="none"/>
        </w:rPr>
      </w:pPr>
      <w:r>
        <w:rPr>
          <w:sz w:val="24"/>
          <w:szCs w:val="24"/>
          <w:highlight w:val="none"/>
        </w:rPr>
        <w:t>（3</w:t>
      </w:r>
      <w:r>
        <w:rPr>
          <w:rFonts w:hint="eastAsia"/>
          <w:sz w:val="24"/>
          <w:szCs w:val="24"/>
          <w:highlight w:val="none"/>
        </w:rPr>
        <w:t>3</w:t>
      </w:r>
      <w:r>
        <w:rPr>
          <w:sz w:val="24"/>
          <w:szCs w:val="24"/>
          <w:highlight w:val="none"/>
        </w:rPr>
        <w:t>）</w:t>
      </w:r>
      <w:r>
        <w:rPr>
          <w:rFonts w:hint="eastAsia"/>
          <w:sz w:val="24"/>
          <w:szCs w:val="24"/>
          <w:highlight w:val="none"/>
        </w:rPr>
        <w:t>《河北省水污染防治工作方案》；</w:t>
      </w:r>
    </w:p>
    <w:p>
      <w:pPr>
        <w:ind w:firstLine="480"/>
        <w:jc w:val="both"/>
        <w:rPr>
          <w:sz w:val="24"/>
          <w:szCs w:val="24"/>
          <w:highlight w:val="none"/>
        </w:rPr>
      </w:pPr>
      <w:r>
        <w:rPr>
          <w:rFonts w:hint="eastAsia"/>
          <w:sz w:val="24"/>
          <w:szCs w:val="24"/>
          <w:highlight w:val="none"/>
        </w:rPr>
        <w:t>（34）《河北省固体废物污染环境防治条例》河北省第十二届人民代表大会常务委员会公告(第47号) (2015年10月18号) ；</w:t>
      </w:r>
    </w:p>
    <w:p>
      <w:pPr>
        <w:ind w:firstLine="480"/>
        <w:jc w:val="both"/>
        <w:rPr>
          <w:sz w:val="24"/>
          <w:szCs w:val="24"/>
          <w:highlight w:val="none"/>
        </w:rPr>
      </w:pPr>
      <w:r>
        <w:rPr>
          <w:rFonts w:hint="eastAsia"/>
          <w:sz w:val="24"/>
          <w:szCs w:val="24"/>
          <w:highlight w:val="none"/>
        </w:rPr>
        <w:t>（35）《河北省人民政府办公厅关于印发河北省新增限制和淘汰类产业目录（2015年版）的通知》(冀政办法〔2015〕7号)；</w:t>
      </w:r>
    </w:p>
    <w:p>
      <w:pPr>
        <w:ind w:firstLine="480"/>
        <w:jc w:val="both"/>
        <w:rPr>
          <w:sz w:val="24"/>
          <w:szCs w:val="24"/>
          <w:highlight w:val="none"/>
        </w:rPr>
      </w:pPr>
      <w:r>
        <w:rPr>
          <w:rFonts w:hint="eastAsia"/>
          <w:sz w:val="24"/>
          <w:szCs w:val="24"/>
          <w:highlight w:val="none"/>
        </w:rPr>
        <w:t xml:space="preserve">（36）《环境影响评价公众参与办法》（生态环境部部令第4号，2019年1月1日实施）； </w:t>
      </w:r>
    </w:p>
    <w:p>
      <w:pPr>
        <w:ind w:firstLine="480"/>
        <w:jc w:val="both"/>
        <w:rPr>
          <w:sz w:val="24"/>
          <w:szCs w:val="24"/>
          <w:highlight w:val="none"/>
        </w:rPr>
      </w:pPr>
      <w:r>
        <w:rPr>
          <w:rFonts w:hint="eastAsia"/>
          <w:sz w:val="24"/>
          <w:szCs w:val="24"/>
          <w:highlight w:val="none"/>
        </w:rPr>
        <w:t>（37）河北省人民政府冀政发〔2017〕3号《关于印发河北省“净土行动”土壤污染防治工作方案的通知》；</w:t>
      </w:r>
    </w:p>
    <w:p>
      <w:pPr>
        <w:ind w:firstLine="480"/>
        <w:jc w:val="both"/>
        <w:rPr>
          <w:sz w:val="24"/>
          <w:szCs w:val="24"/>
          <w:highlight w:val="none"/>
        </w:rPr>
      </w:pPr>
      <w:r>
        <w:rPr>
          <w:rFonts w:hint="eastAsia"/>
          <w:sz w:val="24"/>
          <w:szCs w:val="24"/>
          <w:highlight w:val="none"/>
        </w:rPr>
        <w:t>（38）《中共河北省委办公厅河北省人民政府办公厅关于严格控制矿产资源开发加强生态环境保护的通知》（冀办传［2018］25号）；</w:t>
      </w:r>
    </w:p>
    <w:p>
      <w:pPr>
        <w:ind w:firstLine="480"/>
        <w:jc w:val="both"/>
        <w:rPr>
          <w:sz w:val="24"/>
          <w:szCs w:val="24"/>
          <w:highlight w:val="none"/>
        </w:rPr>
      </w:pPr>
      <w:r>
        <w:rPr>
          <w:rFonts w:hint="eastAsia"/>
          <w:sz w:val="24"/>
          <w:szCs w:val="24"/>
          <w:highlight w:val="none"/>
        </w:rPr>
        <w:t xml:space="preserve">（40）《唐山市人民政府关于开展工业企业料场其他散料堆场混凝土搅拌站扬尘污染专项整治行动的通知》(唐政函[2014]98号)； </w:t>
      </w:r>
    </w:p>
    <w:p>
      <w:pPr>
        <w:ind w:firstLine="480"/>
        <w:jc w:val="both"/>
        <w:rPr>
          <w:sz w:val="24"/>
          <w:szCs w:val="24"/>
          <w:highlight w:val="none"/>
        </w:rPr>
      </w:pPr>
      <w:r>
        <w:rPr>
          <w:rFonts w:hint="eastAsia"/>
          <w:sz w:val="24"/>
          <w:szCs w:val="24"/>
          <w:highlight w:val="none"/>
        </w:rPr>
        <w:t>（41）关于进一步加强建设项目“三同时”管理工作的通知（唐环发[2013]39号），2013年5月2日；</w:t>
      </w:r>
    </w:p>
    <w:p>
      <w:pPr>
        <w:ind w:firstLine="480"/>
        <w:jc w:val="both"/>
        <w:rPr>
          <w:sz w:val="24"/>
          <w:szCs w:val="24"/>
          <w:highlight w:val="none"/>
        </w:rPr>
      </w:pPr>
      <w:r>
        <w:rPr>
          <w:rFonts w:hint="eastAsia"/>
          <w:sz w:val="24"/>
          <w:szCs w:val="24"/>
          <w:highlight w:val="none"/>
        </w:rPr>
        <w:t>（42）《唐山市人民政府办公厅关于开展露天铁矿环境保护专项整治工作的通知》（唐政办字〔2016〕198号）；</w:t>
      </w:r>
    </w:p>
    <w:p>
      <w:pPr>
        <w:ind w:firstLine="480"/>
        <w:jc w:val="both"/>
        <w:rPr>
          <w:sz w:val="24"/>
          <w:szCs w:val="24"/>
          <w:highlight w:val="none"/>
        </w:rPr>
      </w:pPr>
      <w:r>
        <w:rPr>
          <w:rFonts w:hint="eastAsia"/>
          <w:sz w:val="24"/>
          <w:szCs w:val="24"/>
          <w:highlight w:val="none"/>
        </w:rPr>
        <w:t>（43）《唐山市生态环境局关于印发唐山市2018年重点行业大气污染深度治理专项行动方案的通知》(唐环气[2018]6号；</w:t>
      </w:r>
    </w:p>
    <w:p>
      <w:pPr>
        <w:ind w:firstLine="480"/>
        <w:jc w:val="both"/>
        <w:rPr>
          <w:sz w:val="24"/>
          <w:szCs w:val="24"/>
          <w:highlight w:val="none"/>
        </w:rPr>
      </w:pPr>
      <w:r>
        <w:rPr>
          <w:rFonts w:hint="eastAsia"/>
          <w:sz w:val="24"/>
          <w:szCs w:val="24"/>
          <w:highlight w:val="none"/>
        </w:rPr>
        <w:t>（44）《中共唐山市委唐山市人民政府关于强力推进大气污染综合治理的意见》(唐发[2017]7号)；</w:t>
      </w:r>
    </w:p>
    <w:p>
      <w:pPr>
        <w:ind w:firstLine="480"/>
        <w:jc w:val="both"/>
        <w:rPr>
          <w:sz w:val="24"/>
          <w:szCs w:val="24"/>
          <w:highlight w:val="none"/>
        </w:rPr>
      </w:pPr>
      <w:r>
        <w:rPr>
          <w:rFonts w:hint="eastAsia"/>
          <w:sz w:val="24"/>
          <w:szCs w:val="24"/>
          <w:highlight w:val="none"/>
        </w:rPr>
        <w:t xml:space="preserve">（45）《唐山市大气污染防治工作领导小组办公室关于印发《唐山市钢铁行业整治提升工作方案》等10项方案的通知》（唐气领办[2021]15号）； </w:t>
      </w:r>
    </w:p>
    <w:p>
      <w:pPr>
        <w:ind w:firstLine="480"/>
        <w:jc w:val="both"/>
        <w:rPr>
          <w:sz w:val="24"/>
          <w:szCs w:val="24"/>
          <w:highlight w:val="none"/>
        </w:rPr>
      </w:pPr>
      <w:r>
        <w:rPr>
          <w:rFonts w:hint="eastAsia"/>
          <w:sz w:val="24"/>
          <w:szCs w:val="24"/>
          <w:highlight w:val="none"/>
        </w:rPr>
        <w:t xml:space="preserve">（46）《唐山市人民政府关于实施“三线一单”生态环境分区管控的意见（唐政字[2021]48号）； </w:t>
      </w:r>
    </w:p>
    <w:p>
      <w:pPr>
        <w:ind w:firstLine="480"/>
        <w:jc w:val="both"/>
        <w:rPr>
          <w:sz w:val="24"/>
          <w:szCs w:val="24"/>
          <w:highlight w:val="none"/>
        </w:rPr>
      </w:pPr>
      <w:r>
        <w:rPr>
          <w:rFonts w:hint="eastAsia"/>
          <w:sz w:val="24"/>
          <w:szCs w:val="24"/>
          <w:highlight w:val="none"/>
        </w:rPr>
        <w:t xml:space="preserve">（47）《遵化市铁选矿综合治理工作实施方案》（遵办字[2017]23号）； </w:t>
      </w:r>
    </w:p>
    <w:p>
      <w:pPr>
        <w:ind w:firstLine="480"/>
        <w:jc w:val="both"/>
        <w:rPr>
          <w:bCs/>
          <w:kern w:val="2"/>
          <w:sz w:val="24"/>
          <w:szCs w:val="24"/>
          <w:highlight w:val="none"/>
        </w:rPr>
      </w:pPr>
      <w:r>
        <w:rPr>
          <w:rFonts w:hint="eastAsia"/>
          <w:sz w:val="24"/>
          <w:szCs w:val="24"/>
          <w:highlight w:val="none"/>
        </w:rPr>
        <w:t>（48）关于贯彻落实《环境影响评价公众参与办法》规范环评文件审批的通知（冀环办发[2018]23号）。</w:t>
      </w:r>
    </w:p>
    <w:p>
      <w:pPr>
        <w:pStyle w:val="6"/>
        <w:numPr>
          <w:ilvl w:val="2"/>
          <w:numId w:val="1"/>
        </w:numPr>
        <w:spacing w:before="0" w:after="0"/>
        <w:ind w:left="567"/>
        <w:rPr>
          <w:szCs w:val="28"/>
          <w:highlight w:val="none"/>
        </w:rPr>
      </w:pPr>
      <w:r>
        <w:rPr>
          <w:szCs w:val="28"/>
          <w:highlight w:val="none"/>
        </w:rPr>
        <w:t>环境保护技术规范</w:t>
      </w:r>
      <w:bookmarkEnd w:id="63"/>
    </w:p>
    <w:p>
      <w:pPr>
        <w:ind w:firstLine="480"/>
        <w:jc w:val="both"/>
        <w:rPr>
          <w:sz w:val="24"/>
          <w:szCs w:val="24"/>
          <w:highlight w:val="none"/>
        </w:rPr>
      </w:pPr>
      <w:bookmarkStart w:id="64" w:name="_Toc521591673"/>
      <w:bookmarkStart w:id="65" w:name="_Toc10357"/>
      <w:r>
        <w:rPr>
          <w:sz w:val="24"/>
          <w:szCs w:val="24"/>
          <w:highlight w:val="none"/>
        </w:rPr>
        <w:t>（1）《建设项目环境影响评价技术导则</w:t>
      </w:r>
      <w:r>
        <w:rPr>
          <w:rFonts w:hint="eastAsia"/>
          <w:sz w:val="24"/>
          <w:szCs w:val="24"/>
          <w:highlight w:val="none"/>
        </w:rPr>
        <w:t xml:space="preserve"> </w:t>
      </w:r>
      <w:r>
        <w:rPr>
          <w:sz w:val="24"/>
          <w:szCs w:val="24"/>
          <w:highlight w:val="none"/>
        </w:rPr>
        <w:t>总纲》(HJ2.1-2016)；</w:t>
      </w:r>
    </w:p>
    <w:p>
      <w:pPr>
        <w:ind w:firstLine="480"/>
        <w:jc w:val="both"/>
        <w:rPr>
          <w:sz w:val="24"/>
          <w:szCs w:val="24"/>
          <w:highlight w:val="none"/>
        </w:rPr>
      </w:pPr>
      <w:r>
        <w:rPr>
          <w:sz w:val="24"/>
          <w:szCs w:val="24"/>
          <w:highlight w:val="none"/>
        </w:rPr>
        <w:t>（2）《环境影响评价技术导则</w:t>
      </w:r>
      <w:r>
        <w:rPr>
          <w:rFonts w:hint="eastAsia"/>
          <w:sz w:val="24"/>
          <w:szCs w:val="24"/>
          <w:highlight w:val="none"/>
        </w:rPr>
        <w:t xml:space="preserve"> </w:t>
      </w:r>
      <w:r>
        <w:rPr>
          <w:sz w:val="24"/>
          <w:szCs w:val="24"/>
          <w:highlight w:val="none"/>
        </w:rPr>
        <w:t>大气环境》(HJ2.2-20</w:t>
      </w:r>
      <w:r>
        <w:rPr>
          <w:rFonts w:hint="eastAsia"/>
          <w:sz w:val="24"/>
          <w:szCs w:val="24"/>
          <w:highlight w:val="none"/>
        </w:rPr>
        <w:t>1</w:t>
      </w:r>
      <w:r>
        <w:rPr>
          <w:sz w:val="24"/>
          <w:szCs w:val="24"/>
          <w:highlight w:val="none"/>
        </w:rPr>
        <w:t>8)；</w:t>
      </w:r>
    </w:p>
    <w:p>
      <w:pPr>
        <w:ind w:firstLine="480"/>
        <w:jc w:val="both"/>
        <w:rPr>
          <w:sz w:val="24"/>
          <w:szCs w:val="24"/>
          <w:highlight w:val="none"/>
        </w:rPr>
      </w:pPr>
      <w:r>
        <w:rPr>
          <w:sz w:val="24"/>
          <w:szCs w:val="24"/>
          <w:highlight w:val="none"/>
        </w:rPr>
        <w:t>（3）</w:t>
      </w:r>
      <w:r>
        <w:rPr>
          <w:rFonts w:hint="eastAsia"/>
          <w:sz w:val="24"/>
          <w:szCs w:val="24"/>
          <w:highlight w:val="none"/>
        </w:rPr>
        <w:t>《环境影响评价技术导则 地表水环境》（</w:t>
      </w:r>
      <w:r>
        <w:rPr>
          <w:sz w:val="24"/>
          <w:szCs w:val="24"/>
          <w:highlight w:val="none"/>
        </w:rPr>
        <w:t>HJ2.3-2018</w:t>
      </w:r>
      <w:r>
        <w:rPr>
          <w:rFonts w:hint="eastAsia"/>
          <w:sz w:val="24"/>
          <w:szCs w:val="24"/>
          <w:highlight w:val="none"/>
        </w:rPr>
        <w:t>）</w:t>
      </w:r>
      <w:r>
        <w:rPr>
          <w:sz w:val="24"/>
          <w:szCs w:val="24"/>
          <w:highlight w:val="none"/>
        </w:rPr>
        <w:t>；</w:t>
      </w:r>
    </w:p>
    <w:p>
      <w:pPr>
        <w:ind w:firstLine="480"/>
        <w:jc w:val="both"/>
        <w:rPr>
          <w:sz w:val="24"/>
          <w:szCs w:val="24"/>
          <w:highlight w:val="none"/>
        </w:rPr>
      </w:pPr>
      <w:r>
        <w:rPr>
          <w:sz w:val="24"/>
          <w:szCs w:val="24"/>
          <w:highlight w:val="none"/>
        </w:rPr>
        <w:t>（4）《环境影响评价技术导则</w:t>
      </w:r>
      <w:r>
        <w:rPr>
          <w:rFonts w:hint="eastAsia"/>
          <w:sz w:val="24"/>
          <w:szCs w:val="24"/>
          <w:highlight w:val="none"/>
        </w:rPr>
        <w:t xml:space="preserve"> </w:t>
      </w:r>
      <w:r>
        <w:rPr>
          <w:sz w:val="24"/>
          <w:szCs w:val="24"/>
          <w:highlight w:val="none"/>
        </w:rPr>
        <w:t>地下水环境》(HJ610-2016)；</w:t>
      </w:r>
    </w:p>
    <w:p>
      <w:pPr>
        <w:ind w:firstLine="480"/>
        <w:jc w:val="both"/>
        <w:rPr>
          <w:sz w:val="24"/>
          <w:szCs w:val="24"/>
          <w:highlight w:val="none"/>
        </w:rPr>
      </w:pPr>
      <w:r>
        <w:rPr>
          <w:sz w:val="24"/>
          <w:szCs w:val="24"/>
          <w:highlight w:val="none"/>
        </w:rPr>
        <w:t>（5）《环境影响评价技术导则</w:t>
      </w:r>
      <w:r>
        <w:rPr>
          <w:rFonts w:hint="eastAsia"/>
          <w:sz w:val="24"/>
          <w:szCs w:val="24"/>
          <w:highlight w:val="none"/>
        </w:rPr>
        <w:t xml:space="preserve"> </w:t>
      </w:r>
      <w:r>
        <w:rPr>
          <w:sz w:val="24"/>
          <w:szCs w:val="24"/>
          <w:highlight w:val="none"/>
        </w:rPr>
        <w:t>声环境》(HJ2.4-20</w:t>
      </w:r>
      <w:r>
        <w:rPr>
          <w:rFonts w:hint="eastAsia"/>
          <w:sz w:val="24"/>
          <w:szCs w:val="24"/>
          <w:highlight w:val="none"/>
          <w:lang w:val="en-US" w:eastAsia="zh-CN"/>
        </w:rPr>
        <w:t>21</w:t>
      </w:r>
      <w:r>
        <w:rPr>
          <w:sz w:val="24"/>
          <w:szCs w:val="24"/>
          <w:highlight w:val="none"/>
        </w:rPr>
        <w:t>)；</w:t>
      </w:r>
    </w:p>
    <w:p>
      <w:pPr>
        <w:ind w:firstLine="480"/>
        <w:jc w:val="both"/>
        <w:rPr>
          <w:sz w:val="24"/>
          <w:szCs w:val="24"/>
          <w:highlight w:val="none"/>
        </w:rPr>
      </w:pPr>
      <w:r>
        <w:rPr>
          <w:sz w:val="24"/>
          <w:szCs w:val="24"/>
          <w:highlight w:val="none"/>
        </w:rPr>
        <w:t>（6）《环境影响评价技术导则</w:t>
      </w:r>
      <w:r>
        <w:rPr>
          <w:rFonts w:hint="eastAsia"/>
          <w:sz w:val="24"/>
          <w:szCs w:val="24"/>
          <w:highlight w:val="none"/>
        </w:rPr>
        <w:t xml:space="preserve"> </w:t>
      </w:r>
      <w:r>
        <w:rPr>
          <w:sz w:val="24"/>
          <w:szCs w:val="24"/>
          <w:highlight w:val="none"/>
        </w:rPr>
        <w:t>生态影响》(HJ19-20</w:t>
      </w:r>
      <w:r>
        <w:rPr>
          <w:rFonts w:hint="eastAsia"/>
          <w:sz w:val="24"/>
          <w:szCs w:val="24"/>
          <w:highlight w:val="none"/>
          <w:lang w:val="en-US" w:eastAsia="zh-CN"/>
        </w:rPr>
        <w:t>22</w:t>
      </w:r>
      <w:r>
        <w:rPr>
          <w:sz w:val="24"/>
          <w:szCs w:val="24"/>
          <w:highlight w:val="none"/>
        </w:rPr>
        <w:t>)；</w:t>
      </w:r>
    </w:p>
    <w:p>
      <w:pPr>
        <w:ind w:firstLine="480"/>
        <w:jc w:val="both"/>
        <w:rPr>
          <w:sz w:val="24"/>
          <w:szCs w:val="24"/>
          <w:highlight w:val="none"/>
        </w:rPr>
      </w:pPr>
      <w:r>
        <w:rPr>
          <w:rFonts w:hint="eastAsia"/>
          <w:sz w:val="24"/>
          <w:szCs w:val="24"/>
          <w:highlight w:val="none"/>
        </w:rPr>
        <w:t>（7）《环境影响评价技术导则 土壤环境（试行）》（HJ964-2018）；</w:t>
      </w:r>
    </w:p>
    <w:p>
      <w:pPr>
        <w:ind w:firstLine="480"/>
        <w:jc w:val="both"/>
        <w:rPr>
          <w:sz w:val="24"/>
          <w:szCs w:val="24"/>
          <w:highlight w:val="none"/>
        </w:rPr>
      </w:pPr>
      <w:r>
        <w:rPr>
          <w:rFonts w:hint="eastAsia"/>
          <w:sz w:val="24"/>
          <w:szCs w:val="24"/>
          <w:highlight w:val="none"/>
        </w:rPr>
        <w:t>（8）《清洁生产标准 铁矿采选业》（HJ/T294-2006）；</w:t>
      </w:r>
    </w:p>
    <w:p>
      <w:pPr>
        <w:ind w:firstLine="480"/>
        <w:jc w:val="both"/>
        <w:rPr>
          <w:sz w:val="24"/>
          <w:szCs w:val="24"/>
          <w:highlight w:val="none"/>
        </w:rPr>
      </w:pPr>
      <w:r>
        <w:rPr>
          <w:rFonts w:hint="eastAsia"/>
          <w:sz w:val="24"/>
          <w:szCs w:val="24"/>
          <w:highlight w:val="none"/>
        </w:rPr>
        <w:t>（9）《固体废物鉴别导则（试行）》（国家环保总局公告2006年11号）；</w:t>
      </w:r>
    </w:p>
    <w:p>
      <w:pPr>
        <w:ind w:firstLine="480"/>
        <w:jc w:val="both"/>
        <w:rPr>
          <w:sz w:val="24"/>
          <w:szCs w:val="24"/>
          <w:highlight w:val="none"/>
        </w:rPr>
      </w:pPr>
      <w:r>
        <w:rPr>
          <w:rFonts w:hint="eastAsia"/>
          <w:sz w:val="24"/>
          <w:szCs w:val="24"/>
          <w:highlight w:val="none"/>
        </w:rPr>
        <w:t>（10）《固体废物鉴别标准  通则》(GB34330-2017)；</w:t>
      </w:r>
    </w:p>
    <w:p>
      <w:pPr>
        <w:ind w:firstLine="480"/>
        <w:jc w:val="both"/>
        <w:rPr>
          <w:sz w:val="24"/>
          <w:szCs w:val="24"/>
          <w:highlight w:val="none"/>
        </w:rPr>
      </w:pPr>
      <w:r>
        <w:rPr>
          <w:rFonts w:hint="eastAsia"/>
          <w:sz w:val="24"/>
          <w:szCs w:val="24"/>
          <w:highlight w:val="none"/>
        </w:rPr>
        <w:t>（11）《煤场、料场、渣场扬尘污染控制技术规范》（DB13/T2352-2016）。</w:t>
      </w:r>
    </w:p>
    <w:p>
      <w:pPr>
        <w:ind w:firstLine="480"/>
        <w:jc w:val="both"/>
        <w:rPr>
          <w:sz w:val="24"/>
          <w:szCs w:val="24"/>
          <w:highlight w:val="none"/>
        </w:rPr>
      </w:pPr>
      <w:r>
        <w:rPr>
          <w:rFonts w:hint="eastAsia"/>
          <w:sz w:val="24"/>
          <w:szCs w:val="24"/>
          <w:highlight w:val="none"/>
        </w:rPr>
        <w:t>（12）《危险废物鉴别技术规范》（HJ298-2019）；</w:t>
      </w:r>
    </w:p>
    <w:p>
      <w:pPr>
        <w:ind w:firstLine="480"/>
        <w:jc w:val="both"/>
        <w:rPr>
          <w:sz w:val="24"/>
          <w:szCs w:val="24"/>
          <w:highlight w:val="none"/>
        </w:rPr>
      </w:pPr>
      <w:r>
        <w:rPr>
          <w:rFonts w:hint="eastAsia"/>
          <w:sz w:val="24"/>
          <w:szCs w:val="24"/>
          <w:highlight w:val="none"/>
        </w:rPr>
        <w:t>（13）</w:t>
      </w:r>
      <w:r>
        <w:rPr>
          <w:sz w:val="24"/>
          <w:szCs w:val="24"/>
          <w:highlight w:val="none"/>
        </w:rPr>
        <w:t>《</w:t>
      </w:r>
      <w:r>
        <w:rPr>
          <w:rFonts w:hint="eastAsia"/>
          <w:sz w:val="24"/>
          <w:szCs w:val="24"/>
          <w:highlight w:val="none"/>
          <w:lang w:eastAsia="zh-CN"/>
        </w:rPr>
        <w:t>一般工业固体废物分类与代码</w:t>
      </w:r>
      <w:r>
        <w:rPr>
          <w:sz w:val="24"/>
          <w:szCs w:val="24"/>
          <w:highlight w:val="none"/>
        </w:rPr>
        <w:t>》</w:t>
      </w:r>
      <w:r>
        <w:rPr>
          <w:rFonts w:hint="eastAsia"/>
          <w:sz w:val="24"/>
          <w:szCs w:val="24"/>
          <w:highlight w:val="none"/>
        </w:rPr>
        <w:t>》</w:t>
      </w:r>
      <w:r>
        <w:rPr>
          <w:sz w:val="24"/>
          <w:szCs w:val="24"/>
          <w:highlight w:val="none"/>
        </w:rPr>
        <w:t>（</w:t>
      </w:r>
      <w:r>
        <w:rPr>
          <w:rFonts w:hint="eastAsia"/>
          <w:sz w:val="24"/>
          <w:szCs w:val="24"/>
          <w:highlight w:val="none"/>
          <w:lang w:val="en-US" w:eastAsia="zh-CN"/>
        </w:rPr>
        <w:t>GB/T39198-2020</w:t>
      </w:r>
      <w:r>
        <w:rPr>
          <w:sz w:val="24"/>
          <w:szCs w:val="24"/>
          <w:highlight w:val="none"/>
        </w:rPr>
        <w:t>）(2021年</w:t>
      </w:r>
      <w:r>
        <w:rPr>
          <w:rFonts w:hint="eastAsia"/>
          <w:sz w:val="24"/>
          <w:szCs w:val="24"/>
          <w:highlight w:val="none"/>
          <w:lang w:val="en-US" w:eastAsia="zh-CN"/>
        </w:rPr>
        <w:t>5</w:t>
      </w:r>
      <w:r>
        <w:rPr>
          <w:sz w:val="24"/>
          <w:szCs w:val="24"/>
          <w:highlight w:val="none"/>
        </w:rPr>
        <w:t>月1号实施)</w:t>
      </w:r>
      <w:r>
        <w:rPr>
          <w:rFonts w:hint="eastAsia"/>
          <w:sz w:val="24"/>
          <w:szCs w:val="24"/>
          <w:highlight w:val="none"/>
        </w:rPr>
        <w:t>；</w:t>
      </w:r>
    </w:p>
    <w:p>
      <w:pPr>
        <w:ind w:firstLine="480"/>
        <w:jc w:val="both"/>
        <w:rPr>
          <w:sz w:val="24"/>
          <w:szCs w:val="24"/>
          <w:highlight w:val="none"/>
        </w:rPr>
      </w:pPr>
      <w:r>
        <w:rPr>
          <w:rFonts w:hint="eastAsia"/>
          <w:sz w:val="24"/>
          <w:szCs w:val="24"/>
          <w:highlight w:val="none"/>
        </w:rPr>
        <w:t>（14）《大气污染治理工程技术导则》（HJ2000-2010）；</w:t>
      </w:r>
    </w:p>
    <w:p>
      <w:pPr>
        <w:ind w:firstLine="480"/>
        <w:jc w:val="both"/>
        <w:rPr>
          <w:sz w:val="24"/>
          <w:szCs w:val="24"/>
          <w:highlight w:val="none"/>
        </w:rPr>
      </w:pPr>
      <w:r>
        <w:rPr>
          <w:rFonts w:hint="eastAsia"/>
          <w:sz w:val="24"/>
          <w:szCs w:val="24"/>
          <w:highlight w:val="none"/>
        </w:rPr>
        <w:t>（15）《水污染治理工程技术导则》(HJ2015-2012)；</w:t>
      </w:r>
    </w:p>
    <w:p>
      <w:pPr>
        <w:ind w:firstLine="480"/>
        <w:jc w:val="both"/>
        <w:rPr>
          <w:sz w:val="24"/>
          <w:szCs w:val="24"/>
          <w:highlight w:val="none"/>
        </w:rPr>
      </w:pPr>
      <w:r>
        <w:rPr>
          <w:rFonts w:hint="eastAsia"/>
          <w:sz w:val="24"/>
          <w:szCs w:val="24"/>
          <w:highlight w:val="none"/>
        </w:rPr>
        <w:t>（16）《环境噪声与振动控制工程技术导则》(HJ2034-2013)；</w:t>
      </w:r>
    </w:p>
    <w:p>
      <w:pPr>
        <w:ind w:firstLine="480"/>
        <w:jc w:val="both"/>
        <w:rPr>
          <w:sz w:val="24"/>
          <w:szCs w:val="24"/>
          <w:highlight w:val="none"/>
        </w:rPr>
      </w:pPr>
      <w:r>
        <w:rPr>
          <w:rFonts w:hint="eastAsia"/>
          <w:sz w:val="24"/>
          <w:szCs w:val="24"/>
          <w:highlight w:val="none"/>
        </w:rPr>
        <w:t>（17）《固体废物处理处置工程技术导则》(HJ2035-2013)；</w:t>
      </w:r>
    </w:p>
    <w:p>
      <w:pPr>
        <w:ind w:firstLine="480"/>
        <w:jc w:val="both"/>
        <w:rPr>
          <w:sz w:val="24"/>
          <w:szCs w:val="24"/>
          <w:highlight w:val="none"/>
        </w:rPr>
      </w:pPr>
      <w:r>
        <w:rPr>
          <w:rFonts w:hint="eastAsia"/>
          <w:sz w:val="24"/>
          <w:szCs w:val="24"/>
          <w:highlight w:val="none"/>
        </w:rPr>
        <w:t>（18）《防治城市扬尘污染技术规范》(HJ/T393-2007)；</w:t>
      </w:r>
    </w:p>
    <w:p>
      <w:pPr>
        <w:ind w:firstLine="480"/>
        <w:jc w:val="both"/>
        <w:rPr>
          <w:sz w:val="24"/>
          <w:szCs w:val="24"/>
          <w:highlight w:val="none"/>
        </w:rPr>
      </w:pPr>
      <w:r>
        <w:rPr>
          <w:rFonts w:hint="eastAsia"/>
          <w:sz w:val="24"/>
          <w:szCs w:val="24"/>
          <w:highlight w:val="none"/>
        </w:rPr>
        <w:t>（19）《危险废物收集 储存 运输技术规范》(HJ2025-2012)；</w:t>
      </w:r>
    </w:p>
    <w:p>
      <w:pPr>
        <w:ind w:firstLine="480"/>
        <w:jc w:val="both"/>
        <w:rPr>
          <w:sz w:val="24"/>
          <w:szCs w:val="24"/>
          <w:highlight w:val="none"/>
        </w:rPr>
      </w:pPr>
      <w:r>
        <w:rPr>
          <w:rFonts w:hint="eastAsia"/>
          <w:sz w:val="24"/>
          <w:szCs w:val="24"/>
          <w:highlight w:val="none"/>
        </w:rPr>
        <w:t>（20）《河北省行业用水定额》（DB13/T1161-2016）。</w:t>
      </w:r>
    </w:p>
    <w:p>
      <w:pPr>
        <w:pStyle w:val="6"/>
        <w:numPr>
          <w:ilvl w:val="2"/>
          <w:numId w:val="1"/>
        </w:numPr>
        <w:spacing w:before="0" w:after="0"/>
        <w:ind w:left="567"/>
        <w:rPr>
          <w:szCs w:val="28"/>
          <w:highlight w:val="none"/>
        </w:rPr>
      </w:pPr>
      <w:r>
        <w:rPr>
          <w:szCs w:val="28"/>
          <w:highlight w:val="none"/>
        </w:rPr>
        <w:t>其他相关文件</w:t>
      </w:r>
      <w:bookmarkEnd w:id="64"/>
      <w:bookmarkEnd w:id="65"/>
    </w:p>
    <w:p>
      <w:pPr>
        <w:ind w:firstLine="480"/>
        <w:jc w:val="both"/>
        <w:rPr>
          <w:sz w:val="24"/>
          <w:szCs w:val="24"/>
          <w:highlight w:val="none"/>
        </w:rPr>
      </w:pPr>
      <w:r>
        <w:rPr>
          <w:sz w:val="24"/>
          <w:szCs w:val="24"/>
          <w:highlight w:val="none"/>
        </w:rPr>
        <w:t>（1）《环境影响评价委托书》；</w:t>
      </w:r>
    </w:p>
    <w:p>
      <w:pPr>
        <w:snapToGrid w:val="0"/>
        <w:ind w:firstLine="480"/>
        <w:jc w:val="both"/>
        <w:rPr>
          <w:rFonts w:hint="eastAsia" w:eastAsia="宋体"/>
          <w:sz w:val="24"/>
          <w:szCs w:val="24"/>
          <w:highlight w:val="none"/>
          <w:lang w:eastAsia="zh-CN"/>
        </w:rPr>
      </w:pPr>
      <w:r>
        <w:rPr>
          <w:sz w:val="24"/>
          <w:szCs w:val="24"/>
          <w:highlight w:val="none"/>
        </w:rPr>
        <w:t>（</w:t>
      </w:r>
      <w:r>
        <w:rPr>
          <w:rFonts w:hint="eastAsia"/>
          <w:sz w:val="24"/>
          <w:szCs w:val="24"/>
          <w:highlight w:val="none"/>
        </w:rPr>
        <w:t>2</w:t>
      </w:r>
      <w:r>
        <w:rPr>
          <w:sz w:val="24"/>
          <w:szCs w:val="24"/>
          <w:highlight w:val="none"/>
        </w:rPr>
        <w:t>）河北省发展和改革委员会企业投资项目备案信息（</w:t>
      </w:r>
      <w:r>
        <w:rPr>
          <w:rFonts w:hint="eastAsia"/>
          <w:sz w:val="24"/>
          <w:szCs w:val="24"/>
          <w:highlight w:val="none"/>
        </w:rPr>
        <w:t>冀发改政务备字[202</w:t>
      </w:r>
      <w:r>
        <w:rPr>
          <w:rFonts w:hint="eastAsia"/>
          <w:sz w:val="24"/>
          <w:szCs w:val="24"/>
          <w:highlight w:val="none"/>
          <w:lang w:val="en-US" w:eastAsia="zh-CN"/>
        </w:rPr>
        <w:t>3</w:t>
      </w:r>
      <w:r>
        <w:rPr>
          <w:rFonts w:hint="eastAsia"/>
          <w:sz w:val="24"/>
          <w:szCs w:val="24"/>
          <w:highlight w:val="none"/>
        </w:rPr>
        <w:t>]</w:t>
      </w:r>
      <w:r>
        <w:rPr>
          <w:rFonts w:hint="eastAsia"/>
          <w:sz w:val="24"/>
          <w:szCs w:val="24"/>
          <w:highlight w:val="none"/>
          <w:lang w:val="en-US" w:eastAsia="zh-CN"/>
        </w:rPr>
        <w:t>2</w:t>
      </w:r>
      <w:r>
        <w:rPr>
          <w:rFonts w:hint="eastAsia"/>
          <w:sz w:val="24"/>
          <w:szCs w:val="24"/>
          <w:highlight w:val="none"/>
        </w:rPr>
        <w:t>9号</w:t>
      </w:r>
      <w:r>
        <w:rPr>
          <w:sz w:val="24"/>
          <w:szCs w:val="24"/>
          <w:highlight w:val="none"/>
        </w:rPr>
        <w:t>）</w:t>
      </w:r>
      <w:r>
        <w:rPr>
          <w:rFonts w:hint="eastAsia"/>
          <w:sz w:val="24"/>
          <w:szCs w:val="24"/>
          <w:highlight w:val="none"/>
          <w:lang w:eastAsia="zh-CN"/>
        </w:rPr>
        <w:t>；</w:t>
      </w:r>
    </w:p>
    <w:p>
      <w:pPr>
        <w:ind w:firstLine="480"/>
        <w:jc w:val="both"/>
        <w:rPr>
          <w:sz w:val="24"/>
          <w:szCs w:val="24"/>
          <w:highlight w:val="none"/>
        </w:rPr>
      </w:pPr>
      <w:r>
        <w:rPr>
          <w:sz w:val="24"/>
          <w:szCs w:val="24"/>
          <w:highlight w:val="none"/>
        </w:rPr>
        <w:t>（</w:t>
      </w:r>
      <w:r>
        <w:rPr>
          <w:rFonts w:hint="eastAsia"/>
          <w:sz w:val="24"/>
          <w:szCs w:val="24"/>
          <w:highlight w:val="none"/>
          <w:lang w:val="en-US" w:eastAsia="zh-CN"/>
        </w:rPr>
        <w:t>3</w:t>
      </w:r>
      <w:r>
        <w:rPr>
          <w:sz w:val="24"/>
          <w:szCs w:val="24"/>
          <w:highlight w:val="none"/>
        </w:rPr>
        <w:t>）《遵化市住房和城乡规划建设局关于遵化市堡子店镇西新店子村用地性质的说明》；</w:t>
      </w:r>
    </w:p>
    <w:p>
      <w:pPr>
        <w:ind w:firstLine="480"/>
        <w:jc w:val="both"/>
        <w:rPr>
          <w:sz w:val="24"/>
          <w:szCs w:val="24"/>
          <w:highlight w:val="none"/>
        </w:rPr>
      </w:pPr>
      <w:r>
        <w:rPr>
          <w:sz w:val="24"/>
          <w:szCs w:val="24"/>
          <w:highlight w:val="none"/>
        </w:rPr>
        <w:t>（</w:t>
      </w:r>
      <w:r>
        <w:rPr>
          <w:rFonts w:hint="eastAsia"/>
          <w:sz w:val="24"/>
          <w:szCs w:val="24"/>
          <w:highlight w:val="none"/>
          <w:lang w:val="en-US" w:eastAsia="zh-CN"/>
        </w:rPr>
        <w:t>4</w:t>
      </w:r>
      <w:r>
        <w:rPr>
          <w:sz w:val="24"/>
          <w:szCs w:val="24"/>
          <w:highlight w:val="none"/>
        </w:rPr>
        <w:t>）检测报告；</w:t>
      </w:r>
    </w:p>
    <w:p>
      <w:pPr>
        <w:ind w:firstLine="480"/>
        <w:jc w:val="both"/>
        <w:rPr>
          <w:sz w:val="24"/>
          <w:szCs w:val="24"/>
          <w:highlight w:val="none"/>
        </w:rPr>
      </w:pPr>
      <w:r>
        <w:rPr>
          <w:sz w:val="24"/>
          <w:szCs w:val="24"/>
          <w:highlight w:val="none"/>
        </w:rPr>
        <w:t>（</w:t>
      </w:r>
      <w:r>
        <w:rPr>
          <w:rFonts w:hint="eastAsia"/>
          <w:sz w:val="24"/>
          <w:szCs w:val="24"/>
          <w:highlight w:val="none"/>
          <w:lang w:val="en-US" w:eastAsia="zh-CN"/>
        </w:rPr>
        <w:t>5</w:t>
      </w:r>
      <w:r>
        <w:rPr>
          <w:sz w:val="24"/>
          <w:szCs w:val="24"/>
          <w:highlight w:val="none"/>
        </w:rPr>
        <w:t>）</w:t>
      </w:r>
      <w:bookmarkStart w:id="66" w:name="_Hlk522220087"/>
      <w:r>
        <w:rPr>
          <w:sz w:val="24"/>
          <w:szCs w:val="24"/>
          <w:highlight w:val="none"/>
        </w:rPr>
        <w:t>环评委托方提供的其它有关资料</w:t>
      </w:r>
      <w:bookmarkEnd w:id="66"/>
      <w:r>
        <w:rPr>
          <w:sz w:val="24"/>
          <w:szCs w:val="24"/>
          <w:highlight w:val="none"/>
        </w:rPr>
        <w:t>。</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7" w:name="_Toc536557280"/>
      <w:bookmarkStart w:id="68" w:name="_Toc1057"/>
      <w:bookmarkStart w:id="69" w:name="_Toc524284659"/>
      <w:bookmarkStart w:id="70" w:name="_Toc499651397"/>
      <w:bookmarkStart w:id="71" w:name="_Toc503218096"/>
      <w:bookmarkStart w:id="72" w:name="_Toc9428"/>
      <w:bookmarkStart w:id="73" w:name="_Toc521591674"/>
      <w:bookmarkStart w:id="74" w:name="_Toc476574687"/>
      <w:bookmarkStart w:id="75" w:name="_Toc2994"/>
      <w:r>
        <w:rPr>
          <w:rFonts w:hint="eastAsia" w:ascii="Times New Roman" w:hAnsi="Times New Roman" w:eastAsia="宋体"/>
          <w:bCs w:val="0"/>
          <w:snapToGrid w:val="0"/>
          <w:kern w:val="0"/>
          <w:sz w:val="28"/>
          <w:szCs w:val="28"/>
          <w:highlight w:val="none"/>
        </w:rPr>
        <w:t>评价目的与评价原则</w:t>
      </w:r>
      <w:bookmarkEnd w:id="67"/>
    </w:p>
    <w:p>
      <w:pPr>
        <w:pStyle w:val="6"/>
        <w:numPr>
          <w:ilvl w:val="2"/>
          <w:numId w:val="1"/>
        </w:numPr>
        <w:spacing w:before="0" w:after="0"/>
        <w:ind w:left="567"/>
        <w:rPr>
          <w:szCs w:val="28"/>
          <w:highlight w:val="none"/>
        </w:rPr>
      </w:pPr>
      <w:bookmarkStart w:id="76" w:name="_Toc246985967"/>
      <w:bookmarkStart w:id="77" w:name="_Toc246749938"/>
      <w:bookmarkStart w:id="78" w:name="_Toc257125152"/>
      <w:bookmarkStart w:id="79" w:name="_Toc246815927"/>
      <w:bookmarkStart w:id="80" w:name="_Toc258867568"/>
      <w:r>
        <w:rPr>
          <w:szCs w:val="28"/>
          <w:highlight w:val="none"/>
        </w:rPr>
        <w:t>评价目的</w:t>
      </w:r>
      <w:bookmarkEnd w:id="76"/>
      <w:bookmarkEnd w:id="77"/>
      <w:bookmarkEnd w:id="78"/>
      <w:bookmarkEnd w:id="79"/>
      <w:bookmarkEnd w:id="80"/>
    </w:p>
    <w:p>
      <w:pPr>
        <w:ind w:firstLine="480"/>
        <w:rPr>
          <w:sz w:val="24"/>
          <w:szCs w:val="24"/>
          <w:highlight w:val="none"/>
        </w:rPr>
      </w:pPr>
      <w:bookmarkStart w:id="81" w:name="_Toc257125153"/>
      <w:bookmarkStart w:id="82" w:name="_Toc246749939"/>
      <w:bookmarkStart w:id="83" w:name="_Toc258867569"/>
      <w:bookmarkStart w:id="84" w:name="_Toc246985968"/>
      <w:bookmarkStart w:id="85" w:name="_Toc246815928"/>
      <w:r>
        <w:rPr>
          <w:sz w:val="24"/>
          <w:szCs w:val="24"/>
          <w:highlight w:val="none"/>
        </w:rPr>
        <w:t>（1）通过调查与监测，</w:t>
      </w:r>
      <w:r>
        <w:rPr>
          <w:rFonts w:hint="eastAsia"/>
          <w:sz w:val="24"/>
          <w:szCs w:val="24"/>
          <w:highlight w:val="none"/>
        </w:rPr>
        <w:t>了解</w:t>
      </w:r>
      <w:r>
        <w:rPr>
          <w:sz w:val="24"/>
          <w:szCs w:val="24"/>
          <w:highlight w:val="none"/>
        </w:rPr>
        <w:t>建设项目周围的自然环境、社会经济环境和环境质量现状。</w:t>
      </w:r>
    </w:p>
    <w:p>
      <w:pPr>
        <w:ind w:firstLine="480"/>
        <w:rPr>
          <w:sz w:val="24"/>
          <w:szCs w:val="24"/>
          <w:highlight w:val="none"/>
        </w:rPr>
      </w:pPr>
      <w:r>
        <w:rPr>
          <w:sz w:val="24"/>
          <w:szCs w:val="24"/>
          <w:highlight w:val="none"/>
        </w:rPr>
        <w:t>（</w:t>
      </w:r>
      <w:r>
        <w:rPr>
          <w:rFonts w:hint="eastAsia"/>
          <w:sz w:val="24"/>
          <w:szCs w:val="24"/>
          <w:highlight w:val="none"/>
        </w:rPr>
        <w:t>2</w:t>
      </w:r>
      <w:r>
        <w:rPr>
          <w:sz w:val="24"/>
          <w:szCs w:val="24"/>
          <w:highlight w:val="none"/>
        </w:rPr>
        <w:t>）通过工程分析和类比调查，查清建设项目的主要污染源、污染物及排放量；按</w:t>
      </w:r>
      <w:r>
        <w:rPr>
          <w:rFonts w:hint="eastAsia"/>
          <w:sz w:val="24"/>
          <w:szCs w:val="24"/>
          <w:highlight w:val="none"/>
        </w:rPr>
        <w:t>“</w:t>
      </w:r>
      <w:r>
        <w:rPr>
          <w:sz w:val="24"/>
          <w:szCs w:val="24"/>
          <w:highlight w:val="none"/>
        </w:rPr>
        <w:t>清洁生产</w:t>
      </w:r>
      <w:r>
        <w:rPr>
          <w:rFonts w:hint="eastAsia"/>
          <w:sz w:val="24"/>
          <w:szCs w:val="24"/>
          <w:highlight w:val="none"/>
        </w:rPr>
        <w:t>”</w:t>
      </w:r>
      <w:r>
        <w:rPr>
          <w:sz w:val="24"/>
          <w:szCs w:val="24"/>
          <w:highlight w:val="none"/>
        </w:rPr>
        <w:t>的要求，对工程采用的工艺、设备、物耗、能耗等各环节进行分析。</w:t>
      </w:r>
    </w:p>
    <w:p>
      <w:pPr>
        <w:ind w:firstLine="480"/>
        <w:rPr>
          <w:sz w:val="24"/>
          <w:szCs w:val="24"/>
          <w:highlight w:val="none"/>
        </w:rPr>
      </w:pPr>
      <w:r>
        <w:rPr>
          <w:sz w:val="24"/>
          <w:szCs w:val="24"/>
          <w:highlight w:val="none"/>
        </w:rPr>
        <w:t>（</w:t>
      </w:r>
      <w:r>
        <w:rPr>
          <w:rFonts w:hint="eastAsia"/>
          <w:sz w:val="24"/>
          <w:szCs w:val="24"/>
          <w:highlight w:val="none"/>
        </w:rPr>
        <w:t>3</w:t>
      </w:r>
      <w:r>
        <w:rPr>
          <w:sz w:val="24"/>
          <w:szCs w:val="24"/>
          <w:highlight w:val="none"/>
        </w:rPr>
        <w:t>）通过分析和计算，预测主要污染物排放对周围环境的影响程度，判断其是否满足排放标准、环境质量标准和总量控制要求。</w:t>
      </w:r>
    </w:p>
    <w:p>
      <w:pPr>
        <w:ind w:firstLine="480"/>
        <w:rPr>
          <w:sz w:val="24"/>
          <w:szCs w:val="24"/>
          <w:highlight w:val="none"/>
        </w:rPr>
      </w:pPr>
      <w:r>
        <w:rPr>
          <w:sz w:val="24"/>
          <w:szCs w:val="24"/>
          <w:highlight w:val="none"/>
        </w:rPr>
        <w:t>（</w:t>
      </w:r>
      <w:r>
        <w:rPr>
          <w:rFonts w:hint="eastAsia"/>
          <w:sz w:val="24"/>
          <w:szCs w:val="24"/>
          <w:highlight w:val="none"/>
        </w:rPr>
        <w:t>4</w:t>
      </w:r>
      <w:r>
        <w:rPr>
          <w:sz w:val="24"/>
          <w:szCs w:val="24"/>
          <w:highlight w:val="none"/>
        </w:rPr>
        <w:t>）从技术、经济角度分析拟采取的环保措施的可行性，必要时提出替代方案，为主管部门决策和加强环境管理提供依据。</w:t>
      </w:r>
    </w:p>
    <w:p>
      <w:pPr>
        <w:ind w:firstLine="480"/>
        <w:rPr>
          <w:sz w:val="24"/>
          <w:szCs w:val="24"/>
          <w:highlight w:val="none"/>
        </w:rPr>
      </w:pPr>
      <w:r>
        <w:rPr>
          <w:sz w:val="24"/>
          <w:szCs w:val="24"/>
          <w:highlight w:val="none"/>
        </w:rPr>
        <w:t>（</w:t>
      </w:r>
      <w:r>
        <w:rPr>
          <w:rFonts w:hint="eastAsia"/>
          <w:sz w:val="24"/>
          <w:szCs w:val="24"/>
          <w:highlight w:val="none"/>
        </w:rPr>
        <w:t>5</w:t>
      </w:r>
      <w:r>
        <w:rPr>
          <w:sz w:val="24"/>
          <w:szCs w:val="24"/>
          <w:highlight w:val="none"/>
        </w:rPr>
        <w:t>）从环保法规、产业政策、环境特点、污染防治等方面综合分析，对厂址选择的合理性和建设项目的可行性给出明确结论</w:t>
      </w:r>
      <w:r>
        <w:rPr>
          <w:rFonts w:hint="eastAsia"/>
          <w:sz w:val="24"/>
          <w:szCs w:val="24"/>
          <w:highlight w:val="none"/>
        </w:rPr>
        <w:t>，为管理部门决策、设计部门优化设计和建设单位的环境管理提供科学依据。</w:t>
      </w:r>
    </w:p>
    <w:p>
      <w:pPr>
        <w:pStyle w:val="6"/>
        <w:numPr>
          <w:ilvl w:val="2"/>
          <w:numId w:val="1"/>
        </w:numPr>
        <w:spacing w:before="0" w:after="0"/>
        <w:ind w:left="567"/>
        <w:rPr>
          <w:szCs w:val="28"/>
          <w:highlight w:val="none"/>
        </w:rPr>
      </w:pPr>
      <w:r>
        <w:rPr>
          <w:szCs w:val="28"/>
          <w:highlight w:val="none"/>
        </w:rPr>
        <w:t>评价原则</w:t>
      </w:r>
      <w:bookmarkEnd w:id="81"/>
      <w:bookmarkEnd w:id="82"/>
      <w:bookmarkEnd w:id="83"/>
      <w:bookmarkEnd w:id="84"/>
      <w:bookmarkEnd w:id="85"/>
    </w:p>
    <w:p>
      <w:pPr>
        <w:pStyle w:val="152"/>
        <w:snapToGrid/>
        <w:spacing w:before="0" w:after="0" w:line="360" w:lineRule="auto"/>
        <w:ind w:firstLine="480"/>
        <w:jc w:val="left"/>
        <w:textAlignment w:val="bottom"/>
        <w:rPr>
          <w:highlight w:val="none"/>
        </w:rPr>
      </w:pPr>
      <w:r>
        <w:rPr>
          <w:rFonts w:hint="eastAsia"/>
          <w:highlight w:val="none"/>
        </w:rPr>
        <w:t>突出环境影响评价的源头预防作用，坚持保护和改善环境质量。</w:t>
      </w:r>
    </w:p>
    <w:p>
      <w:pPr>
        <w:pStyle w:val="152"/>
        <w:snapToGrid/>
        <w:spacing w:before="0" w:after="0" w:line="360" w:lineRule="auto"/>
        <w:ind w:firstLine="480"/>
        <w:jc w:val="left"/>
        <w:textAlignment w:val="bottom"/>
        <w:rPr>
          <w:highlight w:val="none"/>
        </w:rPr>
      </w:pPr>
      <w:r>
        <w:rPr>
          <w:highlight w:val="none"/>
        </w:rPr>
        <w:t>(1)</w:t>
      </w:r>
      <w:r>
        <w:rPr>
          <w:rFonts w:hint="eastAsia"/>
          <w:highlight w:val="none"/>
        </w:rPr>
        <w:t>依法评价</w:t>
      </w:r>
    </w:p>
    <w:p>
      <w:pPr>
        <w:pStyle w:val="152"/>
        <w:snapToGrid/>
        <w:spacing w:before="0" w:after="0" w:line="360" w:lineRule="auto"/>
        <w:ind w:firstLine="480"/>
        <w:jc w:val="left"/>
        <w:textAlignment w:val="bottom"/>
        <w:rPr>
          <w:highlight w:val="none"/>
        </w:rPr>
      </w:pPr>
      <w:r>
        <w:rPr>
          <w:rFonts w:hint="eastAsia"/>
          <w:highlight w:val="none"/>
        </w:rPr>
        <w:t>贯彻执行我国环境保护相关法律法规、标准、政策和规划等，优化项目建设，服务环境管理。</w:t>
      </w:r>
    </w:p>
    <w:p>
      <w:pPr>
        <w:pStyle w:val="152"/>
        <w:snapToGrid/>
        <w:spacing w:before="0" w:after="0" w:line="360" w:lineRule="auto"/>
        <w:ind w:firstLine="480"/>
        <w:jc w:val="left"/>
        <w:textAlignment w:val="bottom"/>
        <w:rPr>
          <w:highlight w:val="none"/>
        </w:rPr>
      </w:pPr>
      <w:r>
        <w:rPr>
          <w:highlight w:val="none"/>
        </w:rPr>
        <w:t>(2)</w:t>
      </w:r>
      <w:r>
        <w:rPr>
          <w:rFonts w:hint="eastAsia"/>
          <w:highlight w:val="none"/>
        </w:rPr>
        <w:t>科学评价</w:t>
      </w:r>
    </w:p>
    <w:p>
      <w:pPr>
        <w:pStyle w:val="152"/>
        <w:snapToGrid/>
        <w:spacing w:before="0" w:after="0" w:line="360" w:lineRule="auto"/>
        <w:ind w:firstLine="480"/>
        <w:jc w:val="left"/>
        <w:textAlignment w:val="bottom"/>
        <w:rPr>
          <w:highlight w:val="none"/>
        </w:rPr>
      </w:pPr>
      <w:r>
        <w:rPr>
          <w:rFonts w:hint="eastAsia"/>
          <w:highlight w:val="none"/>
        </w:rPr>
        <w:t>规范环境影响评价方法，科学分析项目建设对环境质量的影响。</w:t>
      </w:r>
    </w:p>
    <w:p>
      <w:pPr>
        <w:pStyle w:val="152"/>
        <w:snapToGrid/>
        <w:spacing w:before="0" w:after="0" w:line="360" w:lineRule="auto"/>
        <w:ind w:firstLine="480"/>
        <w:jc w:val="left"/>
        <w:textAlignment w:val="bottom"/>
        <w:rPr>
          <w:highlight w:val="none"/>
        </w:rPr>
      </w:pPr>
      <w:r>
        <w:rPr>
          <w:highlight w:val="none"/>
        </w:rPr>
        <w:t>(3)</w:t>
      </w:r>
      <w:r>
        <w:rPr>
          <w:rFonts w:hint="eastAsia"/>
          <w:highlight w:val="none"/>
        </w:rPr>
        <w:t>突出重点</w:t>
      </w:r>
    </w:p>
    <w:p>
      <w:pPr>
        <w:ind w:firstLine="480"/>
        <w:rPr>
          <w:sz w:val="24"/>
          <w:szCs w:val="24"/>
          <w:highlight w:val="none"/>
        </w:rPr>
      </w:pPr>
      <w:r>
        <w:rPr>
          <w:rFonts w:hint="eastAsia"/>
          <w:sz w:val="24"/>
          <w:szCs w:val="24"/>
          <w:highlight w:val="none"/>
        </w:rPr>
        <w:t>根据建设项目的工程内容及其特点，明确与环境要素间的作用效应关系，充分利用符合时效的数据资料及成果，对建设项目主要环境影响予以重点分析和评价。</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86" w:name="_Toc536557281"/>
      <w:r>
        <w:rPr>
          <w:rFonts w:ascii="Times New Roman" w:hAnsi="Times New Roman" w:eastAsia="宋体"/>
          <w:bCs w:val="0"/>
          <w:snapToGrid w:val="0"/>
          <w:kern w:val="0"/>
          <w:sz w:val="28"/>
          <w:szCs w:val="28"/>
          <w:highlight w:val="none"/>
        </w:rPr>
        <w:t>评价因子</w:t>
      </w:r>
      <w:r>
        <w:rPr>
          <w:rFonts w:hint="eastAsia" w:ascii="Times New Roman" w:hAnsi="Times New Roman" w:eastAsia="宋体"/>
          <w:bCs w:val="0"/>
          <w:snapToGrid w:val="0"/>
          <w:kern w:val="0"/>
          <w:sz w:val="28"/>
          <w:szCs w:val="28"/>
          <w:highlight w:val="none"/>
        </w:rPr>
        <w:t>识别与筛选</w:t>
      </w:r>
      <w:bookmarkEnd w:id="68"/>
      <w:bookmarkEnd w:id="69"/>
      <w:bookmarkEnd w:id="70"/>
      <w:bookmarkEnd w:id="71"/>
      <w:bookmarkEnd w:id="72"/>
      <w:bookmarkEnd w:id="73"/>
      <w:bookmarkEnd w:id="74"/>
      <w:bookmarkEnd w:id="75"/>
      <w:bookmarkEnd w:id="86"/>
    </w:p>
    <w:p>
      <w:pPr>
        <w:pStyle w:val="6"/>
        <w:numPr>
          <w:ilvl w:val="2"/>
          <w:numId w:val="1"/>
        </w:numPr>
        <w:spacing w:before="0" w:after="0"/>
        <w:ind w:left="567"/>
        <w:rPr>
          <w:szCs w:val="28"/>
          <w:highlight w:val="none"/>
        </w:rPr>
      </w:pPr>
      <w:bookmarkStart w:id="87" w:name="_Toc521591675"/>
      <w:bookmarkStart w:id="88" w:name="_Toc20276"/>
      <w:r>
        <w:rPr>
          <w:szCs w:val="28"/>
          <w:highlight w:val="none"/>
        </w:rPr>
        <w:t>环境影响因素识别</w:t>
      </w:r>
      <w:bookmarkEnd w:id="87"/>
      <w:bookmarkEnd w:id="88"/>
    </w:p>
    <w:p>
      <w:pPr>
        <w:spacing w:line="500" w:lineRule="exact"/>
        <w:ind w:firstLine="480"/>
        <w:rPr>
          <w:sz w:val="24"/>
          <w:szCs w:val="24"/>
          <w:highlight w:val="none"/>
        </w:rPr>
      </w:pPr>
      <w:r>
        <w:rPr>
          <w:sz w:val="24"/>
          <w:szCs w:val="24"/>
          <w:highlight w:val="none"/>
        </w:rPr>
        <w:t>根据建设项目的生产工艺流程和排污特征以及建设地区的环境状况，采用矩阵法对项目</w:t>
      </w:r>
      <w:r>
        <w:rPr>
          <w:rFonts w:hint="eastAsia"/>
          <w:sz w:val="24"/>
          <w:szCs w:val="24"/>
          <w:highlight w:val="none"/>
        </w:rPr>
        <w:t>施工期和</w:t>
      </w:r>
      <w:r>
        <w:rPr>
          <w:sz w:val="24"/>
          <w:szCs w:val="24"/>
          <w:highlight w:val="none"/>
        </w:rPr>
        <w:t>运营期可能受项目影响的环境要素进行识别，识别结果见表2.</w:t>
      </w:r>
      <w:r>
        <w:rPr>
          <w:rFonts w:hint="eastAsia"/>
          <w:sz w:val="24"/>
          <w:szCs w:val="24"/>
          <w:highlight w:val="none"/>
        </w:rPr>
        <w:t>3</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3</w:t>
      </w:r>
      <w:r>
        <w:rPr>
          <w:rFonts w:eastAsia="黑体"/>
          <w:kern w:val="2"/>
          <w:sz w:val="21"/>
          <w:szCs w:val="21"/>
          <w:highlight w:val="none"/>
        </w:rPr>
        <w:t>-1    环境影响要素识别一览表</w:t>
      </w:r>
    </w:p>
    <w:tbl>
      <w:tblPr>
        <w:tblStyle w:val="48"/>
        <w:tblW w:w="8520"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66"/>
        <w:gridCol w:w="1059"/>
        <w:gridCol w:w="924"/>
        <w:gridCol w:w="707"/>
        <w:gridCol w:w="808"/>
        <w:gridCol w:w="762"/>
        <w:gridCol w:w="781"/>
        <w:gridCol w:w="682"/>
        <w:gridCol w:w="902"/>
        <w:gridCol w:w="644"/>
        <w:gridCol w:w="78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5" w:type="dxa"/>
            <w:gridSpan w:val="2"/>
            <w:vMerge w:val="restart"/>
            <w:vAlign w:val="center"/>
          </w:tcPr>
          <w:p>
            <w:pPr>
              <w:spacing w:line="240" w:lineRule="auto"/>
              <w:ind w:firstLine="0" w:firstLineChars="0"/>
              <w:jc w:val="center"/>
              <w:rPr>
                <w:caps/>
                <w:kern w:val="2"/>
                <w:sz w:val="21"/>
                <w:szCs w:val="21"/>
                <w:highlight w:val="none"/>
              </w:rPr>
            </w:pPr>
            <w:r>
              <w:rPr>
                <w:caps/>
                <w:kern w:val="2"/>
                <w:sz w:val="21"/>
                <w:szCs w:val="21"/>
                <w:highlight w:val="none"/>
              </w:rPr>
              <w:t>类别</w:t>
            </w:r>
          </w:p>
        </w:tc>
        <w:tc>
          <w:tcPr>
            <w:tcW w:w="3201" w:type="dxa"/>
            <w:gridSpan w:val="4"/>
            <w:vAlign w:val="center"/>
          </w:tcPr>
          <w:p>
            <w:pPr>
              <w:spacing w:line="240" w:lineRule="auto"/>
              <w:ind w:firstLine="0" w:firstLineChars="0"/>
              <w:jc w:val="center"/>
              <w:rPr>
                <w:caps/>
                <w:kern w:val="2"/>
                <w:sz w:val="21"/>
                <w:szCs w:val="21"/>
                <w:highlight w:val="none"/>
              </w:rPr>
            </w:pPr>
            <w:r>
              <w:rPr>
                <w:caps/>
                <w:kern w:val="2"/>
                <w:sz w:val="21"/>
                <w:szCs w:val="21"/>
                <w:highlight w:val="none"/>
              </w:rPr>
              <w:t>自然环境</w:t>
            </w:r>
          </w:p>
        </w:tc>
        <w:tc>
          <w:tcPr>
            <w:tcW w:w="1463" w:type="dxa"/>
            <w:gridSpan w:val="2"/>
            <w:vAlign w:val="center"/>
          </w:tcPr>
          <w:p>
            <w:pPr>
              <w:spacing w:line="240" w:lineRule="auto"/>
              <w:ind w:firstLine="0" w:firstLineChars="0"/>
              <w:jc w:val="center"/>
              <w:rPr>
                <w:caps/>
                <w:kern w:val="2"/>
                <w:sz w:val="21"/>
                <w:szCs w:val="21"/>
                <w:highlight w:val="none"/>
              </w:rPr>
            </w:pPr>
            <w:r>
              <w:rPr>
                <w:caps/>
                <w:kern w:val="2"/>
                <w:sz w:val="21"/>
                <w:szCs w:val="21"/>
                <w:highlight w:val="none"/>
              </w:rPr>
              <w:t>生态环境</w:t>
            </w:r>
          </w:p>
        </w:tc>
        <w:tc>
          <w:tcPr>
            <w:tcW w:w="2331" w:type="dxa"/>
            <w:gridSpan w:val="3"/>
            <w:vAlign w:val="center"/>
          </w:tcPr>
          <w:p>
            <w:pPr>
              <w:spacing w:line="240" w:lineRule="auto"/>
              <w:ind w:firstLine="0" w:firstLineChars="0"/>
              <w:jc w:val="center"/>
              <w:rPr>
                <w:caps/>
                <w:kern w:val="2"/>
                <w:sz w:val="21"/>
                <w:szCs w:val="21"/>
                <w:highlight w:val="none"/>
              </w:rPr>
            </w:pPr>
            <w:r>
              <w:rPr>
                <w:caps/>
                <w:kern w:val="2"/>
                <w:sz w:val="21"/>
                <w:szCs w:val="21"/>
                <w:highlight w:val="none"/>
              </w:rPr>
              <w:t>社会环境</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5" w:type="dxa"/>
            <w:gridSpan w:val="2"/>
            <w:vMerge w:val="continue"/>
            <w:vAlign w:val="center"/>
          </w:tcPr>
          <w:p>
            <w:pPr>
              <w:spacing w:line="240" w:lineRule="auto"/>
              <w:ind w:firstLine="0" w:firstLineChars="0"/>
              <w:rPr>
                <w:caps/>
                <w:kern w:val="2"/>
                <w:sz w:val="21"/>
                <w:szCs w:val="21"/>
                <w:highlight w:val="none"/>
              </w:rPr>
            </w:pP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环境空气</w:t>
            </w:r>
          </w:p>
        </w:tc>
        <w:tc>
          <w:tcPr>
            <w:tcW w:w="707" w:type="dxa"/>
            <w:vAlign w:val="center"/>
          </w:tcPr>
          <w:p>
            <w:pPr>
              <w:spacing w:line="240" w:lineRule="auto"/>
              <w:ind w:firstLine="0" w:firstLineChars="0"/>
              <w:jc w:val="center"/>
              <w:rPr>
                <w:spacing w:val="-10"/>
                <w:kern w:val="2"/>
                <w:sz w:val="21"/>
                <w:szCs w:val="21"/>
                <w:highlight w:val="none"/>
              </w:rPr>
            </w:pPr>
            <w:r>
              <w:rPr>
                <w:spacing w:val="-10"/>
                <w:kern w:val="2"/>
                <w:sz w:val="21"/>
                <w:szCs w:val="21"/>
                <w:highlight w:val="none"/>
              </w:rPr>
              <w:t>地表水环境</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地下水环境</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声环境</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植被</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水土流失</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工业发展</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社会经济</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交通运输</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restart"/>
            <w:tcBorders>
              <w:right w:val="single" w:color="auto" w:sz="4" w:space="0"/>
            </w:tcBorders>
            <w:vAlign w:val="center"/>
          </w:tcPr>
          <w:p>
            <w:pPr>
              <w:spacing w:line="240" w:lineRule="auto"/>
              <w:ind w:firstLine="0" w:firstLineChars="0"/>
              <w:rPr>
                <w:caps/>
                <w:kern w:val="2"/>
                <w:sz w:val="21"/>
                <w:szCs w:val="21"/>
                <w:highlight w:val="none"/>
              </w:rPr>
            </w:pPr>
            <w:r>
              <w:rPr>
                <w:kern w:val="2"/>
                <w:sz w:val="21"/>
                <w:szCs w:val="21"/>
                <w:highlight w:val="none"/>
              </w:rPr>
              <w:t>施工期</w:t>
            </w:r>
          </w:p>
        </w:tc>
        <w:tc>
          <w:tcPr>
            <w:tcW w:w="1059" w:type="dxa"/>
            <w:tcBorders>
              <w:left w:val="single" w:color="auto" w:sz="4" w:space="0"/>
            </w:tcBorders>
            <w:vAlign w:val="center"/>
          </w:tcPr>
          <w:p>
            <w:pPr>
              <w:spacing w:line="240" w:lineRule="auto"/>
              <w:ind w:firstLine="0" w:firstLineChars="0"/>
              <w:rPr>
                <w:caps/>
                <w:kern w:val="2"/>
                <w:sz w:val="21"/>
                <w:szCs w:val="21"/>
                <w:highlight w:val="none"/>
              </w:rPr>
            </w:pPr>
            <w:r>
              <w:rPr>
                <w:kern w:val="2"/>
                <w:sz w:val="21"/>
                <w:szCs w:val="21"/>
                <w:highlight w:val="none"/>
              </w:rPr>
              <w:t>土方施工</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-2D</w:t>
            </w:r>
          </w:p>
        </w:tc>
        <w:tc>
          <w:tcPr>
            <w:tcW w:w="707" w:type="dxa"/>
            <w:vAlign w:val="center"/>
          </w:tcPr>
          <w:p>
            <w:pPr>
              <w:spacing w:line="240" w:lineRule="auto"/>
              <w:ind w:firstLine="0" w:firstLineChars="0"/>
              <w:jc w:val="center"/>
              <w:rPr>
                <w:spacing w:val="-10"/>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-2D</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continue"/>
            <w:tcBorders>
              <w:right w:val="single" w:color="auto" w:sz="4" w:space="0"/>
            </w:tcBorders>
            <w:vAlign w:val="center"/>
          </w:tcPr>
          <w:p>
            <w:pPr>
              <w:spacing w:line="240" w:lineRule="auto"/>
              <w:ind w:firstLine="0" w:firstLineChars="0"/>
              <w:rPr>
                <w:caps/>
                <w:kern w:val="2"/>
                <w:sz w:val="21"/>
                <w:szCs w:val="21"/>
                <w:highlight w:val="none"/>
              </w:rPr>
            </w:pPr>
          </w:p>
        </w:tc>
        <w:tc>
          <w:tcPr>
            <w:tcW w:w="1059" w:type="dxa"/>
            <w:tcBorders>
              <w:left w:val="single" w:color="auto" w:sz="4" w:space="0"/>
            </w:tcBorders>
            <w:vAlign w:val="center"/>
          </w:tcPr>
          <w:p>
            <w:pPr>
              <w:spacing w:line="240" w:lineRule="auto"/>
              <w:ind w:firstLine="0" w:firstLineChars="0"/>
              <w:rPr>
                <w:caps/>
                <w:kern w:val="2"/>
                <w:sz w:val="21"/>
                <w:szCs w:val="21"/>
                <w:highlight w:val="none"/>
              </w:rPr>
            </w:pPr>
            <w:r>
              <w:rPr>
                <w:kern w:val="2"/>
                <w:sz w:val="21"/>
                <w:szCs w:val="21"/>
                <w:highlight w:val="none"/>
              </w:rPr>
              <w:t>建筑施工</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07" w:type="dxa"/>
            <w:vAlign w:val="center"/>
          </w:tcPr>
          <w:p>
            <w:pPr>
              <w:spacing w:line="240" w:lineRule="auto"/>
              <w:ind w:firstLine="0" w:firstLineChars="0"/>
              <w:jc w:val="center"/>
              <w:rPr>
                <w:spacing w:val="-10"/>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-2D</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continue"/>
            <w:tcBorders>
              <w:right w:val="single" w:color="auto" w:sz="4" w:space="0"/>
            </w:tcBorders>
            <w:vAlign w:val="center"/>
          </w:tcPr>
          <w:p>
            <w:pPr>
              <w:spacing w:line="240" w:lineRule="auto"/>
              <w:ind w:firstLine="0" w:firstLineChars="0"/>
              <w:rPr>
                <w:caps/>
                <w:kern w:val="2"/>
                <w:sz w:val="21"/>
                <w:szCs w:val="21"/>
                <w:highlight w:val="none"/>
              </w:rPr>
            </w:pPr>
          </w:p>
        </w:tc>
        <w:tc>
          <w:tcPr>
            <w:tcW w:w="1059" w:type="dxa"/>
            <w:tcBorders>
              <w:left w:val="single" w:color="auto" w:sz="4" w:space="0"/>
            </w:tcBorders>
            <w:vAlign w:val="center"/>
          </w:tcPr>
          <w:p>
            <w:pPr>
              <w:spacing w:line="240" w:lineRule="auto"/>
              <w:ind w:firstLine="0" w:firstLineChars="0"/>
              <w:rPr>
                <w:caps/>
                <w:kern w:val="2"/>
                <w:sz w:val="21"/>
                <w:szCs w:val="21"/>
                <w:highlight w:val="none"/>
              </w:rPr>
            </w:pPr>
            <w:r>
              <w:rPr>
                <w:kern w:val="2"/>
                <w:sz w:val="21"/>
                <w:szCs w:val="21"/>
                <w:highlight w:val="none"/>
              </w:rPr>
              <w:t>设备安装</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07" w:type="dxa"/>
            <w:vAlign w:val="center"/>
          </w:tcPr>
          <w:p>
            <w:pPr>
              <w:spacing w:line="240" w:lineRule="auto"/>
              <w:ind w:firstLine="0" w:firstLineChars="0"/>
              <w:jc w:val="center"/>
              <w:rPr>
                <w:spacing w:val="-10"/>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restart"/>
            <w:tcBorders>
              <w:right w:val="single" w:color="auto" w:sz="4" w:space="0"/>
            </w:tcBorders>
            <w:vAlign w:val="center"/>
          </w:tcPr>
          <w:p>
            <w:pPr>
              <w:spacing w:line="240" w:lineRule="auto"/>
              <w:ind w:firstLine="0" w:firstLineChars="0"/>
              <w:jc w:val="center"/>
              <w:rPr>
                <w:kern w:val="2"/>
                <w:sz w:val="21"/>
                <w:szCs w:val="21"/>
                <w:highlight w:val="none"/>
              </w:rPr>
            </w:pPr>
            <w:r>
              <w:rPr>
                <w:kern w:val="2"/>
                <w:sz w:val="21"/>
                <w:szCs w:val="21"/>
                <w:highlight w:val="none"/>
              </w:rPr>
              <w:t>营运期</w:t>
            </w:r>
          </w:p>
        </w:tc>
        <w:tc>
          <w:tcPr>
            <w:tcW w:w="1059" w:type="dxa"/>
            <w:tcBorders>
              <w:left w:val="single" w:color="auto" w:sz="4" w:space="0"/>
            </w:tcBorders>
            <w:vAlign w:val="center"/>
          </w:tcPr>
          <w:p>
            <w:pPr>
              <w:spacing w:line="240" w:lineRule="auto"/>
              <w:ind w:firstLine="0" w:firstLineChars="0"/>
              <w:jc w:val="center"/>
              <w:rPr>
                <w:kern w:val="2"/>
                <w:sz w:val="21"/>
                <w:szCs w:val="21"/>
                <w:highlight w:val="none"/>
              </w:rPr>
            </w:pPr>
            <w:r>
              <w:rPr>
                <w:kern w:val="2"/>
                <w:sz w:val="21"/>
                <w:szCs w:val="21"/>
                <w:highlight w:val="none"/>
              </w:rPr>
              <w:t>生产</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-2C</w:t>
            </w:r>
          </w:p>
        </w:tc>
        <w:tc>
          <w:tcPr>
            <w:tcW w:w="707"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-2C</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continue"/>
            <w:tcBorders>
              <w:right w:val="single" w:color="auto" w:sz="4" w:space="0"/>
            </w:tcBorders>
            <w:vAlign w:val="center"/>
          </w:tcPr>
          <w:p>
            <w:pPr>
              <w:spacing w:line="240" w:lineRule="auto"/>
              <w:ind w:firstLine="0" w:firstLineChars="0"/>
              <w:rPr>
                <w:kern w:val="2"/>
                <w:sz w:val="21"/>
                <w:szCs w:val="21"/>
                <w:highlight w:val="none"/>
              </w:rPr>
            </w:pPr>
          </w:p>
        </w:tc>
        <w:tc>
          <w:tcPr>
            <w:tcW w:w="1059" w:type="dxa"/>
            <w:tcBorders>
              <w:left w:val="single" w:color="auto" w:sz="4" w:space="0"/>
            </w:tcBorders>
            <w:vAlign w:val="center"/>
          </w:tcPr>
          <w:p>
            <w:pPr>
              <w:spacing w:line="240" w:lineRule="auto"/>
              <w:ind w:firstLine="0" w:firstLineChars="0"/>
              <w:jc w:val="center"/>
              <w:rPr>
                <w:kern w:val="2"/>
                <w:sz w:val="21"/>
                <w:szCs w:val="21"/>
                <w:highlight w:val="none"/>
              </w:rPr>
            </w:pPr>
            <w:r>
              <w:rPr>
                <w:kern w:val="2"/>
                <w:sz w:val="21"/>
                <w:szCs w:val="21"/>
                <w:highlight w:val="none"/>
              </w:rPr>
              <w:t>运输</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707"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r>
    </w:tbl>
    <w:p>
      <w:pPr>
        <w:spacing w:line="240" w:lineRule="auto"/>
        <w:ind w:firstLine="0" w:firstLineChars="0"/>
        <w:rPr>
          <w:sz w:val="18"/>
          <w:szCs w:val="18"/>
          <w:highlight w:val="none"/>
        </w:rPr>
      </w:pPr>
      <w:r>
        <w:rPr>
          <w:sz w:val="18"/>
          <w:szCs w:val="18"/>
          <w:highlight w:val="none"/>
        </w:rPr>
        <w:t>备注：1、表中+表示正效益，-表示负效益；</w:t>
      </w:r>
    </w:p>
    <w:p>
      <w:pPr>
        <w:spacing w:line="240" w:lineRule="auto"/>
        <w:ind w:firstLine="540" w:firstLineChars="300"/>
        <w:rPr>
          <w:sz w:val="18"/>
          <w:szCs w:val="18"/>
          <w:highlight w:val="none"/>
        </w:rPr>
      </w:pPr>
      <w:r>
        <w:rPr>
          <w:sz w:val="18"/>
          <w:szCs w:val="18"/>
          <w:highlight w:val="none"/>
        </w:rPr>
        <w:t>2、表中数字表示影响的相对程度，1表示影响较小，2表示影响中等，3表示影响较大；</w:t>
      </w:r>
    </w:p>
    <w:p>
      <w:pPr>
        <w:spacing w:line="240" w:lineRule="auto"/>
        <w:ind w:firstLine="540" w:firstLineChars="300"/>
        <w:rPr>
          <w:b/>
          <w:bCs/>
          <w:sz w:val="24"/>
          <w:szCs w:val="24"/>
          <w:highlight w:val="none"/>
        </w:rPr>
      </w:pPr>
      <w:r>
        <w:rPr>
          <w:sz w:val="18"/>
          <w:szCs w:val="18"/>
          <w:highlight w:val="none"/>
        </w:rPr>
        <w:t>3、表中D表示短期影响，C表示长期影响。</w:t>
      </w:r>
    </w:p>
    <w:p>
      <w:pPr>
        <w:ind w:firstLine="480"/>
        <w:rPr>
          <w:sz w:val="24"/>
          <w:szCs w:val="24"/>
          <w:highlight w:val="none"/>
        </w:rPr>
      </w:pPr>
      <w:r>
        <w:rPr>
          <w:sz w:val="24"/>
          <w:szCs w:val="24"/>
          <w:highlight w:val="none"/>
        </w:rPr>
        <w:t>由表2.</w:t>
      </w:r>
      <w:r>
        <w:rPr>
          <w:rFonts w:hint="eastAsia"/>
          <w:sz w:val="24"/>
          <w:szCs w:val="24"/>
          <w:highlight w:val="none"/>
        </w:rPr>
        <w:t>3</w:t>
      </w:r>
      <w:r>
        <w:rPr>
          <w:sz w:val="24"/>
          <w:szCs w:val="24"/>
          <w:highlight w:val="none"/>
        </w:rPr>
        <w:t>-1分析可知，本项目的建设对环境的影响是多方面的，既存在短期、局部及可恢复的正、负影响，也存在长期的或正或负的影响。</w:t>
      </w:r>
      <w:r>
        <w:rPr>
          <w:rFonts w:hint="eastAsia"/>
          <w:sz w:val="24"/>
          <w:szCs w:val="24"/>
          <w:highlight w:val="none"/>
        </w:rPr>
        <w:t>施工期主要表现在对空气和声环境要素产生一定程度的负面影响；</w:t>
      </w:r>
      <w:r>
        <w:rPr>
          <w:sz w:val="24"/>
          <w:szCs w:val="24"/>
          <w:highlight w:val="none"/>
        </w:rPr>
        <w:t>营运期对环境的不利影响主要表现在环境空气、声环境及地下水等方面，而对当地的经济发展和劳动就业均会起到一定的积极作用，有利于当地工业发展水平的进一步提高。</w:t>
      </w:r>
    </w:p>
    <w:p>
      <w:pPr>
        <w:pStyle w:val="6"/>
        <w:numPr>
          <w:ilvl w:val="2"/>
          <w:numId w:val="1"/>
        </w:numPr>
        <w:spacing w:before="0" w:after="0"/>
        <w:ind w:left="567"/>
        <w:rPr>
          <w:szCs w:val="28"/>
          <w:highlight w:val="none"/>
        </w:rPr>
      </w:pPr>
      <w:bookmarkStart w:id="89" w:name="_Toc30406"/>
      <w:bookmarkStart w:id="90" w:name="_Toc521591676"/>
      <w:r>
        <w:rPr>
          <w:szCs w:val="28"/>
          <w:highlight w:val="none"/>
        </w:rPr>
        <w:t>评价因子筛选</w:t>
      </w:r>
      <w:bookmarkEnd w:id="89"/>
      <w:bookmarkEnd w:id="90"/>
    </w:p>
    <w:p>
      <w:pPr>
        <w:ind w:firstLine="480"/>
        <w:rPr>
          <w:rFonts w:eastAsia="黑体"/>
          <w:kern w:val="2"/>
          <w:sz w:val="21"/>
          <w:szCs w:val="21"/>
          <w:highlight w:val="none"/>
        </w:rPr>
      </w:pPr>
      <w:r>
        <w:rPr>
          <w:sz w:val="24"/>
          <w:szCs w:val="24"/>
          <w:highlight w:val="none"/>
        </w:rPr>
        <w:t>根据本项目特点和区域环境特征，结合周围区域环境，确定本项目的评价因子见表2.</w:t>
      </w:r>
      <w:r>
        <w:rPr>
          <w:rFonts w:hint="eastAsia"/>
          <w:sz w:val="24"/>
          <w:szCs w:val="24"/>
          <w:highlight w:val="none"/>
        </w:rPr>
        <w:t>3</w:t>
      </w:r>
      <w:r>
        <w:rPr>
          <w:sz w:val="24"/>
          <w:szCs w:val="24"/>
          <w:highlight w:val="none"/>
        </w:rPr>
        <w:t>-2。</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3</w:t>
      </w:r>
      <w:r>
        <w:rPr>
          <w:rFonts w:eastAsia="黑体"/>
          <w:kern w:val="2"/>
          <w:sz w:val="21"/>
          <w:szCs w:val="21"/>
          <w:highlight w:val="none"/>
        </w:rPr>
        <w:t>-2  本项目评价因子</w:t>
      </w:r>
    </w:p>
    <w:tbl>
      <w:tblPr>
        <w:tblStyle w:val="48"/>
        <w:tblW w:w="843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14"/>
        <w:gridCol w:w="1114"/>
        <w:gridCol w:w="1349"/>
        <w:gridCol w:w="48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Align w:val="center"/>
          </w:tcPr>
          <w:p>
            <w:pPr>
              <w:spacing w:line="240" w:lineRule="auto"/>
              <w:ind w:firstLine="0" w:firstLineChars="0"/>
              <w:jc w:val="center"/>
              <w:rPr>
                <w:snapToGrid w:val="0"/>
                <w:sz w:val="21"/>
                <w:szCs w:val="21"/>
                <w:highlight w:val="none"/>
              </w:rPr>
            </w:pPr>
            <w:r>
              <w:rPr>
                <w:snapToGrid w:val="0"/>
                <w:sz w:val="21"/>
                <w:szCs w:val="21"/>
                <w:highlight w:val="none"/>
              </w:rPr>
              <w:t>时段</w:t>
            </w:r>
          </w:p>
        </w:tc>
        <w:tc>
          <w:tcPr>
            <w:tcW w:w="1114" w:type="dxa"/>
            <w:vAlign w:val="center"/>
          </w:tcPr>
          <w:p>
            <w:pPr>
              <w:spacing w:line="240" w:lineRule="auto"/>
              <w:ind w:firstLine="0" w:firstLineChars="0"/>
              <w:jc w:val="center"/>
              <w:rPr>
                <w:snapToGrid w:val="0"/>
                <w:sz w:val="21"/>
                <w:szCs w:val="21"/>
                <w:highlight w:val="none"/>
              </w:rPr>
            </w:pPr>
            <w:r>
              <w:rPr>
                <w:snapToGrid w:val="0"/>
                <w:sz w:val="21"/>
                <w:szCs w:val="21"/>
                <w:highlight w:val="none"/>
              </w:rPr>
              <w:t>类别</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项目</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评价因子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restart"/>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施工期</w:t>
            </w:r>
          </w:p>
        </w:tc>
        <w:tc>
          <w:tcPr>
            <w:tcW w:w="1114" w:type="dxa"/>
            <w:vMerge w:val="restart"/>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大气环境</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污染源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napToGrid w:val="0"/>
              <w:spacing w:line="240" w:lineRule="auto"/>
              <w:ind w:firstLine="0" w:firstLineChars="0"/>
              <w:jc w:val="center"/>
              <w:rPr>
                <w:snapToGrid w:val="0"/>
                <w:sz w:val="21"/>
                <w:szCs w:val="21"/>
                <w:highlight w:val="none"/>
              </w:rPr>
            </w:pP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sz w:val="21"/>
                <w:szCs w:val="21"/>
                <w:highlight w:val="none"/>
              </w:rPr>
              <w:t>PM</w:t>
            </w:r>
            <w:r>
              <w:rPr>
                <w:sz w:val="21"/>
                <w:szCs w:val="21"/>
                <w:highlight w:val="none"/>
                <w:vertAlign w:val="subscript"/>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水环境</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污染源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SS、COD、氨氮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napToGrid w:val="0"/>
              <w:spacing w:line="240" w:lineRule="auto"/>
              <w:ind w:firstLine="0" w:firstLineChars="0"/>
              <w:jc w:val="center"/>
              <w:rPr>
                <w:snapToGrid w:val="0"/>
                <w:sz w:val="21"/>
                <w:szCs w:val="21"/>
                <w:highlight w:val="none"/>
              </w:rPr>
            </w:pP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SS、COD、氨氮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声环境</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污染源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A声级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napToGrid w:val="0"/>
              <w:spacing w:line="240" w:lineRule="auto"/>
              <w:ind w:firstLine="0" w:firstLineChars="0"/>
              <w:jc w:val="center"/>
              <w:rPr>
                <w:snapToGrid w:val="0"/>
                <w:sz w:val="21"/>
                <w:szCs w:val="21"/>
                <w:highlight w:val="none"/>
              </w:rPr>
            </w:pP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Leq（A）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固体废物</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建筑垃圾、生活垃圾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生态环境</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土壤、植被、水土流失</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运营期</w:t>
            </w: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大气环境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现状评价</w:t>
            </w:r>
          </w:p>
        </w:tc>
        <w:tc>
          <w:tcPr>
            <w:tcW w:w="4853" w:type="dxa"/>
            <w:vAlign w:val="center"/>
          </w:tcPr>
          <w:p>
            <w:pPr>
              <w:spacing w:line="240" w:lineRule="auto"/>
              <w:ind w:firstLine="0" w:firstLineChars="0"/>
              <w:jc w:val="center"/>
              <w:rPr>
                <w:snapToGrid w:val="0"/>
                <w:sz w:val="21"/>
                <w:szCs w:val="21"/>
                <w:highlight w:val="none"/>
              </w:rPr>
            </w:pPr>
            <w:r>
              <w:rPr>
                <w:sz w:val="21"/>
                <w:szCs w:val="21"/>
                <w:highlight w:val="none"/>
              </w:rPr>
              <w:t>TSP、PM</w:t>
            </w:r>
            <w:r>
              <w:rPr>
                <w:sz w:val="21"/>
                <w:szCs w:val="21"/>
                <w:highlight w:val="none"/>
                <w:vertAlign w:val="subscript"/>
              </w:rPr>
              <w:t>2.5</w:t>
            </w:r>
            <w:r>
              <w:rPr>
                <w:sz w:val="21"/>
                <w:szCs w:val="21"/>
                <w:highlight w:val="none"/>
              </w:rPr>
              <w:t>、PM</w:t>
            </w:r>
            <w:r>
              <w:rPr>
                <w:sz w:val="21"/>
                <w:szCs w:val="21"/>
                <w:highlight w:val="none"/>
                <w:vertAlign w:val="subscript"/>
              </w:rPr>
              <w:t>10</w:t>
            </w:r>
            <w:r>
              <w:rPr>
                <w:sz w:val="21"/>
                <w:szCs w:val="21"/>
                <w:highlight w:val="none"/>
              </w:rPr>
              <w:t>、SO</w:t>
            </w:r>
            <w:r>
              <w:rPr>
                <w:sz w:val="21"/>
                <w:szCs w:val="21"/>
                <w:highlight w:val="none"/>
                <w:vertAlign w:val="subscript"/>
              </w:rPr>
              <w:t>2</w:t>
            </w:r>
            <w:r>
              <w:rPr>
                <w:sz w:val="21"/>
                <w:szCs w:val="21"/>
                <w:highlight w:val="none"/>
              </w:rPr>
              <w:t>、NO</w:t>
            </w:r>
            <w:r>
              <w:rPr>
                <w:sz w:val="21"/>
                <w:szCs w:val="21"/>
                <w:highlight w:val="none"/>
                <w:vertAlign w:val="subscript"/>
              </w:rPr>
              <w:t>2</w:t>
            </w:r>
            <w:r>
              <w:rPr>
                <w:sz w:val="21"/>
                <w:szCs w:val="21"/>
                <w:highlight w:val="none"/>
              </w:rPr>
              <w:t>、CO、O</w:t>
            </w:r>
            <w:r>
              <w:rPr>
                <w:sz w:val="21"/>
                <w:szCs w:val="21"/>
                <w:highlight w:val="none"/>
                <w:vertAlign w:val="sub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污染源评价</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影响评价</w:t>
            </w:r>
          </w:p>
        </w:tc>
        <w:tc>
          <w:tcPr>
            <w:tcW w:w="4853" w:type="dxa"/>
            <w:vAlign w:val="center"/>
          </w:tcPr>
          <w:p>
            <w:pPr>
              <w:spacing w:line="240" w:lineRule="auto"/>
              <w:ind w:firstLine="0" w:firstLineChars="0"/>
              <w:jc w:val="center"/>
              <w:rPr>
                <w:snapToGrid w:val="0"/>
                <w:sz w:val="21"/>
                <w:szCs w:val="21"/>
                <w:highlight w:val="none"/>
              </w:rPr>
            </w:pPr>
            <w:r>
              <w:rPr>
                <w:sz w:val="21"/>
                <w:szCs w:val="21"/>
                <w:highlight w:val="none"/>
              </w:rPr>
              <w:t>PM</w:t>
            </w:r>
            <w:r>
              <w:rPr>
                <w:rFonts w:hint="eastAsia"/>
                <w:sz w:val="21"/>
                <w:szCs w:val="21"/>
                <w:highlight w:val="none"/>
                <w:vertAlign w:val="subscript"/>
              </w:rPr>
              <w:t>2.5</w:t>
            </w:r>
            <w:r>
              <w:rPr>
                <w:sz w:val="21"/>
                <w:szCs w:val="21"/>
                <w:highlight w:val="none"/>
              </w:rPr>
              <w:t>、PM</w:t>
            </w:r>
            <w:r>
              <w:rPr>
                <w:sz w:val="21"/>
                <w:szCs w:val="21"/>
                <w:highlight w:val="none"/>
                <w:vertAlign w:val="subscript"/>
              </w:rPr>
              <w:t>10</w:t>
            </w:r>
            <w:r>
              <w:rPr>
                <w:sz w:val="21"/>
                <w:szCs w:val="21"/>
                <w:highlight w:val="none"/>
              </w:rPr>
              <w:t>、TSP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pacing w:line="240" w:lineRule="auto"/>
              <w:ind w:firstLine="0" w:firstLineChars="0"/>
              <w:jc w:val="center"/>
              <w:rPr>
                <w:snapToGrid w:val="0"/>
                <w:sz w:val="21"/>
                <w:szCs w:val="21"/>
                <w:highlight w:val="none"/>
              </w:rPr>
            </w:pPr>
            <w:r>
              <w:rPr>
                <w:snapToGrid w:val="0"/>
                <w:sz w:val="21"/>
                <w:szCs w:val="21"/>
                <w:highlight w:val="none"/>
              </w:rPr>
              <w:t>地表水环境</w:t>
            </w:r>
          </w:p>
        </w:tc>
        <w:tc>
          <w:tcPr>
            <w:tcW w:w="1349" w:type="dxa"/>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lang w:val="en-US" w:eastAsia="zh-CN"/>
              </w:rPr>
              <w:t>影响分析</w:t>
            </w:r>
          </w:p>
        </w:tc>
        <w:tc>
          <w:tcPr>
            <w:tcW w:w="4853" w:type="dxa"/>
            <w:vAlign w:val="center"/>
          </w:tcPr>
          <w:p>
            <w:pPr>
              <w:spacing w:line="240" w:lineRule="auto"/>
              <w:ind w:firstLine="0" w:firstLineChars="0"/>
              <w:jc w:val="center"/>
              <w:rPr>
                <w:sz w:val="21"/>
                <w:szCs w:val="21"/>
                <w:highlight w:val="none"/>
              </w:rPr>
            </w:pPr>
            <w:r>
              <w:rPr>
                <w:rFonts w:hint="default" w:ascii="Times New Roman" w:hAnsi="Times New Roman" w:cs="Times New Roman"/>
                <w:sz w:val="21"/>
                <w:szCs w:val="21"/>
                <w:highlight w:val="none"/>
              </w:rPr>
              <w:t>COD、SS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地下水环境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现状评价</w:t>
            </w:r>
          </w:p>
        </w:tc>
        <w:tc>
          <w:tcPr>
            <w:tcW w:w="4853" w:type="dxa"/>
            <w:vAlign w:val="center"/>
          </w:tcPr>
          <w:p>
            <w:pPr>
              <w:spacing w:line="240" w:lineRule="auto"/>
              <w:ind w:firstLine="0" w:firstLineChars="0"/>
              <w:jc w:val="center"/>
              <w:rPr>
                <w:snapToGrid w:val="0"/>
                <w:sz w:val="21"/>
                <w:szCs w:val="21"/>
                <w:highlight w:val="none"/>
              </w:rPr>
            </w:pPr>
            <w:r>
              <w:rPr>
                <w:sz w:val="21"/>
                <w:szCs w:val="21"/>
                <w:highlight w:val="none"/>
              </w:rPr>
              <w:t>K</w:t>
            </w:r>
            <w:r>
              <w:rPr>
                <w:sz w:val="21"/>
                <w:szCs w:val="21"/>
                <w:highlight w:val="none"/>
                <w:vertAlign w:val="superscript"/>
              </w:rPr>
              <w:t>+</w:t>
            </w:r>
            <w:r>
              <w:rPr>
                <w:sz w:val="21"/>
                <w:szCs w:val="21"/>
                <w:highlight w:val="none"/>
              </w:rPr>
              <w:t>、Na</w:t>
            </w:r>
            <w:r>
              <w:rPr>
                <w:sz w:val="21"/>
                <w:szCs w:val="21"/>
                <w:highlight w:val="none"/>
                <w:vertAlign w:val="superscript"/>
              </w:rPr>
              <w:t>+</w:t>
            </w:r>
            <w:r>
              <w:rPr>
                <w:sz w:val="21"/>
                <w:szCs w:val="21"/>
                <w:highlight w:val="none"/>
              </w:rPr>
              <w:t>、Ca</w:t>
            </w:r>
            <w:r>
              <w:rPr>
                <w:sz w:val="21"/>
                <w:szCs w:val="21"/>
                <w:highlight w:val="none"/>
                <w:vertAlign w:val="superscript"/>
              </w:rPr>
              <w:t>2+</w:t>
            </w:r>
            <w:r>
              <w:rPr>
                <w:sz w:val="21"/>
                <w:szCs w:val="21"/>
                <w:highlight w:val="none"/>
              </w:rPr>
              <w:t>、Mg</w:t>
            </w:r>
            <w:r>
              <w:rPr>
                <w:sz w:val="21"/>
                <w:szCs w:val="21"/>
                <w:highlight w:val="none"/>
                <w:vertAlign w:val="superscript"/>
              </w:rPr>
              <w:t>2+</w:t>
            </w:r>
            <w:r>
              <w:rPr>
                <w:sz w:val="21"/>
                <w:szCs w:val="21"/>
                <w:highlight w:val="none"/>
              </w:rPr>
              <w:t>、CO</w:t>
            </w:r>
            <w:r>
              <w:rPr>
                <w:sz w:val="21"/>
                <w:szCs w:val="21"/>
                <w:highlight w:val="none"/>
                <w:vertAlign w:val="subscript"/>
              </w:rPr>
              <w:t>3</w:t>
            </w:r>
            <w:r>
              <w:rPr>
                <w:sz w:val="21"/>
                <w:szCs w:val="21"/>
                <w:highlight w:val="none"/>
                <w:vertAlign w:val="superscript"/>
              </w:rPr>
              <w:t>2-</w:t>
            </w:r>
            <w:r>
              <w:rPr>
                <w:sz w:val="21"/>
                <w:szCs w:val="21"/>
                <w:highlight w:val="none"/>
              </w:rPr>
              <w:t>、HCO</w:t>
            </w:r>
            <w:r>
              <w:rPr>
                <w:sz w:val="21"/>
                <w:szCs w:val="21"/>
                <w:highlight w:val="none"/>
                <w:vertAlign w:val="subscript"/>
              </w:rPr>
              <w:t>3</w:t>
            </w:r>
            <w:r>
              <w:rPr>
                <w:sz w:val="21"/>
                <w:szCs w:val="21"/>
                <w:highlight w:val="none"/>
                <w:vertAlign w:val="superscript"/>
              </w:rPr>
              <w:t>2-</w:t>
            </w:r>
            <w:r>
              <w:rPr>
                <w:sz w:val="21"/>
                <w:szCs w:val="21"/>
                <w:highlight w:val="none"/>
              </w:rPr>
              <w:t>、Cl</w:t>
            </w:r>
            <w:r>
              <w:rPr>
                <w:sz w:val="21"/>
                <w:szCs w:val="21"/>
                <w:highlight w:val="none"/>
                <w:vertAlign w:val="superscript"/>
              </w:rPr>
              <w:t>-</w:t>
            </w:r>
            <w:r>
              <w:rPr>
                <w:sz w:val="21"/>
                <w:szCs w:val="21"/>
                <w:highlight w:val="none"/>
              </w:rPr>
              <w:t>、SO</w:t>
            </w:r>
            <w:r>
              <w:rPr>
                <w:sz w:val="21"/>
                <w:szCs w:val="21"/>
                <w:highlight w:val="none"/>
                <w:vertAlign w:val="subscript"/>
              </w:rPr>
              <w:t>4</w:t>
            </w:r>
            <w:r>
              <w:rPr>
                <w:sz w:val="21"/>
                <w:szCs w:val="21"/>
                <w:highlight w:val="none"/>
                <w:vertAlign w:val="superscript"/>
              </w:rPr>
              <w:t>2-</w:t>
            </w:r>
            <w:r>
              <w:rPr>
                <w:sz w:val="21"/>
                <w:szCs w:val="21"/>
                <w:highlight w:val="none"/>
              </w:rPr>
              <w:t>、 pH、氨氮、硝酸盐、亚硝酸盐、挥发酚、氰化物、砷、汞、铬（六价）、总硬度、铅、氟化物、镉、铁、锰、铜、锌、石油类、硫化物、溶解性总固体、</w:t>
            </w:r>
            <w:r>
              <w:rPr>
                <w:rFonts w:hint="eastAsia"/>
                <w:sz w:val="21"/>
                <w:szCs w:val="21"/>
                <w:highlight w:val="none"/>
              </w:rPr>
              <w:t>耗氧量</w:t>
            </w:r>
            <w:r>
              <w:rPr>
                <w:sz w:val="21"/>
                <w:szCs w:val="21"/>
                <w:highlight w:val="none"/>
              </w:rPr>
              <w:t>、总大肠菌群、细菌总数。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Fe</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影响评价</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Fe</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声环境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现状评价</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等效连续A声级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A声级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rFonts w:hint="eastAsia" w:eastAsia="宋体"/>
                <w:snapToGrid w:val="0"/>
                <w:sz w:val="21"/>
                <w:szCs w:val="21"/>
                <w:highlight w:val="none"/>
                <w:lang w:eastAsia="zh-CN"/>
              </w:rPr>
            </w:pPr>
            <w:r>
              <w:rPr>
                <w:snapToGrid w:val="0"/>
                <w:sz w:val="21"/>
                <w:szCs w:val="21"/>
                <w:highlight w:val="none"/>
              </w:rPr>
              <w:t>影响</w:t>
            </w:r>
            <w:r>
              <w:rPr>
                <w:rFonts w:hint="eastAsia"/>
                <w:snapToGrid w:val="0"/>
                <w:sz w:val="21"/>
                <w:szCs w:val="21"/>
                <w:highlight w:val="none"/>
                <w:lang w:val="en-US" w:eastAsia="zh-CN"/>
              </w:rPr>
              <w:t>评价</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等效连续A声级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left="0" w:leftChars="0" w:firstLine="0" w:firstLineChars="0"/>
              <w:jc w:val="both"/>
              <w:rPr>
                <w:snapToGrid w:val="0"/>
                <w:sz w:val="21"/>
                <w:szCs w:val="21"/>
                <w:highlight w:val="none"/>
              </w:rPr>
            </w:pPr>
            <w:r>
              <w:rPr>
                <w:rFonts w:hint="default" w:ascii="Times New Roman" w:hAnsi="Times New Roman" w:cs="Times New Roman"/>
                <w:snapToGrid w:val="0"/>
                <w:sz w:val="21"/>
                <w:szCs w:val="21"/>
                <w:highlight w:val="none"/>
              </w:rPr>
              <w:t>土壤环境</w:t>
            </w:r>
          </w:p>
        </w:tc>
        <w:tc>
          <w:tcPr>
            <w:tcW w:w="1349" w:type="dxa"/>
            <w:vAlign w:val="center"/>
          </w:tcPr>
          <w:p>
            <w:pPr>
              <w:spacing w:line="240" w:lineRule="auto"/>
              <w:ind w:left="0" w:leftChars="0" w:firstLine="0" w:firstLineChars="0"/>
              <w:jc w:val="center"/>
              <w:rPr>
                <w:snapToGrid w:val="0"/>
                <w:sz w:val="21"/>
                <w:szCs w:val="21"/>
                <w:highlight w:val="none"/>
              </w:rPr>
            </w:pPr>
            <w:r>
              <w:rPr>
                <w:rFonts w:hint="default" w:ascii="Times New Roman" w:hAnsi="Times New Roman" w:cs="Times New Roman"/>
                <w:snapToGrid w:val="0"/>
                <w:sz w:val="21"/>
                <w:szCs w:val="21"/>
                <w:highlight w:val="none"/>
              </w:rPr>
              <w:t>现状评价</w:t>
            </w:r>
          </w:p>
        </w:tc>
        <w:tc>
          <w:tcPr>
            <w:tcW w:w="4853" w:type="dxa"/>
            <w:vAlign w:val="center"/>
          </w:tcPr>
          <w:p>
            <w:pPr>
              <w:spacing w:line="240" w:lineRule="auto"/>
              <w:ind w:firstLine="75" w:firstLineChars="36"/>
              <w:jc w:val="center"/>
              <w:rPr>
                <w:snapToGrid w:val="0"/>
                <w:sz w:val="21"/>
                <w:szCs w:val="21"/>
                <w:highlight w:val="none"/>
              </w:rPr>
            </w:pPr>
            <w:r>
              <w:rPr>
                <w:rFonts w:hint="default" w:ascii="Times New Roman" w:hAnsi="Times New Roman" w:cs="Times New Roman"/>
                <w:sz w:val="21"/>
                <w:szCs w:val="21"/>
                <w:highlight w:val="none"/>
              </w:rPr>
              <w:t>砷、镉、铬（六价）、铜、铅、汞、镍、四氯化碳、氯仿、氯甲烷、1,1-二氯乙烷、1,2-二氯乙烷、1,1-二氯乙烯、顺式-1,2-二氯乙烯、反式-1,2-二氯乙烯、二氯甲烷、1,2-二氯丙烷、1,1,1,2-四氯乙烷、1,1,2,2-四氯乙烷、四氯乙烯、1,1,1-三氯乙烷、1,1,2-三氯乙烷、三氯乙烯、1,2,3-三氯丙烷、氯乙烯、苯、氯苯、1,2-二氯苯、1,4-二氯苯、乙苯、苯乙烯、甲苯、间,对-二甲苯、邻-二甲苯、硝基苯、苯胺、2-氯酚、苯并[a]蒽、苯并[a]芘、苯并[b]荧蒽、苯并[k]荧蒽、䓛、二苯并[a，h]蒽、茚并[1,2,3-cd]芘、萘、pH、石油</w:t>
            </w:r>
            <w:r>
              <w:rPr>
                <w:rFonts w:hint="eastAsia" w:ascii="Times New Roman" w:hAnsi="Times New Roman" w:cs="Times New Roman"/>
                <w:sz w:val="21"/>
                <w:szCs w:val="21"/>
                <w:highlight w:val="none"/>
                <w:lang w:val="en-US" w:eastAsia="zh-CN"/>
              </w:rPr>
              <w:t>烃</w:t>
            </w:r>
            <w:r>
              <w:rPr>
                <w:rFonts w:hint="default" w:ascii="Times New Roman" w:hAnsi="Times New Roman" w:cs="Times New Roman"/>
                <w:sz w:val="21"/>
                <w:szCs w:val="21"/>
                <w:highlight w:val="none"/>
              </w:rPr>
              <w:t>、铁，共48项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420" w:firstLineChars="200"/>
              <w:jc w:val="center"/>
              <w:rPr>
                <w:snapToGrid w:val="0"/>
                <w:sz w:val="21"/>
                <w:szCs w:val="21"/>
                <w:highlight w:val="none"/>
              </w:rPr>
            </w:pPr>
          </w:p>
        </w:tc>
        <w:tc>
          <w:tcPr>
            <w:tcW w:w="1349" w:type="dxa"/>
            <w:vAlign w:val="center"/>
          </w:tcPr>
          <w:p>
            <w:pPr>
              <w:spacing w:line="240" w:lineRule="auto"/>
              <w:ind w:left="0" w:leftChars="0" w:firstLine="0" w:firstLineChars="0"/>
              <w:jc w:val="center"/>
              <w:rPr>
                <w:snapToGrid w:val="0"/>
                <w:sz w:val="21"/>
                <w:szCs w:val="21"/>
                <w:highlight w:val="none"/>
              </w:rPr>
            </w:pPr>
            <w:r>
              <w:rPr>
                <w:rFonts w:hint="default" w:ascii="Times New Roman" w:hAnsi="Times New Roman" w:cs="Times New Roman"/>
                <w:snapToGrid w:val="0"/>
                <w:sz w:val="21"/>
                <w:szCs w:val="21"/>
                <w:highlight w:val="none"/>
              </w:rPr>
              <w:t>影响评价</w:t>
            </w:r>
          </w:p>
        </w:tc>
        <w:tc>
          <w:tcPr>
            <w:tcW w:w="4853" w:type="dxa"/>
            <w:vAlign w:val="center"/>
          </w:tcPr>
          <w:p>
            <w:pPr>
              <w:spacing w:line="240" w:lineRule="auto"/>
              <w:ind w:firstLine="75" w:firstLineChars="36"/>
              <w:jc w:val="center"/>
              <w:rPr>
                <w:snapToGrid w:val="0"/>
                <w:sz w:val="21"/>
                <w:szCs w:val="21"/>
                <w:highlight w:val="none"/>
              </w:rPr>
            </w:pPr>
            <w:r>
              <w:rPr>
                <w:rFonts w:hint="default" w:ascii="Times New Roman" w:hAnsi="Times New Roman" w:cs="Times New Roman"/>
                <w:sz w:val="21"/>
                <w:szCs w:val="21"/>
                <w:highlight w:val="none"/>
              </w:rPr>
              <w:t>pH、石油</w:t>
            </w:r>
            <w:r>
              <w:rPr>
                <w:rFonts w:hint="eastAsia" w:ascii="Times New Roman" w:hAnsi="Times New Roman" w:cs="Times New Roman"/>
                <w:sz w:val="21"/>
                <w:szCs w:val="21"/>
                <w:highlight w:val="none"/>
                <w:lang w:val="en-US" w:eastAsia="zh-CN"/>
              </w:rPr>
              <w:t>烃</w:t>
            </w:r>
            <w:r>
              <w:rPr>
                <w:rFonts w:hint="default" w:ascii="Times New Roman" w:hAnsi="Times New Roman" w:cs="Times New Roman"/>
                <w:sz w:val="21"/>
                <w:szCs w:val="21"/>
                <w:highlight w:val="none"/>
              </w:rPr>
              <w:t>、</w:t>
            </w:r>
            <w:r>
              <w:rPr>
                <w:rFonts w:hint="default" w:ascii="Times New Roman" w:hAnsi="Times New Roman" w:cs="Times New Roman"/>
                <w:snapToGrid w:val="0"/>
                <w:sz w:val="21"/>
                <w:szCs w:val="21"/>
                <w:highlight w:val="none"/>
              </w:rPr>
              <w:t>Fe</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固体废物</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w:t>
            </w:r>
          </w:p>
        </w:tc>
        <w:tc>
          <w:tcPr>
            <w:tcW w:w="4853" w:type="dxa"/>
            <w:vMerge w:val="restart"/>
            <w:vAlign w:val="center"/>
          </w:tcPr>
          <w:p>
            <w:pPr>
              <w:spacing w:line="240" w:lineRule="auto"/>
              <w:ind w:firstLine="0" w:firstLineChars="0"/>
              <w:jc w:val="center"/>
              <w:rPr>
                <w:rFonts w:hint="default" w:eastAsia="宋体"/>
                <w:snapToGrid w:val="0"/>
                <w:sz w:val="21"/>
                <w:szCs w:val="21"/>
                <w:highlight w:val="none"/>
                <w:lang w:val="en-US" w:eastAsia="zh-CN"/>
              </w:rPr>
            </w:pPr>
            <w:r>
              <w:rPr>
                <w:rFonts w:hint="eastAsia"/>
                <w:snapToGrid w:val="0"/>
                <w:sz w:val="21"/>
                <w:szCs w:val="21"/>
                <w:highlight w:val="none"/>
              </w:rPr>
              <w:t>废矿物油</w:t>
            </w:r>
            <w:r>
              <w:rPr>
                <w:snapToGrid w:val="0"/>
                <w:sz w:val="21"/>
                <w:szCs w:val="21"/>
                <w:highlight w:val="none"/>
              </w:rPr>
              <w:t>、废油桶、</w:t>
            </w:r>
            <w:r>
              <w:rPr>
                <w:rFonts w:hint="eastAsia"/>
                <w:snapToGrid w:val="0"/>
                <w:sz w:val="21"/>
                <w:szCs w:val="21"/>
                <w:highlight w:val="none"/>
                <w:lang w:val="en-US" w:eastAsia="zh-CN"/>
              </w:rPr>
              <w:t>砂石料</w:t>
            </w:r>
            <w:r>
              <w:rPr>
                <w:rFonts w:hint="eastAsia"/>
                <w:snapToGrid w:val="0"/>
                <w:sz w:val="21"/>
                <w:szCs w:val="21"/>
                <w:highlight w:val="none"/>
              </w:rPr>
              <w:t>、除尘</w:t>
            </w:r>
            <w:r>
              <w:rPr>
                <w:rFonts w:hint="eastAsia"/>
                <w:snapToGrid w:val="0"/>
                <w:sz w:val="21"/>
                <w:szCs w:val="21"/>
                <w:highlight w:val="none"/>
                <w:lang w:val="en-US" w:eastAsia="zh-CN"/>
              </w:rPr>
              <w:t>灰、废钢球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影响分析</w:t>
            </w:r>
          </w:p>
        </w:tc>
        <w:tc>
          <w:tcPr>
            <w:tcW w:w="4853" w:type="dxa"/>
            <w:vMerge w:val="continue"/>
            <w:vAlign w:val="center"/>
          </w:tcPr>
          <w:p>
            <w:pPr>
              <w:spacing w:line="240" w:lineRule="auto"/>
              <w:ind w:firstLine="0" w:firstLineChars="0"/>
              <w:jc w:val="center"/>
              <w:rPr>
                <w:snapToGrid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pacing w:line="240" w:lineRule="auto"/>
              <w:ind w:firstLine="0" w:firstLineChars="0"/>
              <w:jc w:val="center"/>
              <w:rPr>
                <w:rFonts w:hint="default" w:eastAsia="宋体"/>
                <w:snapToGrid w:val="0"/>
                <w:sz w:val="21"/>
                <w:szCs w:val="21"/>
                <w:highlight w:val="none"/>
                <w:lang w:val="en-US" w:eastAsia="zh-CN"/>
              </w:rPr>
            </w:pPr>
            <w:r>
              <w:rPr>
                <w:rFonts w:hint="eastAsia"/>
                <w:snapToGrid w:val="0"/>
                <w:sz w:val="21"/>
                <w:szCs w:val="21"/>
                <w:highlight w:val="none"/>
                <w:lang w:val="en-US" w:eastAsia="zh-CN"/>
              </w:rPr>
              <w:t>环境风险</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影响分析</w:t>
            </w:r>
          </w:p>
        </w:tc>
        <w:tc>
          <w:tcPr>
            <w:tcW w:w="4853" w:type="dxa"/>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废矿物油</w:t>
            </w:r>
            <w:r>
              <w:rPr>
                <w:snapToGrid w:val="0"/>
                <w:sz w:val="21"/>
                <w:szCs w:val="21"/>
                <w:highlight w:val="none"/>
              </w:rPr>
              <w:t>、废油桶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生态环境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w:t>
            </w:r>
          </w:p>
        </w:tc>
        <w:tc>
          <w:tcPr>
            <w:tcW w:w="4853" w:type="dxa"/>
            <w:vMerge w:val="restart"/>
            <w:vAlign w:val="center"/>
          </w:tcPr>
          <w:p>
            <w:pPr>
              <w:spacing w:line="240" w:lineRule="auto"/>
              <w:ind w:firstLine="0" w:firstLineChars="0"/>
              <w:jc w:val="center"/>
              <w:rPr>
                <w:sz w:val="21"/>
                <w:szCs w:val="21"/>
                <w:highlight w:val="none"/>
              </w:rPr>
            </w:pPr>
            <w:r>
              <w:rPr>
                <w:sz w:val="21"/>
                <w:szCs w:val="21"/>
                <w:highlight w:val="none"/>
              </w:rPr>
              <w:t>土地利用、水土流失、植被</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影响分析</w:t>
            </w:r>
          </w:p>
        </w:tc>
        <w:tc>
          <w:tcPr>
            <w:tcW w:w="4853" w:type="dxa"/>
            <w:vMerge w:val="continue"/>
            <w:vAlign w:val="center"/>
          </w:tcPr>
          <w:p>
            <w:pPr>
              <w:spacing w:line="240" w:lineRule="auto"/>
              <w:ind w:firstLine="0" w:firstLineChars="0"/>
              <w:jc w:val="center"/>
              <w:rPr>
                <w:sz w:val="21"/>
                <w:szCs w:val="21"/>
                <w:highlight w:val="none"/>
              </w:rPr>
            </w:pPr>
          </w:p>
        </w:tc>
      </w:tr>
    </w:tbl>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91" w:name="_Toc536557282"/>
      <w:bookmarkStart w:id="92" w:name="_Toc30444"/>
      <w:bookmarkStart w:id="93" w:name="_Toc521591742"/>
      <w:bookmarkStart w:id="94" w:name="_Toc15469"/>
      <w:bookmarkStart w:id="95" w:name="_Toc503218097"/>
      <w:bookmarkStart w:id="96" w:name="_Toc15383"/>
      <w:bookmarkStart w:id="97" w:name="_Toc499651398"/>
      <w:bookmarkStart w:id="98" w:name="_Toc524284660"/>
      <w:r>
        <w:rPr>
          <w:rFonts w:ascii="Times New Roman" w:hAnsi="Times New Roman" w:eastAsia="宋体"/>
          <w:bCs w:val="0"/>
          <w:snapToGrid w:val="0"/>
          <w:kern w:val="0"/>
          <w:sz w:val="28"/>
          <w:szCs w:val="28"/>
          <w:highlight w:val="none"/>
        </w:rPr>
        <w:t>评价标准</w:t>
      </w:r>
      <w:bookmarkEnd w:id="91"/>
      <w:bookmarkEnd w:id="92"/>
      <w:bookmarkEnd w:id="93"/>
      <w:bookmarkEnd w:id="94"/>
      <w:bookmarkEnd w:id="95"/>
      <w:bookmarkEnd w:id="96"/>
      <w:bookmarkEnd w:id="97"/>
      <w:bookmarkEnd w:id="98"/>
    </w:p>
    <w:p>
      <w:pPr>
        <w:pStyle w:val="6"/>
        <w:numPr>
          <w:ilvl w:val="2"/>
          <w:numId w:val="1"/>
        </w:numPr>
        <w:spacing w:before="0" w:after="0"/>
        <w:ind w:left="567"/>
        <w:rPr>
          <w:szCs w:val="28"/>
          <w:highlight w:val="none"/>
        </w:rPr>
      </w:pPr>
      <w:bookmarkStart w:id="99" w:name="_Toc25876"/>
      <w:bookmarkStart w:id="100" w:name="_Toc521591743"/>
      <w:r>
        <w:rPr>
          <w:szCs w:val="28"/>
          <w:highlight w:val="none"/>
        </w:rPr>
        <w:t>环境质量标准</w:t>
      </w:r>
      <w:bookmarkEnd w:id="99"/>
      <w:bookmarkEnd w:id="100"/>
    </w:p>
    <w:p>
      <w:pPr>
        <w:pStyle w:val="152"/>
        <w:spacing w:before="0" w:after="0" w:line="360" w:lineRule="auto"/>
        <w:ind w:firstLine="480"/>
        <w:rPr>
          <w:highlight w:val="none"/>
        </w:rPr>
      </w:pPr>
      <w:r>
        <w:rPr>
          <w:highlight w:val="none"/>
        </w:rPr>
        <w:t>（1）环境空气质量标准</w:t>
      </w:r>
    </w:p>
    <w:p>
      <w:pPr>
        <w:pStyle w:val="152"/>
        <w:spacing w:before="0" w:after="0" w:line="360" w:lineRule="auto"/>
        <w:ind w:firstLine="480"/>
        <w:rPr>
          <w:highlight w:val="none"/>
        </w:rPr>
      </w:pPr>
      <w:r>
        <w:rPr>
          <w:highlight w:val="none"/>
        </w:rPr>
        <w:t>本项目所在区域环境空气质量功能区为二类区，环境空气执行《环境空气质量标准》（GB3095-2012）中二级标准。具体标准限值见表2.</w:t>
      </w:r>
      <w:r>
        <w:rPr>
          <w:rFonts w:hint="eastAsia"/>
          <w:highlight w:val="none"/>
        </w:rPr>
        <w:t>4</w:t>
      </w:r>
      <w:r>
        <w:rPr>
          <w:highlight w:val="none"/>
        </w:rPr>
        <w:t>-1。</w:t>
      </w:r>
    </w:p>
    <w:p>
      <w:pPr>
        <w:widowControl/>
        <w:spacing w:line="240" w:lineRule="auto"/>
        <w:ind w:firstLine="0" w:firstLineChars="0"/>
        <w:jc w:val="center"/>
        <w:textAlignment w:val="auto"/>
        <w:rPr>
          <w:rFonts w:eastAsia="黑体"/>
          <w:highlight w:val="none"/>
        </w:rPr>
      </w:pPr>
      <w:r>
        <w:rPr>
          <w:rFonts w:eastAsia="黑体"/>
          <w:sz w:val="21"/>
          <w:szCs w:val="21"/>
          <w:highlight w:val="none"/>
        </w:rPr>
        <w:t>表2.</w:t>
      </w:r>
      <w:r>
        <w:rPr>
          <w:rFonts w:hint="eastAsia" w:eastAsia="黑体"/>
          <w:sz w:val="21"/>
          <w:szCs w:val="21"/>
          <w:highlight w:val="none"/>
        </w:rPr>
        <w:t>4</w:t>
      </w:r>
      <w:r>
        <w:rPr>
          <w:rFonts w:eastAsia="黑体"/>
          <w:sz w:val="21"/>
          <w:szCs w:val="21"/>
          <w:highlight w:val="none"/>
        </w:rPr>
        <w:t>-1    环境空气质量标准</w:t>
      </w:r>
    </w:p>
    <w:tbl>
      <w:tblPr>
        <w:tblStyle w:val="48"/>
        <w:tblW w:w="8362" w:type="dxa"/>
        <w:jc w:val="center"/>
        <w:tblBorders>
          <w:top w:val="single" w:color="auto" w:sz="4" w:space="0"/>
          <w:left w:val="none" w:color="auto" w:sz="0" w:space="0"/>
          <w:bottom w:val="single" w:color="auto" w:sz="4" w:space="0"/>
          <w:right w:val="none" w:color="auto" w:sz="0" w:space="0"/>
          <w:insideH w:val="single" w:color="auto" w:sz="4" w:space="0"/>
          <w:insideV w:val="single" w:color="auto" w:sz="6" w:space="0"/>
        </w:tblBorders>
        <w:tblLayout w:type="fixed"/>
        <w:tblCellMar>
          <w:top w:w="0" w:type="dxa"/>
          <w:left w:w="28" w:type="dxa"/>
          <w:bottom w:w="0" w:type="dxa"/>
          <w:right w:w="28" w:type="dxa"/>
        </w:tblCellMar>
      </w:tblPr>
      <w:tblGrid>
        <w:gridCol w:w="2296"/>
        <w:gridCol w:w="1891"/>
        <w:gridCol w:w="1315"/>
        <w:gridCol w:w="806"/>
        <w:gridCol w:w="2054"/>
      </w:tblGrid>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污染物名称</w:t>
            </w:r>
          </w:p>
        </w:tc>
        <w:tc>
          <w:tcPr>
            <w:tcW w:w="3206" w:type="dxa"/>
            <w:gridSpan w:val="2"/>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标准值</w:t>
            </w:r>
          </w:p>
        </w:tc>
        <w:tc>
          <w:tcPr>
            <w:tcW w:w="806"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单位</w:t>
            </w:r>
          </w:p>
        </w:tc>
        <w:tc>
          <w:tcPr>
            <w:tcW w:w="2054"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SO</w:t>
            </w:r>
            <w:r>
              <w:rPr>
                <w:kern w:val="2"/>
                <w:sz w:val="21"/>
                <w:szCs w:val="21"/>
                <w:highlight w:val="none"/>
                <w:vertAlign w:val="subscript"/>
              </w:rPr>
              <w:t>2</w:t>
            </w: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24小时平均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150</w:t>
            </w:r>
          </w:p>
        </w:tc>
        <w:tc>
          <w:tcPr>
            <w:tcW w:w="806" w:type="dxa"/>
            <w:vMerge w:val="restart"/>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ug/m</w:t>
            </w:r>
            <w:r>
              <w:rPr>
                <w:kern w:val="2"/>
                <w:sz w:val="21"/>
                <w:szCs w:val="21"/>
                <w:highlight w:val="none"/>
                <w:vertAlign w:val="superscript"/>
              </w:rPr>
              <w:t>3</w:t>
            </w:r>
          </w:p>
        </w:tc>
        <w:tc>
          <w:tcPr>
            <w:tcW w:w="2054" w:type="dxa"/>
            <w:vMerge w:val="restart"/>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《环境空气质量标准》</w:t>
            </w:r>
          </w:p>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(GB3095-2012)二级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1小时平均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500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PM</w:t>
            </w:r>
            <w:r>
              <w:rPr>
                <w:kern w:val="2"/>
                <w:sz w:val="21"/>
                <w:szCs w:val="21"/>
                <w:highlight w:val="none"/>
                <w:vertAlign w:val="subscript"/>
              </w:rPr>
              <w:t>10</w:t>
            </w: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24小时平均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150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NO</w:t>
            </w:r>
            <w:r>
              <w:rPr>
                <w:kern w:val="2"/>
                <w:sz w:val="21"/>
                <w:szCs w:val="21"/>
                <w:highlight w:val="none"/>
                <w:vertAlign w:val="subscript"/>
              </w:rPr>
              <w:t>2</w:t>
            </w: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24小时平均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80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1小时平均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200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PM</w:t>
            </w:r>
            <w:r>
              <w:rPr>
                <w:spacing w:val="-10"/>
                <w:kern w:val="2"/>
                <w:sz w:val="21"/>
                <w:szCs w:val="21"/>
                <w:highlight w:val="none"/>
                <w:vertAlign w:val="subscript"/>
              </w:rPr>
              <w:t>2.5</w:t>
            </w: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24小时平均</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75</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O</w:t>
            </w:r>
            <w:r>
              <w:rPr>
                <w:spacing w:val="-10"/>
                <w:kern w:val="2"/>
                <w:sz w:val="21"/>
                <w:szCs w:val="21"/>
                <w:highlight w:val="none"/>
                <w:vertAlign w:val="subscript"/>
              </w:rPr>
              <w:t>3</w:t>
            </w: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日最大8小时平均</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160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小时平均</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200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ind w:firstLine="0" w:firstLineChars="0"/>
              <w:jc w:val="center"/>
              <w:rPr>
                <w:kern w:val="2"/>
                <w:sz w:val="21"/>
                <w:szCs w:val="21"/>
                <w:highlight w:val="none"/>
              </w:rPr>
            </w:pPr>
            <w:r>
              <w:rPr>
                <w:kern w:val="2"/>
                <w:sz w:val="21"/>
                <w:szCs w:val="21"/>
                <w:highlight w:val="none"/>
              </w:rPr>
              <w:t>TSP</w:t>
            </w:r>
          </w:p>
        </w:tc>
        <w:tc>
          <w:tcPr>
            <w:tcW w:w="1891" w:type="dxa"/>
            <w:vAlign w:val="center"/>
          </w:tcPr>
          <w:p>
            <w:pPr>
              <w:autoSpaceDE w:val="0"/>
              <w:autoSpaceDN w:val="0"/>
              <w:adjustRightInd w:val="0"/>
              <w:snapToGrid w:val="0"/>
              <w:spacing w:line="0" w:lineRule="atLeast"/>
              <w:ind w:firstLine="0" w:firstLineChars="0"/>
              <w:jc w:val="center"/>
              <w:rPr>
                <w:spacing w:val="-10"/>
                <w:kern w:val="2"/>
                <w:sz w:val="21"/>
                <w:szCs w:val="21"/>
                <w:highlight w:val="none"/>
              </w:rPr>
            </w:pPr>
            <w:r>
              <w:rPr>
                <w:spacing w:val="-10"/>
                <w:kern w:val="2"/>
                <w:sz w:val="21"/>
                <w:szCs w:val="21"/>
                <w:highlight w:val="none"/>
              </w:rPr>
              <w:t>年平均</w:t>
            </w:r>
          </w:p>
        </w:tc>
        <w:tc>
          <w:tcPr>
            <w:tcW w:w="1315" w:type="dxa"/>
            <w:vAlign w:val="center"/>
          </w:tcPr>
          <w:p>
            <w:pPr>
              <w:autoSpaceDE w:val="0"/>
              <w:autoSpaceDN w:val="0"/>
              <w:adjustRightInd w:val="0"/>
              <w:snapToGrid w:val="0"/>
              <w:spacing w:line="0" w:lineRule="atLeast"/>
              <w:ind w:firstLine="0" w:firstLineChars="0"/>
              <w:jc w:val="center"/>
              <w:rPr>
                <w:spacing w:val="-10"/>
                <w:kern w:val="2"/>
                <w:sz w:val="21"/>
                <w:szCs w:val="21"/>
                <w:highlight w:val="none"/>
              </w:rPr>
            </w:pPr>
            <w:r>
              <w:rPr>
                <w:spacing w:val="-10"/>
                <w:kern w:val="2"/>
                <w:sz w:val="21"/>
                <w:szCs w:val="21"/>
                <w:highlight w:val="none"/>
              </w:rPr>
              <w:t>200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utoSpaceDE w:val="0"/>
              <w:autoSpaceDN w:val="0"/>
              <w:adjustRightInd w:val="0"/>
              <w:snapToGrid w:val="0"/>
              <w:spacing w:line="0" w:lineRule="atLeast"/>
              <w:ind w:firstLine="0" w:firstLineChars="0"/>
              <w:jc w:val="center"/>
              <w:rPr>
                <w:spacing w:val="-10"/>
                <w:kern w:val="2"/>
                <w:sz w:val="21"/>
                <w:szCs w:val="21"/>
                <w:highlight w:val="none"/>
              </w:rPr>
            </w:pPr>
            <w:r>
              <w:rPr>
                <w:spacing w:val="-10"/>
                <w:kern w:val="2"/>
                <w:sz w:val="21"/>
                <w:szCs w:val="21"/>
                <w:highlight w:val="none"/>
              </w:rPr>
              <w:t>24小时平均</w:t>
            </w:r>
          </w:p>
        </w:tc>
        <w:tc>
          <w:tcPr>
            <w:tcW w:w="1315" w:type="dxa"/>
            <w:vAlign w:val="center"/>
          </w:tcPr>
          <w:p>
            <w:pPr>
              <w:autoSpaceDE w:val="0"/>
              <w:autoSpaceDN w:val="0"/>
              <w:adjustRightInd w:val="0"/>
              <w:snapToGrid w:val="0"/>
              <w:spacing w:line="0" w:lineRule="atLeast"/>
              <w:ind w:firstLine="0" w:firstLineChars="0"/>
              <w:jc w:val="center"/>
              <w:rPr>
                <w:spacing w:val="-10"/>
                <w:kern w:val="2"/>
                <w:sz w:val="21"/>
                <w:szCs w:val="21"/>
                <w:highlight w:val="none"/>
              </w:rPr>
            </w:pPr>
            <w:r>
              <w:rPr>
                <w:spacing w:val="-10"/>
                <w:kern w:val="2"/>
                <w:sz w:val="21"/>
                <w:szCs w:val="21"/>
                <w:highlight w:val="none"/>
              </w:rPr>
              <w:t>300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CO</w:t>
            </w: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24小时</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4</w:t>
            </w:r>
          </w:p>
        </w:tc>
        <w:tc>
          <w:tcPr>
            <w:tcW w:w="806" w:type="dxa"/>
            <w:vMerge w:val="restart"/>
            <w:vAlign w:val="center"/>
          </w:tcPr>
          <w:p>
            <w:pPr>
              <w:ind w:firstLine="0" w:firstLineChars="0"/>
              <w:jc w:val="center"/>
              <w:rPr>
                <w:kern w:val="2"/>
                <w:sz w:val="21"/>
                <w:szCs w:val="21"/>
                <w:highlight w:val="none"/>
              </w:rPr>
            </w:pPr>
            <w:r>
              <w:rPr>
                <w:spacing w:val="-10"/>
                <w:kern w:val="2"/>
                <w:sz w:val="21"/>
                <w:szCs w:val="21"/>
                <w:highlight w:val="none"/>
              </w:rPr>
              <w:t>mg/m</w:t>
            </w:r>
            <w:r>
              <w:rPr>
                <w:spacing w:val="-10"/>
                <w:kern w:val="2"/>
                <w:sz w:val="21"/>
                <w:szCs w:val="21"/>
                <w:highlight w:val="none"/>
                <w:vertAlign w:val="superscript"/>
              </w:rPr>
              <w:t>3</w:t>
            </w: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1小时平均</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10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bl>
    <w:p>
      <w:pPr>
        <w:pStyle w:val="152"/>
        <w:spacing w:before="0" w:after="0" w:line="360" w:lineRule="auto"/>
        <w:ind w:firstLine="480"/>
        <w:rPr>
          <w:highlight w:val="none"/>
        </w:rPr>
      </w:pPr>
      <w:r>
        <w:rPr>
          <w:highlight w:val="none"/>
        </w:rPr>
        <w:t>（2）地表水环境质量标准</w:t>
      </w:r>
    </w:p>
    <w:p>
      <w:pPr>
        <w:pStyle w:val="152"/>
        <w:spacing w:before="0" w:after="0" w:line="360" w:lineRule="auto"/>
        <w:ind w:firstLine="480"/>
        <w:rPr>
          <w:highlight w:val="none"/>
        </w:rPr>
      </w:pPr>
      <w:r>
        <w:rPr>
          <w:highlight w:val="none"/>
        </w:rPr>
        <w:t>根据《遵化市水环境功能区划》，黎河、沙河、淋河是遵化境内的三条主要河流，其主要水体功能为饮用水源，执行《地表水环境质量标准》（GB3838-2002）III类标准。距离本项目最近的地表水体为项目南侧约2700m魏进河，属沙河的一级支流，参照执行《地表水环境质量标准》（GB3838-2002）III类标准。具体标准限值见表2.</w:t>
      </w:r>
      <w:r>
        <w:rPr>
          <w:rFonts w:hint="eastAsia"/>
          <w:highlight w:val="none"/>
        </w:rPr>
        <w:t>4</w:t>
      </w:r>
      <w:r>
        <w:rPr>
          <w:highlight w:val="none"/>
        </w:rPr>
        <w:t>-2。</w:t>
      </w:r>
    </w:p>
    <w:p>
      <w:pPr>
        <w:adjustRightInd w:val="0"/>
        <w:spacing w:line="240" w:lineRule="auto"/>
        <w:ind w:firstLine="420"/>
        <w:jc w:val="center"/>
        <w:rPr>
          <w:rFonts w:eastAsia="黑体"/>
          <w:sz w:val="21"/>
          <w:szCs w:val="21"/>
          <w:highlight w:val="none"/>
        </w:rPr>
      </w:pPr>
      <w:r>
        <w:rPr>
          <w:rFonts w:eastAsia="黑体"/>
          <w:sz w:val="21"/>
          <w:szCs w:val="21"/>
          <w:highlight w:val="none"/>
        </w:rPr>
        <w:t>表2.</w:t>
      </w:r>
      <w:r>
        <w:rPr>
          <w:rFonts w:hint="eastAsia" w:eastAsia="黑体"/>
          <w:sz w:val="21"/>
          <w:szCs w:val="21"/>
          <w:highlight w:val="none"/>
        </w:rPr>
        <w:t>4</w:t>
      </w:r>
      <w:r>
        <w:rPr>
          <w:rFonts w:eastAsia="黑体"/>
          <w:sz w:val="21"/>
          <w:szCs w:val="21"/>
          <w:highlight w:val="none"/>
        </w:rPr>
        <w:t>-2    地表水环境质量标准</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1623"/>
        <w:gridCol w:w="1461"/>
        <w:gridCol w:w="1663"/>
        <w:gridCol w:w="1207"/>
        <w:gridCol w:w="8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restart"/>
            <w:vAlign w:val="center"/>
          </w:tcPr>
          <w:p>
            <w:pPr>
              <w:spacing w:line="240" w:lineRule="auto"/>
              <w:ind w:firstLine="149" w:firstLineChars="71"/>
              <w:jc w:val="center"/>
              <w:rPr>
                <w:sz w:val="21"/>
                <w:szCs w:val="21"/>
                <w:highlight w:val="none"/>
              </w:rPr>
            </w:pPr>
            <w:r>
              <w:rPr>
                <w:sz w:val="21"/>
                <w:szCs w:val="21"/>
                <w:highlight w:val="none"/>
              </w:rPr>
              <w:t>标准号</w:t>
            </w:r>
          </w:p>
        </w:tc>
        <w:tc>
          <w:tcPr>
            <w:tcW w:w="1623" w:type="dxa"/>
            <w:vMerge w:val="restart"/>
            <w:vAlign w:val="center"/>
          </w:tcPr>
          <w:p>
            <w:pPr>
              <w:spacing w:line="240" w:lineRule="auto"/>
              <w:ind w:firstLine="0" w:firstLineChars="0"/>
              <w:jc w:val="center"/>
              <w:rPr>
                <w:sz w:val="21"/>
                <w:szCs w:val="21"/>
                <w:highlight w:val="none"/>
              </w:rPr>
            </w:pPr>
            <w:r>
              <w:rPr>
                <w:sz w:val="21"/>
                <w:szCs w:val="21"/>
                <w:highlight w:val="none"/>
              </w:rPr>
              <w:t>标准名称</w:t>
            </w:r>
          </w:p>
        </w:tc>
        <w:tc>
          <w:tcPr>
            <w:tcW w:w="1461" w:type="dxa"/>
            <w:vMerge w:val="restart"/>
            <w:vAlign w:val="center"/>
          </w:tcPr>
          <w:p>
            <w:pPr>
              <w:spacing w:line="240" w:lineRule="auto"/>
              <w:ind w:firstLine="0" w:firstLineChars="0"/>
              <w:jc w:val="center"/>
              <w:rPr>
                <w:sz w:val="21"/>
                <w:szCs w:val="21"/>
                <w:highlight w:val="none"/>
              </w:rPr>
            </w:pPr>
            <w:r>
              <w:rPr>
                <w:sz w:val="21"/>
                <w:szCs w:val="21"/>
                <w:highlight w:val="none"/>
              </w:rPr>
              <w:t>标准级别</w:t>
            </w:r>
          </w:p>
        </w:tc>
        <w:tc>
          <w:tcPr>
            <w:tcW w:w="1663" w:type="dxa"/>
            <w:vMerge w:val="restart"/>
            <w:vAlign w:val="center"/>
          </w:tcPr>
          <w:p>
            <w:pPr>
              <w:spacing w:line="240" w:lineRule="auto"/>
              <w:ind w:firstLine="0" w:firstLineChars="0"/>
              <w:jc w:val="center"/>
              <w:rPr>
                <w:sz w:val="21"/>
                <w:szCs w:val="21"/>
                <w:highlight w:val="none"/>
              </w:rPr>
            </w:pPr>
            <w:r>
              <w:rPr>
                <w:sz w:val="21"/>
                <w:szCs w:val="21"/>
                <w:highlight w:val="none"/>
              </w:rPr>
              <w:t>评价因子</w:t>
            </w:r>
          </w:p>
        </w:tc>
        <w:tc>
          <w:tcPr>
            <w:tcW w:w="2068" w:type="dxa"/>
            <w:gridSpan w:val="2"/>
            <w:vAlign w:val="center"/>
          </w:tcPr>
          <w:p>
            <w:pPr>
              <w:spacing w:line="240" w:lineRule="auto"/>
              <w:ind w:firstLine="420"/>
              <w:jc w:val="center"/>
              <w:rPr>
                <w:sz w:val="21"/>
                <w:szCs w:val="21"/>
                <w:highlight w:val="none"/>
              </w:rPr>
            </w:pPr>
            <w:r>
              <w:rPr>
                <w:sz w:val="21"/>
                <w:szCs w:val="21"/>
                <w:highlight w:val="none"/>
              </w:rPr>
              <w:t>标准值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Merge w:val="continue"/>
            <w:vAlign w:val="center"/>
          </w:tcPr>
          <w:p>
            <w:pPr>
              <w:spacing w:line="240" w:lineRule="auto"/>
              <w:ind w:firstLine="420"/>
              <w:jc w:val="center"/>
              <w:rPr>
                <w:sz w:val="21"/>
                <w:szCs w:val="21"/>
                <w:highlight w:val="none"/>
              </w:rPr>
            </w:pPr>
          </w:p>
        </w:tc>
        <w:tc>
          <w:tcPr>
            <w:tcW w:w="1207" w:type="dxa"/>
            <w:vAlign w:val="center"/>
          </w:tcPr>
          <w:p>
            <w:pPr>
              <w:spacing w:line="240" w:lineRule="auto"/>
              <w:ind w:firstLine="0" w:firstLineChars="0"/>
              <w:jc w:val="center"/>
              <w:rPr>
                <w:sz w:val="21"/>
                <w:szCs w:val="21"/>
                <w:highlight w:val="none"/>
              </w:rPr>
            </w:pPr>
            <w:r>
              <w:rPr>
                <w:sz w:val="21"/>
                <w:szCs w:val="21"/>
                <w:highlight w:val="none"/>
              </w:rPr>
              <w:t>数值</w:t>
            </w:r>
          </w:p>
        </w:tc>
        <w:tc>
          <w:tcPr>
            <w:tcW w:w="861" w:type="dxa"/>
            <w:vAlign w:val="center"/>
          </w:tcPr>
          <w:p>
            <w:pPr>
              <w:spacing w:line="240" w:lineRule="auto"/>
              <w:ind w:firstLine="0" w:firstLineChars="0"/>
              <w:jc w:val="center"/>
              <w:rPr>
                <w:sz w:val="21"/>
                <w:szCs w:val="21"/>
                <w:highlight w:val="none"/>
              </w:rPr>
            </w:pPr>
            <w:r>
              <w:rPr>
                <w:sz w:val="21"/>
                <w:szCs w:val="21"/>
                <w:highlight w:val="none"/>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restart"/>
            <w:vAlign w:val="center"/>
          </w:tcPr>
          <w:p>
            <w:pPr>
              <w:spacing w:line="240" w:lineRule="auto"/>
              <w:ind w:firstLine="0" w:firstLineChars="0"/>
              <w:jc w:val="center"/>
              <w:rPr>
                <w:sz w:val="21"/>
                <w:szCs w:val="21"/>
                <w:highlight w:val="none"/>
              </w:rPr>
            </w:pPr>
            <w:r>
              <w:rPr>
                <w:sz w:val="21"/>
                <w:szCs w:val="21"/>
                <w:highlight w:val="none"/>
              </w:rPr>
              <w:t>GB3838-2002</w:t>
            </w:r>
          </w:p>
        </w:tc>
        <w:tc>
          <w:tcPr>
            <w:tcW w:w="1623" w:type="dxa"/>
            <w:vMerge w:val="restart"/>
            <w:vAlign w:val="center"/>
          </w:tcPr>
          <w:p>
            <w:pPr>
              <w:spacing w:line="240" w:lineRule="auto"/>
              <w:ind w:firstLine="0" w:firstLineChars="0"/>
              <w:jc w:val="center"/>
              <w:rPr>
                <w:sz w:val="21"/>
                <w:szCs w:val="21"/>
                <w:highlight w:val="none"/>
              </w:rPr>
            </w:pPr>
            <w:r>
              <w:rPr>
                <w:sz w:val="21"/>
                <w:szCs w:val="21"/>
                <w:highlight w:val="none"/>
              </w:rPr>
              <w:t>地表水环境质量标准</w:t>
            </w:r>
          </w:p>
        </w:tc>
        <w:tc>
          <w:tcPr>
            <w:tcW w:w="1461" w:type="dxa"/>
            <w:vMerge w:val="restart"/>
            <w:vAlign w:val="center"/>
          </w:tcPr>
          <w:p>
            <w:pPr>
              <w:spacing w:line="240" w:lineRule="auto"/>
              <w:ind w:firstLine="0" w:firstLineChars="0"/>
              <w:jc w:val="center"/>
              <w:rPr>
                <w:sz w:val="21"/>
                <w:szCs w:val="21"/>
                <w:highlight w:val="none"/>
              </w:rPr>
            </w:pPr>
            <w:r>
              <w:rPr>
                <w:sz w:val="21"/>
                <w:szCs w:val="21"/>
                <w:highlight w:val="none"/>
              </w:rPr>
              <w:t>Ⅲ类</w:t>
            </w:r>
          </w:p>
        </w:tc>
        <w:tc>
          <w:tcPr>
            <w:tcW w:w="1663" w:type="dxa"/>
            <w:vAlign w:val="center"/>
          </w:tcPr>
          <w:p>
            <w:pPr>
              <w:spacing w:line="240" w:lineRule="auto"/>
              <w:ind w:firstLine="0" w:firstLineChars="0"/>
              <w:jc w:val="center"/>
              <w:rPr>
                <w:sz w:val="21"/>
                <w:szCs w:val="21"/>
                <w:highlight w:val="none"/>
              </w:rPr>
            </w:pPr>
            <w:r>
              <w:rPr>
                <w:sz w:val="21"/>
                <w:szCs w:val="21"/>
                <w:highlight w:val="none"/>
              </w:rPr>
              <w:t>pH</w:t>
            </w:r>
          </w:p>
        </w:tc>
        <w:tc>
          <w:tcPr>
            <w:tcW w:w="1207" w:type="dxa"/>
            <w:vAlign w:val="center"/>
          </w:tcPr>
          <w:p>
            <w:pPr>
              <w:spacing w:line="240" w:lineRule="auto"/>
              <w:ind w:firstLine="0" w:firstLineChars="0"/>
              <w:jc w:val="center"/>
              <w:rPr>
                <w:sz w:val="21"/>
                <w:szCs w:val="21"/>
                <w:highlight w:val="none"/>
              </w:rPr>
            </w:pPr>
            <w:r>
              <w:rPr>
                <w:sz w:val="21"/>
                <w:szCs w:val="21"/>
                <w:highlight w:val="none"/>
              </w:rPr>
              <w:t>6-9</w:t>
            </w:r>
          </w:p>
        </w:tc>
        <w:tc>
          <w:tcPr>
            <w:tcW w:w="861"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0" w:firstLineChars="0"/>
              <w:jc w:val="center"/>
              <w:rPr>
                <w:sz w:val="21"/>
                <w:szCs w:val="21"/>
                <w:highlight w:val="none"/>
              </w:rPr>
            </w:pPr>
          </w:p>
        </w:tc>
        <w:tc>
          <w:tcPr>
            <w:tcW w:w="1623" w:type="dxa"/>
            <w:vMerge w:val="continue"/>
            <w:vAlign w:val="center"/>
          </w:tcPr>
          <w:p>
            <w:pPr>
              <w:spacing w:line="240" w:lineRule="auto"/>
              <w:ind w:firstLine="0" w:firstLineChars="0"/>
              <w:jc w:val="center"/>
              <w:rPr>
                <w:sz w:val="21"/>
                <w:szCs w:val="21"/>
                <w:highlight w:val="none"/>
              </w:rPr>
            </w:pPr>
          </w:p>
        </w:tc>
        <w:tc>
          <w:tcPr>
            <w:tcW w:w="1461" w:type="dxa"/>
            <w:vMerge w:val="continue"/>
            <w:vAlign w:val="center"/>
          </w:tcPr>
          <w:p>
            <w:pPr>
              <w:spacing w:line="240" w:lineRule="auto"/>
              <w:ind w:firstLine="0" w:firstLineChars="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溶解氧</w:t>
            </w:r>
          </w:p>
        </w:tc>
        <w:tc>
          <w:tcPr>
            <w:tcW w:w="1207" w:type="dxa"/>
            <w:vAlign w:val="center"/>
          </w:tcPr>
          <w:p>
            <w:pPr>
              <w:spacing w:line="240" w:lineRule="auto"/>
              <w:ind w:firstLine="0" w:firstLineChars="0"/>
              <w:jc w:val="center"/>
              <w:rPr>
                <w:sz w:val="21"/>
                <w:szCs w:val="21"/>
                <w:highlight w:val="none"/>
              </w:rPr>
            </w:pPr>
            <w:r>
              <w:rPr>
                <w:rFonts w:eastAsia="等线"/>
                <w:sz w:val="21"/>
                <w:szCs w:val="21"/>
                <w:highlight w:val="none"/>
              </w:rPr>
              <w:t>≥</w:t>
            </w:r>
            <w:r>
              <w:rPr>
                <w:sz w:val="21"/>
                <w:szCs w:val="21"/>
                <w:highlight w:val="none"/>
              </w:rPr>
              <w:t>5</w:t>
            </w:r>
          </w:p>
        </w:tc>
        <w:tc>
          <w:tcPr>
            <w:tcW w:w="861" w:type="dxa"/>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rFonts w:hint="eastAsia"/>
                <w:sz w:val="21"/>
                <w:szCs w:val="21"/>
                <w:highlight w:val="none"/>
              </w:rPr>
              <w:t>耗氧量</w:t>
            </w:r>
          </w:p>
        </w:tc>
        <w:tc>
          <w:tcPr>
            <w:tcW w:w="1207" w:type="dxa"/>
            <w:vAlign w:val="center"/>
          </w:tcPr>
          <w:p>
            <w:pPr>
              <w:spacing w:line="240" w:lineRule="auto"/>
              <w:ind w:firstLine="0" w:firstLineChars="0"/>
              <w:jc w:val="center"/>
              <w:rPr>
                <w:sz w:val="21"/>
                <w:szCs w:val="21"/>
                <w:highlight w:val="none"/>
              </w:rPr>
            </w:pPr>
            <w:r>
              <w:rPr>
                <w:sz w:val="21"/>
                <w:szCs w:val="21"/>
                <w:highlight w:val="none"/>
              </w:rPr>
              <w:t>≤20</w:t>
            </w:r>
          </w:p>
        </w:tc>
        <w:tc>
          <w:tcPr>
            <w:tcW w:w="861" w:type="dxa"/>
            <w:vMerge w:val="restart"/>
            <w:vAlign w:val="center"/>
          </w:tcPr>
          <w:p>
            <w:pPr>
              <w:spacing w:line="240" w:lineRule="auto"/>
              <w:ind w:firstLine="0" w:firstLineChars="0"/>
              <w:jc w:val="center"/>
              <w:rPr>
                <w:sz w:val="21"/>
                <w:szCs w:val="21"/>
                <w:highlight w:val="none"/>
              </w:rPr>
            </w:pPr>
            <w:r>
              <w:rPr>
                <w:sz w:val="21"/>
                <w:szCs w:val="21"/>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BOD</w:t>
            </w:r>
            <w:r>
              <w:rPr>
                <w:sz w:val="21"/>
                <w:szCs w:val="21"/>
                <w:highlight w:val="none"/>
                <w:vertAlign w:val="subscript"/>
              </w:rPr>
              <w:t>5</w:t>
            </w:r>
          </w:p>
        </w:tc>
        <w:tc>
          <w:tcPr>
            <w:tcW w:w="1207" w:type="dxa"/>
            <w:vAlign w:val="center"/>
          </w:tcPr>
          <w:p>
            <w:pPr>
              <w:spacing w:line="240" w:lineRule="auto"/>
              <w:ind w:firstLine="0" w:firstLineChars="0"/>
              <w:jc w:val="center"/>
              <w:rPr>
                <w:sz w:val="21"/>
                <w:szCs w:val="21"/>
                <w:highlight w:val="none"/>
              </w:rPr>
            </w:pPr>
            <w:r>
              <w:rPr>
                <w:sz w:val="21"/>
                <w:szCs w:val="21"/>
                <w:highlight w:val="none"/>
              </w:rPr>
              <w:t>≤4</w:t>
            </w:r>
          </w:p>
        </w:tc>
        <w:tc>
          <w:tcPr>
            <w:tcW w:w="86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氨氮</w:t>
            </w:r>
          </w:p>
        </w:tc>
        <w:tc>
          <w:tcPr>
            <w:tcW w:w="1207" w:type="dxa"/>
            <w:vAlign w:val="center"/>
          </w:tcPr>
          <w:p>
            <w:pPr>
              <w:spacing w:line="240" w:lineRule="auto"/>
              <w:ind w:firstLine="0" w:firstLineChars="0"/>
              <w:jc w:val="center"/>
              <w:rPr>
                <w:sz w:val="21"/>
                <w:szCs w:val="21"/>
                <w:highlight w:val="none"/>
              </w:rPr>
            </w:pPr>
            <w:r>
              <w:rPr>
                <w:sz w:val="21"/>
                <w:szCs w:val="21"/>
                <w:highlight w:val="none"/>
              </w:rPr>
              <w:t>≤1.0</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石油类</w:t>
            </w:r>
          </w:p>
        </w:tc>
        <w:tc>
          <w:tcPr>
            <w:tcW w:w="1207" w:type="dxa"/>
            <w:vAlign w:val="center"/>
          </w:tcPr>
          <w:p>
            <w:pPr>
              <w:spacing w:line="240" w:lineRule="auto"/>
              <w:ind w:firstLine="0" w:firstLineChars="0"/>
              <w:jc w:val="center"/>
              <w:rPr>
                <w:sz w:val="21"/>
                <w:szCs w:val="21"/>
                <w:highlight w:val="none"/>
              </w:rPr>
            </w:pPr>
            <w:r>
              <w:rPr>
                <w:sz w:val="21"/>
                <w:szCs w:val="21"/>
                <w:highlight w:val="none"/>
              </w:rPr>
              <w:t>≤0.05</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硫化物</w:t>
            </w:r>
          </w:p>
        </w:tc>
        <w:tc>
          <w:tcPr>
            <w:tcW w:w="1207" w:type="dxa"/>
            <w:vAlign w:val="center"/>
          </w:tcPr>
          <w:p>
            <w:pPr>
              <w:spacing w:line="240" w:lineRule="auto"/>
              <w:ind w:firstLine="0" w:firstLineChars="0"/>
              <w:jc w:val="center"/>
              <w:rPr>
                <w:sz w:val="21"/>
                <w:szCs w:val="21"/>
                <w:highlight w:val="none"/>
              </w:rPr>
            </w:pPr>
            <w:r>
              <w:rPr>
                <w:sz w:val="21"/>
                <w:szCs w:val="21"/>
                <w:highlight w:val="none"/>
              </w:rPr>
              <w:t>≤0.2</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锌</w:t>
            </w:r>
          </w:p>
        </w:tc>
        <w:tc>
          <w:tcPr>
            <w:tcW w:w="1207" w:type="dxa"/>
            <w:vAlign w:val="center"/>
          </w:tcPr>
          <w:p>
            <w:pPr>
              <w:spacing w:line="240" w:lineRule="auto"/>
              <w:ind w:firstLine="0" w:firstLineChars="0"/>
              <w:jc w:val="center"/>
              <w:rPr>
                <w:sz w:val="21"/>
                <w:szCs w:val="21"/>
                <w:highlight w:val="none"/>
              </w:rPr>
            </w:pPr>
            <w:r>
              <w:rPr>
                <w:sz w:val="21"/>
                <w:szCs w:val="21"/>
                <w:highlight w:val="none"/>
              </w:rPr>
              <w:t>≤1.0</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汞</w:t>
            </w:r>
          </w:p>
        </w:tc>
        <w:tc>
          <w:tcPr>
            <w:tcW w:w="1207" w:type="dxa"/>
            <w:vAlign w:val="center"/>
          </w:tcPr>
          <w:p>
            <w:pPr>
              <w:spacing w:line="240" w:lineRule="auto"/>
              <w:ind w:firstLine="0" w:firstLineChars="0"/>
              <w:jc w:val="center"/>
              <w:rPr>
                <w:sz w:val="21"/>
                <w:szCs w:val="21"/>
                <w:highlight w:val="none"/>
              </w:rPr>
            </w:pPr>
            <w:r>
              <w:rPr>
                <w:sz w:val="21"/>
                <w:szCs w:val="21"/>
                <w:highlight w:val="none"/>
              </w:rPr>
              <w:t>≤0.0001</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镉</w:t>
            </w:r>
          </w:p>
        </w:tc>
        <w:tc>
          <w:tcPr>
            <w:tcW w:w="1207" w:type="dxa"/>
            <w:vAlign w:val="center"/>
          </w:tcPr>
          <w:p>
            <w:pPr>
              <w:spacing w:line="240" w:lineRule="auto"/>
              <w:ind w:firstLine="0" w:firstLineChars="0"/>
              <w:jc w:val="center"/>
              <w:rPr>
                <w:sz w:val="21"/>
                <w:szCs w:val="21"/>
                <w:highlight w:val="none"/>
              </w:rPr>
            </w:pPr>
            <w:r>
              <w:rPr>
                <w:sz w:val="21"/>
                <w:szCs w:val="21"/>
                <w:highlight w:val="none"/>
              </w:rPr>
              <w:t>≤0.005</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六价铬</w:t>
            </w:r>
          </w:p>
        </w:tc>
        <w:tc>
          <w:tcPr>
            <w:tcW w:w="1207" w:type="dxa"/>
            <w:vAlign w:val="center"/>
          </w:tcPr>
          <w:p>
            <w:pPr>
              <w:spacing w:line="240" w:lineRule="auto"/>
              <w:ind w:firstLine="0" w:firstLineChars="0"/>
              <w:jc w:val="center"/>
              <w:rPr>
                <w:sz w:val="21"/>
                <w:szCs w:val="21"/>
                <w:highlight w:val="none"/>
              </w:rPr>
            </w:pPr>
            <w:r>
              <w:rPr>
                <w:sz w:val="21"/>
                <w:szCs w:val="21"/>
                <w:highlight w:val="none"/>
              </w:rPr>
              <w:t>≤0.05</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铅</w:t>
            </w:r>
          </w:p>
        </w:tc>
        <w:tc>
          <w:tcPr>
            <w:tcW w:w="1207" w:type="dxa"/>
            <w:vAlign w:val="center"/>
          </w:tcPr>
          <w:p>
            <w:pPr>
              <w:spacing w:line="240" w:lineRule="auto"/>
              <w:ind w:firstLine="0" w:firstLineChars="0"/>
              <w:jc w:val="center"/>
              <w:rPr>
                <w:sz w:val="21"/>
                <w:szCs w:val="21"/>
                <w:highlight w:val="none"/>
              </w:rPr>
            </w:pPr>
            <w:r>
              <w:rPr>
                <w:sz w:val="21"/>
                <w:szCs w:val="21"/>
                <w:highlight w:val="none"/>
              </w:rPr>
              <w:t>≤0.05</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铜</w:t>
            </w:r>
          </w:p>
        </w:tc>
        <w:tc>
          <w:tcPr>
            <w:tcW w:w="1207" w:type="dxa"/>
            <w:vAlign w:val="center"/>
          </w:tcPr>
          <w:p>
            <w:pPr>
              <w:spacing w:line="240" w:lineRule="auto"/>
              <w:ind w:firstLine="0" w:firstLineChars="0"/>
              <w:jc w:val="center"/>
              <w:rPr>
                <w:sz w:val="21"/>
                <w:szCs w:val="21"/>
                <w:highlight w:val="none"/>
              </w:rPr>
            </w:pPr>
            <w:r>
              <w:rPr>
                <w:sz w:val="21"/>
                <w:szCs w:val="21"/>
                <w:highlight w:val="none"/>
              </w:rPr>
              <w:t>≤1.0</w:t>
            </w:r>
          </w:p>
        </w:tc>
        <w:tc>
          <w:tcPr>
            <w:tcW w:w="861" w:type="dxa"/>
            <w:vMerge w:val="continue"/>
            <w:vAlign w:val="center"/>
          </w:tcPr>
          <w:p>
            <w:pPr>
              <w:spacing w:line="240" w:lineRule="auto"/>
              <w:ind w:firstLine="420"/>
              <w:jc w:val="center"/>
              <w:rPr>
                <w:sz w:val="21"/>
                <w:szCs w:val="21"/>
                <w:highlight w:val="none"/>
              </w:rPr>
            </w:pPr>
          </w:p>
        </w:tc>
      </w:tr>
    </w:tbl>
    <w:p>
      <w:pPr>
        <w:pStyle w:val="152"/>
        <w:spacing w:before="0" w:after="0" w:line="360" w:lineRule="auto"/>
        <w:ind w:firstLine="480"/>
        <w:rPr>
          <w:highlight w:val="none"/>
        </w:rPr>
      </w:pPr>
      <w:r>
        <w:rPr>
          <w:highlight w:val="none"/>
        </w:rPr>
        <w:t>（3）地下水环境质量标准</w:t>
      </w:r>
    </w:p>
    <w:p>
      <w:pPr>
        <w:ind w:firstLine="480"/>
        <w:jc w:val="both"/>
        <w:rPr>
          <w:sz w:val="24"/>
          <w:szCs w:val="24"/>
          <w:highlight w:val="none"/>
        </w:rPr>
      </w:pPr>
      <w:r>
        <w:rPr>
          <w:sz w:val="24"/>
          <w:szCs w:val="24"/>
          <w:highlight w:val="none"/>
        </w:rPr>
        <w:t>本项目所在区域地下水环境执行《地下水质量标准》（GB/T14848-2017）中Ⅲ类标准</w:t>
      </w:r>
      <w:r>
        <w:rPr>
          <w:rFonts w:hint="eastAsia"/>
          <w:sz w:val="24"/>
          <w:szCs w:val="24"/>
          <w:highlight w:val="none"/>
        </w:rPr>
        <w:t>，</w:t>
      </w:r>
      <w:bookmarkStart w:id="101" w:name="_Hlk532022356"/>
      <w:r>
        <w:rPr>
          <w:rFonts w:hint="eastAsia"/>
          <w:sz w:val="24"/>
          <w:szCs w:val="24"/>
          <w:highlight w:val="none"/>
        </w:rPr>
        <w:t>石油类参照《地表水环境质量标准》（GB3838-2002）III类标准</w:t>
      </w:r>
      <w:r>
        <w:rPr>
          <w:sz w:val="24"/>
          <w:szCs w:val="24"/>
          <w:highlight w:val="none"/>
        </w:rPr>
        <w:t>，具体标准值见表2.</w:t>
      </w:r>
      <w:r>
        <w:rPr>
          <w:rFonts w:hint="eastAsia"/>
          <w:sz w:val="24"/>
          <w:szCs w:val="24"/>
          <w:highlight w:val="none"/>
        </w:rPr>
        <w:t>4</w:t>
      </w:r>
      <w:r>
        <w:rPr>
          <w:sz w:val="24"/>
          <w:szCs w:val="24"/>
          <w:highlight w:val="none"/>
        </w:rPr>
        <w:t>-3</w:t>
      </w:r>
      <w:bookmarkEnd w:id="101"/>
      <w:r>
        <w:rPr>
          <w:sz w:val="24"/>
          <w:szCs w:val="24"/>
          <w:highlight w:val="none"/>
        </w:rPr>
        <w:t>。</w:t>
      </w:r>
    </w:p>
    <w:p>
      <w:pPr>
        <w:adjustRightInd w:val="0"/>
        <w:spacing w:line="240" w:lineRule="auto"/>
        <w:ind w:firstLine="420"/>
        <w:jc w:val="center"/>
        <w:rPr>
          <w:rFonts w:eastAsia="黑体"/>
          <w:sz w:val="21"/>
          <w:szCs w:val="21"/>
          <w:highlight w:val="none"/>
        </w:rPr>
      </w:pPr>
      <w:r>
        <w:rPr>
          <w:rFonts w:eastAsia="黑体"/>
          <w:sz w:val="21"/>
          <w:szCs w:val="21"/>
          <w:highlight w:val="none"/>
        </w:rPr>
        <w:t>表2.</w:t>
      </w:r>
      <w:r>
        <w:rPr>
          <w:rFonts w:hint="eastAsia" w:eastAsia="黑体"/>
          <w:sz w:val="21"/>
          <w:szCs w:val="21"/>
          <w:highlight w:val="none"/>
        </w:rPr>
        <w:t>4</w:t>
      </w:r>
      <w:r>
        <w:rPr>
          <w:rFonts w:eastAsia="黑体"/>
          <w:sz w:val="21"/>
          <w:szCs w:val="21"/>
          <w:highlight w:val="none"/>
        </w:rPr>
        <w:t>-3地下水质量标准</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1"/>
        <w:gridCol w:w="1007"/>
        <w:gridCol w:w="501"/>
        <w:gridCol w:w="1514"/>
        <w:gridCol w:w="811"/>
        <w:gridCol w:w="671"/>
        <w:gridCol w:w="1532"/>
        <w:gridCol w:w="804"/>
        <w:gridCol w:w="88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801" w:type="dxa"/>
            <w:vMerge w:val="restart"/>
            <w:vAlign w:val="center"/>
          </w:tcPr>
          <w:p>
            <w:pPr>
              <w:spacing w:line="240" w:lineRule="auto"/>
              <w:ind w:firstLine="0" w:firstLineChars="0"/>
              <w:jc w:val="center"/>
              <w:rPr>
                <w:sz w:val="21"/>
                <w:szCs w:val="21"/>
                <w:highlight w:val="none"/>
              </w:rPr>
            </w:pPr>
            <w:r>
              <w:rPr>
                <w:sz w:val="21"/>
                <w:szCs w:val="21"/>
                <w:highlight w:val="none"/>
              </w:rPr>
              <w:t>标准号</w:t>
            </w:r>
          </w:p>
        </w:tc>
        <w:tc>
          <w:tcPr>
            <w:tcW w:w="1007" w:type="dxa"/>
            <w:vMerge w:val="restart"/>
            <w:vAlign w:val="center"/>
          </w:tcPr>
          <w:p>
            <w:pPr>
              <w:spacing w:line="240" w:lineRule="auto"/>
              <w:ind w:firstLine="0" w:firstLineChars="0"/>
              <w:jc w:val="center"/>
              <w:rPr>
                <w:sz w:val="21"/>
                <w:szCs w:val="21"/>
                <w:highlight w:val="none"/>
              </w:rPr>
            </w:pPr>
            <w:r>
              <w:rPr>
                <w:sz w:val="21"/>
                <w:szCs w:val="21"/>
                <w:highlight w:val="none"/>
              </w:rPr>
              <w:t>标准名称</w:t>
            </w:r>
          </w:p>
        </w:tc>
        <w:tc>
          <w:tcPr>
            <w:tcW w:w="501" w:type="dxa"/>
            <w:vMerge w:val="restart"/>
            <w:vAlign w:val="center"/>
          </w:tcPr>
          <w:p>
            <w:pPr>
              <w:spacing w:line="240" w:lineRule="auto"/>
              <w:ind w:firstLine="0" w:firstLineChars="0"/>
              <w:jc w:val="center"/>
              <w:rPr>
                <w:sz w:val="21"/>
                <w:szCs w:val="21"/>
                <w:highlight w:val="none"/>
              </w:rPr>
            </w:pPr>
            <w:r>
              <w:rPr>
                <w:sz w:val="21"/>
                <w:szCs w:val="21"/>
                <w:highlight w:val="none"/>
              </w:rPr>
              <w:t>类别</w:t>
            </w:r>
          </w:p>
        </w:tc>
        <w:tc>
          <w:tcPr>
            <w:tcW w:w="1514" w:type="dxa"/>
            <w:vMerge w:val="restart"/>
            <w:vAlign w:val="center"/>
          </w:tcPr>
          <w:p>
            <w:pPr>
              <w:spacing w:line="240" w:lineRule="auto"/>
              <w:ind w:firstLine="0" w:firstLineChars="0"/>
              <w:jc w:val="center"/>
              <w:rPr>
                <w:sz w:val="21"/>
                <w:szCs w:val="21"/>
                <w:highlight w:val="none"/>
              </w:rPr>
            </w:pPr>
            <w:r>
              <w:rPr>
                <w:sz w:val="21"/>
                <w:szCs w:val="21"/>
                <w:highlight w:val="none"/>
              </w:rPr>
              <w:t>污染物</w:t>
            </w:r>
          </w:p>
        </w:tc>
        <w:tc>
          <w:tcPr>
            <w:tcW w:w="1482" w:type="dxa"/>
            <w:gridSpan w:val="2"/>
            <w:vAlign w:val="center"/>
          </w:tcPr>
          <w:p>
            <w:pPr>
              <w:spacing w:line="240" w:lineRule="auto"/>
              <w:ind w:firstLine="0" w:firstLineChars="0"/>
              <w:jc w:val="center"/>
              <w:rPr>
                <w:sz w:val="21"/>
                <w:szCs w:val="21"/>
                <w:highlight w:val="none"/>
              </w:rPr>
            </w:pPr>
            <w:r>
              <w:rPr>
                <w:sz w:val="21"/>
                <w:szCs w:val="21"/>
                <w:highlight w:val="none"/>
              </w:rPr>
              <w:t>标准值</w:t>
            </w:r>
          </w:p>
        </w:tc>
        <w:tc>
          <w:tcPr>
            <w:tcW w:w="1532" w:type="dxa"/>
            <w:vMerge w:val="restart"/>
            <w:vAlign w:val="center"/>
          </w:tcPr>
          <w:p>
            <w:pPr>
              <w:spacing w:line="240" w:lineRule="auto"/>
              <w:ind w:firstLine="0" w:firstLineChars="0"/>
              <w:jc w:val="center"/>
              <w:rPr>
                <w:sz w:val="21"/>
                <w:szCs w:val="21"/>
                <w:highlight w:val="none"/>
              </w:rPr>
            </w:pPr>
            <w:r>
              <w:rPr>
                <w:sz w:val="21"/>
                <w:szCs w:val="21"/>
                <w:highlight w:val="none"/>
              </w:rPr>
              <w:t>污染物</w:t>
            </w:r>
          </w:p>
        </w:tc>
        <w:tc>
          <w:tcPr>
            <w:tcW w:w="1685" w:type="dxa"/>
            <w:gridSpan w:val="2"/>
            <w:vAlign w:val="center"/>
          </w:tcPr>
          <w:p>
            <w:pPr>
              <w:spacing w:line="240" w:lineRule="auto"/>
              <w:ind w:firstLine="0" w:firstLineChars="0"/>
              <w:jc w:val="center"/>
              <w:rPr>
                <w:sz w:val="21"/>
                <w:szCs w:val="21"/>
                <w:highlight w:val="none"/>
              </w:rPr>
            </w:pPr>
            <w:r>
              <w:rPr>
                <w:sz w:val="21"/>
                <w:szCs w:val="21"/>
                <w:highlight w:val="none"/>
              </w:rPr>
              <w:t>标准值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Merge w:val="continue"/>
            <w:vAlign w:val="center"/>
          </w:tcPr>
          <w:p>
            <w:pPr>
              <w:spacing w:line="240" w:lineRule="auto"/>
              <w:ind w:firstLine="0" w:firstLineChars="0"/>
              <w:jc w:val="center"/>
              <w:rPr>
                <w:sz w:val="21"/>
                <w:szCs w:val="21"/>
                <w:highlight w:val="none"/>
              </w:rPr>
            </w:pPr>
          </w:p>
        </w:tc>
        <w:tc>
          <w:tcPr>
            <w:tcW w:w="811" w:type="dxa"/>
            <w:vAlign w:val="center"/>
          </w:tcPr>
          <w:p>
            <w:pPr>
              <w:spacing w:line="240" w:lineRule="auto"/>
              <w:ind w:firstLine="0" w:firstLineChars="0"/>
              <w:jc w:val="center"/>
              <w:rPr>
                <w:sz w:val="21"/>
                <w:szCs w:val="21"/>
                <w:highlight w:val="none"/>
              </w:rPr>
            </w:pPr>
            <w:r>
              <w:rPr>
                <w:sz w:val="21"/>
                <w:szCs w:val="21"/>
                <w:highlight w:val="none"/>
              </w:rPr>
              <w:t>数值</w:t>
            </w:r>
          </w:p>
        </w:tc>
        <w:tc>
          <w:tcPr>
            <w:tcW w:w="671" w:type="dxa"/>
            <w:vAlign w:val="center"/>
          </w:tcPr>
          <w:p>
            <w:pPr>
              <w:spacing w:line="240" w:lineRule="auto"/>
              <w:ind w:firstLine="0" w:firstLineChars="0"/>
              <w:jc w:val="center"/>
              <w:rPr>
                <w:sz w:val="21"/>
                <w:szCs w:val="21"/>
                <w:highlight w:val="none"/>
              </w:rPr>
            </w:pPr>
            <w:r>
              <w:rPr>
                <w:sz w:val="21"/>
                <w:szCs w:val="21"/>
                <w:highlight w:val="none"/>
              </w:rPr>
              <w:t>单位</w:t>
            </w:r>
          </w:p>
        </w:tc>
        <w:tc>
          <w:tcPr>
            <w:tcW w:w="1532" w:type="dxa"/>
            <w:vMerge w:val="continue"/>
            <w:vAlign w:val="center"/>
          </w:tcPr>
          <w:p>
            <w:pPr>
              <w:spacing w:line="240" w:lineRule="auto"/>
              <w:ind w:firstLine="0" w:firstLineChars="0"/>
              <w:jc w:val="center"/>
              <w:rPr>
                <w:sz w:val="21"/>
                <w:szCs w:val="21"/>
                <w:highlight w:val="none"/>
              </w:rPr>
            </w:pPr>
          </w:p>
        </w:tc>
        <w:tc>
          <w:tcPr>
            <w:tcW w:w="804" w:type="dxa"/>
            <w:vAlign w:val="center"/>
          </w:tcPr>
          <w:p>
            <w:pPr>
              <w:spacing w:line="240" w:lineRule="auto"/>
              <w:ind w:firstLine="0" w:firstLineChars="0"/>
              <w:jc w:val="center"/>
              <w:rPr>
                <w:sz w:val="21"/>
                <w:szCs w:val="21"/>
                <w:highlight w:val="none"/>
              </w:rPr>
            </w:pPr>
            <w:r>
              <w:rPr>
                <w:sz w:val="21"/>
                <w:szCs w:val="21"/>
                <w:highlight w:val="none"/>
              </w:rPr>
              <w:t>数值</w:t>
            </w:r>
          </w:p>
        </w:tc>
        <w:tc>
          <w:tcPr>
            <w:tcW w:w="881" w:type="dxa"/>
            <w:vAlign w:val="center"/>
          </w:tcPr>
          <w:p>
            <w:pPr>
              <w:spacing w:line="240" w:lineRule="auto"/>
              <w:ind w:firstLine="0" w:firstLineChars="0"/>
              <w:jc w:val="center"/>
              <w:rPr>
                <w:sz w:val="21"/>
                <w:szCs w:val="21"/>
                <w:highlight w:val="none"/>
              </w:rPr>
            </w:pPr>
            <w:r>
              <w:rPr>
                <w:sz w:val="21"/>
                <w:szCs w:val="21"/>
                <w:highlight w:val="none"/>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801" w:type="dxa"/>
            <w:vMerge w:val="restart"/>
            <w:vAlign w:val="center"/>
          </w:tcPr>
          <w:p>
            <w:pPr>
              <w:spacing w:line="240" w:lineRule="auto"/>
              <w:ind w:firstLine="0" w:firstLineChars="0"/>
              <w:jc w:val="center"/>
              <w:rPr>
                <w:sz w:val="21"/>
                <w:szCs w:val="21"/>
                <w:highlight w:val="none"/>
              </w:rPr>
            </w:pPr>
            <w:r>
              <w:rPr>
                <w:sz w:val="21"/>
                <w:szCs w:val="21"/>
                <w:highlight w:val="none"/>
              </w:rPr>
              <w:t>GB/T</w:t>
            </w:r>
          </w:p>
          <w:p>
            <w:pPr>
              <w:spacing w:line="240" w:lineRule="auto"/>
              <w:ind w:firstLine="0" w:firstLineChars="0"/>
              <w:jc w:val="center"/>
              <w:rPr>
                <w:sz w:val="21"/>
                <w:szCs w:val="21"/>
                <w:highlight w:val="none"/>
              </w:rPr>
            </w:pPr>
            <w:r>
              <w:rPr>
                <w:sz w:val="21"/>
                <w:szCs w:val="21"/>
                <w:highlight w:val="none"/>
              </w:rPr>
              <w:t>14848</w:t>
            </w:r>
          </w:p>
          <w:p>
            <w:pPr>
              <w:spacing w:line="240" w:lineRule="auto"/>
              <w:ind w:firstLine="0" w:firstLineChars="0"/>
              <w:jc w:val="center"/>
              <w:rPr>
                <w:sz w:val="21"/>
                <w:szCs w:val="21"/>
                <w:highlight w:val="none"/>
              </w:rPr>
            </w:pPr>
            <w:r>
              <w:rPr>
                <w:sz w:val="21"/>
                <w:szCs w:val="21"/>
                <w:highlight w:val="none"/>
              </w:rPr>
              <w:t>-2017</w:t>
            </w:r>
          </w:p>
        </w:tc>
        <w:tc>
          <w:tcPr>
            <w:tcW w:w="1007" w:type="dxa"/>
            <w:vMerge w:val="restart"/>
            <w:vAlign w:val="center"/>
          </w:tcPr>
          <w:p>
            <w:pPr>
              <w:spacing w:line="240" w:lineRule="auto"/>
              <w:ind w:firstLine="0" w:firstLineChars="0"/>
              <w:jc w:val="center"/>
              <w:rPr>
                <w:sz w:val="21"/>
                <w:szCs w:val="21"/>
                <w:highlight w:val="none"/>
              </w:rPr>
            </w:pPr>
            <w:r>
              <w:rPr>
                <w:sz w:val="21"/>
                <w:szCs w:val="21"/>
                <w:highlight w:val="none"/>
              </w:rPr>
              <w:t>地下</w:t>
            </w:r>
          </w:p>
          <w:p>
            <w:pPr>
              <w:spacing w:line="240" w:lineRule="auto"/>
              <w:ind w:firstLine="0" w:firstLineChars="0"/>
              <w:jc w:val="center"/>
              <w:rPr>
                <w:sz w:val="21"/>
                <w:szCs w:val="21"/>
                <w:highlight w:val="none"/>
              </w:rPr>
            </w:pPr>
            <w:r>
              <w:rPr>
                <w:sz w:val="21"/>
                <w:szCs w:val="21"/>
                <w:highlight w:val="none"/>
              </w:rPr>
              <w:t>水</w:t>
            </w:r>
          </w:p>
          <w:p>
            <w:pPr>
              <w:spacing w:line="240" w:lineRule="auto"/>
              <w:ind w:firstLine="0" w:firstLineChars="0"/>
              <w:jc w:val="center"/>
              <w:rPr>
                <w:sz w:val="21"/>
                <w:szCs w:val="21"/>
                <w:highlight w:val="none"/>
              </w:rPr>
            </w:pPr>
            <w:r>
              <w:rPr>
                <w:sz w:val="21"/>
                <w:szCs w:val="21"/>
                <w:highlight w:val="none"/>
              </w:rPr>
              <w:t>质量</w:t>
            </w:r>
          </w:p>
          <w:p>
            <w:pPr>
              <w:spacing w:line="240" w:lineRule="auto"/>
              <w:ind w:firstLine="0" w:firstLineChars="0"/>
              <w:jc w:val="center"/>
              <w:rPr>
                <w:sz w:val="21"/>
                <w:szCs w:val="21"/>
                <w:highlight w:val="none"/>
              </w:rPr>
            </w:pPr>
            <w:r>
              <w:rPr>
                <w:sz w:val="21"/>
                <w:szCs w:val="21"/>
                <w:highlight w:val="none"/>
              </w:rPr>
              <w:t>标准</w:t>
            </w:r>
          </w:p>
        </w:tc>
        <w:tc>
          <w:tcPr>
            <w:tcW w:w="501" w:type="dxa"/>
            <w:vMerge w:val="restart"/>
            <w:vAlign w:val="center"/>
          </w:tcPr>
          <w:p>
            <w:pPr>
              <w:spacing w:line="240" w:lineRule="auto"/>
              <w:ind w:firstLine="0" w:firstLineChars="0"/>
              <w:jc w:val="center"/>
              <w:rPr>
                <w:sz w:val="21"/>
                <w:szCs w:val="21"/>
                <w:highlight w:val="none"/>
              </w:rPr>
            </w:pPr>
            <w:r>
              <w:rPr>
                <w:sz w:val="21"/>
                <w:szCs w:val="21"/>
                <w:highlight w:val="none"/>
              </w:rPr>
              <w:t>Ⅲ类</w:t>
            </w:r>
          </w:p>
        </w:tc>
        <w:tc>
          <w:tcPr>
            <w:tcW w:w="1514" w:type="dxa"/>
            <w:vAlign w:val="center"/>
          </w:tcPr>
          <w:p>
            <w:pPr>
              <w:spacing w:line="240" w:lineRule="auto"/>
              <w:ind w:firstLine="0" w:firstLineChars="0"/>
              <w:jc w:val="center"/>
              <w:rPr>
                <w:sz w:val="21"/>
                <w:szCs w:val="21"/>
                <w:highlight w:val="none"/>
              </w:rPr>
            </w:pPr>
            <w:r>
              <w:rPr>
                <w:sz w:val="21"/>
                <w:szCs w:val="21"/>
                <w:highlight w:val="none"/>
              </w:rPr>
              <w:t>pH</w:t>
            </w:r>
          </w:p>
        </w:tc>
        <w:tc>
          <w:tcPr>
            <w:tcW w:w="811" w:type="dxa"/>
            <w:vAlign w:val="center"/>
          </w:tcPr>
          <w:p>
            <w:pPr>
              <w:spacing w:line="240" w:lineRule="auto"/>
              <w:ind w:firstLine="0" w:firstLineChars="0"/>
              <w:jc w:val="center"/>
              <w:rPr>
                <w:sz w:val="21"/>
                <w:szCs w:val="21"/>
                <w:highlight w:val="none"/>
              </w:rPr>
            </w:pPr>
            <w:r>
              <w:rPr>
                <w:sz w:val="21"/>
                <w:szCs w:val="21"/>
                <w:highlight w:val="none"/>
              </w:rPr>
              <w:t>6.5-8.5</w:t>
            </w:r>
          </w:p>
        </w:tc>
        <w:tc>
          <w:tcPr>
            <w:tcW w:w="671" w:type="dxa"/>
            <w:vAlign w:val="center"/>
          </w:tcPr>
          <w:p>
            <w:pPr>
              <w:spacing w:line="240" w:lineRule="auto"/>
              <w:ind w:firstLine="0" w:firstLineChars="0"/>
              <w:jc w:val="center"/>
              <w:rPr>
                <w:sz w:val="21"/>
                <w:szCs w:val="21"/>
                <w:highlight w:val="none"/>
              </w:rPr>
            </w:pPr>
            <w:r>
              <w:rPr>
                <w:sz w:val="21"/>
                <w:szCs w:val="21"/>
                <w:highlight w:val="none"/>
              </w:rPr>
              <w:t>/</w:t>
            </w:r>
          </w:p>
        </w:tc>
        <w:tc>
          <w:tcPr>
            <w:tcW w:w="1532" w:type="dxa"/>
            <w:vAlign w:val="center"/>
          </w:tcPr>
          <w:p>
            <w:pPr>
              <w:spacing w:line="240" w:lineRule="auto"/>
              <w:ind w:firstLine="0" w:firstLineChars="0"/>
              <w:jc w:val="center"/>
              <w:rPr>
                <w:sz w:val="21"/>
                <w:szCs w:val="21"/>
                <w:highlight w:val="none"/>
              </w:rPr>
            </w:pPr>
            <w:r>
              <w:rPr>
                <w:sz w:val="21"/>
                <w:szCs w:val="21"/>
                <w:highlight w:val="none"/>
              </w:rPr>
              <w:t>硫化物</w:t>
            </w:r>
          </w:p>
        </w:tc>
        <w:tc>
          <w:tcPr>
            <w:tcW w:w="804" w:type="dxa"/>
            <w:vAlign w:val="center"/>
          </w:tcPr>
          <w:p>
            <w:pPr>
              <w:spacing w:line="240" w:lineRule="auto"/>
              <w:ind w:firstLine="0" w:firstLineChars="0"/>
              <w:jc w:val="center"/>
              <w:rPr>
                <w:sz w:val="21"/>
                <w:szCs w:val="21"/>
                <w:highlight w:val="none"/>
              </w:rPr>
            </w:pPr>
            <w:r>
              <w:rPr>
                <w:sz w:val="21"/>
                <w:szCs w:val="21"/>
                <w:highlight w:val="none"/>
              </w:rPr>
              <w:t>≤0.02</w:t>
            </w:r>
          </w:p>
        </w:tc>
        <w:tc>
          <w:tcPr>
            <w:tcW w:w="881" w:type="dxa"/>
            <w:vMerge w:val="restart"/>
            <w:vAlign w:val="center"/>
          </w:tcPr>
          <w:p>
            <w:pPr>
              <w:spacing w:line="240" w:lineRule="auto"/>
              <w:ind w:firstLine="0" w:firstLineChars="0"/>
              <w:jc w:val="center"/>
              <w:rPr>
                <w:sz w:val="21"/>
                <w:szCs w:val="21"/>
                <w:highlight w:val="none"/>
              </w:rPr>
            </w:pPr>
            <w:r>
              <w:rPr>
                <w:sz w:val="21"/>
                <w:szCs w:val="21"/>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总硬度</w:t>
            </w:r>
          </w:p>
        </w:tc>
        <w:tc>
          <w:tcPr>
            <w:tcW w:w="811" w:type="dxa"/>
            <w:vAlign w:val="center"/>
          </w:tcPr>
          <w:p>
            <w:pPr>
              <w:spacing w:line="240" w:lineRule="auto"/>
              <w:ind w:firstLine="0" w:firstLineChars="0"/>
              <w:jc w:val="center"/>
              <w:rPr>
                <w:sz w:val="21"/>
                <w:szCs w:val="21"/>
                <w:highlight w:val="none"/>
              </w:rPr>
            </w:pPr>
            <w:r>
              <w:rPr>
                <w:sz w:val="21"/>
                <w:szCs w:val="21"/>
                <w:highlight w:val="none"/>
              </w:rPr>
              <w:t>≤450</w:t>
            </w:r>
          </w:p>
        </w:tc>
        <w:tc>
          <w:tcPr>
            <w:tcW w:w="671" w:type="dxa"/>
            <w:vMerge w:val="restart"/>
            <w:vAlign w:val="center"/>
          </w:tcPr>
          <w:p>
            <w:pPr>
              <w:spacing w:line="240" w:lineRule="auto"/>
              <w:ind w:firstLine="0" w:firstLineChars="0"/>
              <w:jc w:val="center"/>
              <w:rPr>
                <w:sz w:val="21"/>
                <w:szCs w:val="21"/>
                <w:highlight w:val="none"/>
              </w:rPr>
            </w:pPr>
            <w:r>
              <w:rPr>
                <w:sz w:val="21"/>
                <w:szCs w:val="21"/>
                <w:highlight w:val="none"/>
              </w:rPr>
              <w:t>mg/L</w:t>
            </w:r>
          </w:p>
        </w:tc>
        <w:tc>
          <w:tcPr>
            <w:tcW w:w="1532" w:type="dxa"/>
            <w:vAlign w:val="center"/>
          </w:tcPr>
          <w:p>
            <w:pPr>
              <w:spacing w:line="240" w:lineRule="auto"/>
              <w:ind w:firstLine="0" w:firstLineChars="0"/>
              <w:jc w:val="center"/>
              <w:rPr>
                <w:sz w:val="21"/>
                <w:szCs w:val="21"/>
                <w:highlight w:val="none"/>
              </w:rPr>
            </w:pPr>
            <w:r>
              <w:rPr>
                <w:sz w:val="21"/>
                <w:szCs w:val="21"/>
                <w:highlight w:val="none"/>
              </w:rPr>
              <w:t>铜</w:t>
            </w:r>
          </w:p>
        </w:tc>
        <w:tc>
          <w:tcPr>
            <w:tcW w:w="804" w:type="dxa"/>
            <w:vAlign w:val="center"/>
          </w:tcPr>
          <w:p>
            <w:pPr>
              <w:spacing w:line="240" w:lineRule="auto"/>
              <w:ind w:firstLine="0" w:firstLineChars="0"/>
              <w:jc w:val="center"/>
              <w:rPr>
                <w:sz w:val="21"/>
                <w:szCs w:val="21"/>
                <w:highlight w:val="none"/>
              </w:rPr>
            </w:pPr>
            <w:r>
              <w:rPr>
                <w:sz w:val="21"/>
                <w:szCs w:val="21"/>
                <w:highlight w:val="none"/>
              </w:rPr>
              <w:t>≤1.0</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硫酸盐</w:t>
            </w:r>
          </w:p>
        </w:tc>
        <w:tc>
          <w:tcPr>
            <w:tcW w:w="811" w:type="dxa"/>
            <w:vAlign w:val="center"/>
          </w:tcPr>
          <w:p>
            <w:pPr>
              <w:spacing w:line="240" w:lineRule="auto"/>
              <w:ind w:firstLine="0" w:firstLineChars="0"/>
              <w:jc w:val="center"/>
              <w:rPr>
                <w:sz w:val="21"/>
                <w:szCs w:val="21"/>
                <w:highlight w:val="none"/>
              </w:rPr>
            </w:pPr>
            <w:r>
              <w:rPr>
                <w:sz w:val="21"/>
                <w:szCs w:val="21"/>
                <w:highlight w:val="none"/>
              </w:rPr>
              <w:t>≤250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锌</w:t>
            </w:r>
          </w:p>
        </w:tc>
        <w:tc>
          <w:tcPr>
            <w:tcW w:w="804" w:type="dxa"/>
            <w:vAlign w:val="center"/>
          </w:tcPr>
          <w:p>
            <w:pPr>
              <w:spacing w:line="240" w:lineRule="auto"/>
              <w:ind w:firstLine="0" w:firstLineChars="0"/>
              <w:jc w:val="center"/>
              <w:rPr>
                <w:sz w:val="21"/>
                <w:szCs w:val="21"/>
                <w:highlight w:val="none"/>
              </w:rPr>
            </w:pPr>
            <w:r>
              <w:rPr>
                <w:sz w:val="21"/>
                <w:szCs w:val="21"/>
                <w:highlight w:val="none"/>
              </w:rPr>
              <w:t>≤1.0</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挥发性酚类</w:t>
            </w:r>
          </w:p>
        </w:tc>
        <w:tc>
          <w:tcPr>
            <w:tcW w:w="811" w:type="dxa"/>
            <w:vAlign w:val="center"/>
          </w:tcPr>
          <w:p>
            <w:pPr>
              <w:spacing w:line="240" w:lineRule="auto"/>
              <w:ind w:firstLine="0" w:firstLineChars="0"/>
              <w:jc w:val="center"/>
              <w:rPr>
                <w:sz w:val="21"/>
                <w:szCs w:val="21"/>
                <w:highlight w:val="none"/>
              </w:rPr>
            </w:pPr>
            <w:r>
              <w:rPr>
                <w:sz w:val="21"/>
                <w:szCs w:val="21"/>
                <w:highlight w:val="none"/>
              </w:rPr>
              <w:t>≤0.002</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汞</w:t>
            </w:r>
          </w:p>
        </w:tc>
        <w:tc>
          <w:tcPr>
            <w:tcW w:w="804" w:type="dxa"/>
            <w:vAlign w:val="center"/>
          </w:tcPr>
          <w:p>
            <w:pPr>
              <w:spacing w:line="240" w:lineRule="auto"/>
              <w:ind w:firstLine="0" w:firstLineChars="0"/>
              <w:jc w:val="center"/>
              <w:rPr>
                <w:sz w:val="21"/>
                <w:szCs w:val="21"/>
                <w:highlight w:val="none"/>
              </w:rPr>
            </w:pPr>
            <w:r>
              <w:rPr>
                <w:sz w:val="21"/>
                <w:szCs w:val="21"/>
                <w:highlight w:val="none"/>
              </w:rPr>
              <w:t>≤0.001</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硝酸盐</w:t>
            </w:r>
          </w:p>
        </w:tc>
        <w:tc>
          <w:tcPr>
            <w:tcW w:w="811" w:type="dxa"/>
            <w:vAlign w:val="center"/>
          </w:tcPr>
          <w:p>
            <w:pPr>
              <w:spacing w:line="240" w:lineRule="auto"/>
              <w:ind w:firstLine="0" w:firstLineChars="0"/>
              <w:jc w:val="center"/>
              <w:rPr>
                <w:sz w:val="21"/>
                <w:szCs w:val="21"/>
                <w:highlight w:val="none"/>
              </w:rPr>
            </w:pPr>
            <w:r>
              <w:rPr>
                <w:sz w:val="21"/>
                <w:szCs w:val="21"/>
                <w:highlight w:val="none"/>
              </w:rPr>
              <w:t>≤20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砷</w:t>
            </w:r>
          </w:p>
        </w:tc>
        <w:tc>
          <w:tcPr>
            <w:tcW w:w="804" w:type="dxa"/>
            <w:vAlign w:val="center"/>
          </w:tcPr>
          <w:p>
            <w:pPr>
              <w:spacing w:line="240" w:lineRule="auto"/>
              <w:ind w:firstLine="0" w:firstLineChars="0"/>
              <w:jc w:val="center"/>
              <w:rPr>
                <w:sz w:val="21"/>
                <w:szCs w:val="21"/>
                <w:highlight w:val="none"/>
              </w:rPr>
            </w:pPr>
            <w:r>
              <w:rPr>
                <w:sz w:val="21"/>
                <w:szCs w:val="21"/>
                <w:highlight w:val="none"/>
              </w:rPr>
              <w:t>≤0.01</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亚硝酸盐</w:t>
            </w:r>
          </w:p>
        </w:tc>
        <w:tc>
          <w:tcPr>
            <w:tcW w:w="811" w:type="dxa"/>
            <w:vAlign w:val="center"/>
          </w:tcPr>
          <w:p>
            <w:pPr>
              <w:spacing w:line="240" w:lineRule="auto"/>
              <w:ind w:firstLine="0" w:firstLineChars="0"/>
              <w:jc w:val="center"/>
              <w:rPr>
                <w:sz w:val="21"/>
                <w:szCs w:val="21"/>
                <w:highlight w:val="none"/>
              </w:rPr>
            </w:pPr>
            <w:r>
              <w:rPr>
                <w:sz w:val="21"/>
                <w:szCs w:val="21"/>
                <w:highlight w:val="none"/>
              </w:rPr>
              <w:t>≤1.00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镉</w:t>
            </w:r>
          </w:p>
        </w:tc>
        <w:tc>
          <w:tcPr>
            <w:tcW w:w="804" w:type="dxa"/>
            <w:vAlign w:val="center"/>
          </w:tcPr>
          <w:p>
            <w:pPr>
              <w:spacing w:line="240" w:lineRule="auto"/>
              <w:ind w:firstLine="0" w:firstLineChars="0"/>
              <w:jc w:val="center"/>
              <w:rPr>
                <w:sz w:val="21"/>
                <w:szCs w:val="21"/>
                <w:highlight w:val="none"/>
              </w:rPr>
            </w:pPr>
            <w:r>
              <w:rPr>
                <w:sz w:val="21"/>
                <w:szCs w:val="21"/>
                <w:highlight w:val="none"/>
              </w:rPr>
              <w:t>≤0.005</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rFonts w:hint="eastAsia"/>
                <w:sz w:val="21"/>
                <w:szCs w:val="21"/>
                <w:highlight w:val="none"/>
              </w:rPr>
              <w:t>耗氧量</w:t>
            </w:r>
          </w:p>
        </w:tc>
        <w:tc>
          <w:tcPr>
            <w:tcW w:w="811" w:type="dxa"/>
            <w:vAlign w:val="center"/>
          </w:tcPr>
          <w:p>
            <w:pPr>
              <w:spacing w:line="240" w:lineRule="auto"/>
              <w:ind w:firstLine="0" w:firstLineChars="0"/>
              <w:jc w:val="center"/>
              <w:rPr>
                <w:sz w:val="21"/>
                <w:szCs w:val="21"/>
                <w:highlight w:val="none"/>
              </w:rPr>
            </w:pPr>
            <w:r>
              <w:rPr>
                <w:sz w:val="21"/>
                <w:szCs w:val="21"/>
                <w:highlight w:val="none"/>
              </w:rPr>
              <w:t>≤3.0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铅</w:t>
            </w:r>
          </w:p>
        </w:tc>
        <w:tc>
          <w:tcPr>
            <w:tcW w:w="804" w:type="dxa"/>
            <w:vAlign w:val="center"/>
          </w:tcPr>
          <w:p>
            <w:pPr>
              <w:spacing w:line="240" w:lineRule="auto"/>
              <w:ind w:firstLine="0" w:firstLineChars="0"/>
              <w:jc w:val="center"/>
              <w:rPr>
                <w:sz w:val="21"/>
                <w:szCs w:val="21"/>
                <w:highlight w:val="none"/>
              </w:rPr>
            </w:pPr>
            <w:r>
              <w:rPr>
                <w:sz w:val="21"/>
                <w:szCs w:val="21"/>
                <w:highlight w:val="none"/>
              </w:rPr>
              <w:t>≤0.01</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氨氮</w:t>
            </w:r>
          </w:p>
        </w:tc>
        <w:tc>
          <w:tcPr>
            <w:tcW w:w="811" w:type="dxa"/>
            <w:vAlign w:val="center"/>
          </w:tcPr>
          <w:p>
            <w:pPr>
              <w:spacing w:line="240" w:lineRule="auto"/>
              <w:ind w:firstLine="0" w:firstLineChars="0"/>
              <w:jc w:val="center"/>
              <w:rPr>
                <w:sz w:val="21"/>
                <w:szCs w:val="21"/>
                <w:highlight w:val="none"/>
              </w:rPr>
            </w:pPr>
            <w:r>
              <w:rPr>
                <w:sz w:val="21"/>
                <w:szCs w:val="21"/>
                <w:highlight w:val="none"/>
              </w:rPr>
              <w:t>≤0.5</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铁</w:t>
            </w:r>
          </w:p>
        </w:tc>
        <w:tc>
          <w:tcPr>
            <w:tcW w:w="804" w:type="dxa"/>
            <w:vAlign w:val="center"/>
          </w:tcPr>
          <w:p>
            <w:pPr>
              <w:spacing w:line="240" w:lineRule="auto"/>
              <w:ind w:firstLine="0" w:firstLineChars="0"/>
              <w:jc w:val="center"/>
              <w:rPr>
                <w:sz w:val="21"/>
                <w:szCs w:val="21"/>
                <w:highlight w:val="none"/>
              </w:rPr>
            </w:pPr>
            <w:r>
              <w:rPr>
                <w:sz w:val="21"/>
                <w:szCs w:val="21"/>
                <w:highlight w:val="none"/>
              </w:rPr>
              <w:t>≤0.3</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铬（六价）</w:t>
            </w:r>
          </w:p>
        </w:tc>
        <w:tc>
          <w:tcPr>
            <w:tcW w:w="811" w:type="dxa"/>
            <w:vAlign w:val="center"/>
          </w:tcPr>
          <w:p>
            <w:pPr>
              <w:spacing w:line="240" w:lineRule="auto"/>
              <w:ind w:firstLine="0" w:firstLineChars="0"/>
              <w:jc w:val="center"/>
              <w:rPr>
                <w:sz w:val="21"/>
                <w:szCs w:val="21"/>
                <w:highlight w:val="none"/>
              </w:rPr>
            </w:pPr>
            <w:r>
              <w:rPr>
                <w:sz w:val="21"/>
                <w:szCs w:val="21"/>
                <w:highlight w:val="none"/>
              </w:rPr>
              <w:t>≤0.05</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锰</w:t>
            </w:r>
          </w:p>
        </w:tc>
        <w:tc>
          <w:tcPr>
            <w:tcW w:w="804" w:type="dxa"/>
            <w:vAlign w:val="center"/>
          </w:tcPr>
          <w:p>
            <w:pPr>
              <w:spacing w:line="240" w:lineRule="auto"/>
              <w:ind w:firstLine="0" w:firstLineChars="0"/>
              <w:jc w:val="center"/>
              <w:rPr>
                <w:sz w:val="21"/>
                <w:szCs w:val="21"/>
                <w:highlight w:val="none"/>
              </w:rPr>
            </w:pPr>
            <w:r>
              <w:rPr>
                <w:sz w:val="21"/>
                <w:szCs w:val="21"/>
                <w:highlight w:val="none"/>
              </w:rPr>
              <w:t>≤0.1</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溶解性总固体</w:t>
            </w:r>
          </w:p>
        </w:tc>
        <w:tc>
          <w:tcPr>
            <w:tcW w:w="811" w:type="dxa"/>
            <w:vAlign w:val="center"/>
          </w:tcPr>
          <w:p>
            <w:pPr>
              <w:spacing w:line="240" w:lineRule="auto"/>
              <w:ind w:firstLine="0" w:firstLineChars="0"/>
              <w:jc w:val="center"/>
              <w:rPr>
                <w:sz w:val="21"/>
                <w:szCs w:val="21"/>
                <w:highlight w:val="none"/>
              </w:rPr>
            </w:pPr>
            <w:r>
              <w:rPr>
                <w:sz w:val="21"/>
                <w:szCs w:val="21"/>
                <w:highlight w:val="none"/>
              </w:rPr>
              <w:t>≤1000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石油类</w:t>
            </w:r>
          </w:p>
        </w:tc>
        <w:tc>
          <w:tcPr>
            <w:tcW w:w="804" w:type="dxa"/>
            <w:vAlign w:val="center"/>
          </w:tcPr>
          <w:p>
            <w:pPr>
              <w:spacing w:line="240" w:lineRule="auto"/>
              <w:ind w:firstLine="0" w:firstLineChars="0"/>
              <w:jc w:val="center"/>
              <w:rPr>
                <w:sz w:val="21"/>
                <w:szCs w:val="21"/>
                <w:highlight w:val="none"/>
              </w:rPr>
            </w:pPr>
            <w:r>
              <w:rPr>
                <w:rFonts w:hint="eastAsia"/>
                <w:sz w:val="21"/>
                <w:szCs w:val="21"/>
                <w:highlight w:val="none"/>
              </w:rPr>
              <w:t>≤0.05</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氯化物</w:t>
            </w:r>
          </w:p>
        </w:tc>
        <w:tc>
          <w:tcPr>
            <w:tcW w:w="811" w:type="dxa"/>
            <w:vAlign w:val="center"/>
          </w:tcPr>
          <w:p>
            <w:pPr>
              <w:spacing w:line="240" w:lineRule="auto"/>
              <w:ind w:firstLine="0" w:firstLineChars="0"/>
              <w:jc w:val="center"/>
              <w:rPr>
                <w:sz w:val="21"/>
                <w:szCs w:val="21"/>
                <w:highlight w:val="none"/>
              </w:rPr>
            </w:pPr>
            <w:r>
              <w:rPr>
                <w:sz w:val="21"/>
                <w:szCs w:val="21"/>
                <w:highlight w:val="none"/>
              </w:rPr>
              <w:t>≤250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总大肠菌群数</w:t>
            </w:r>
          </w:p>
        </w:tc>
        <w:tc>
          <w:tcPr>
            <w:tcW w:w="804" w:type="dxa"/>
            <w:vAlign w:val="center"/>
          </w:tcPr>
          <w:p>
            <w:pPr>
              <w:spacing w:line="240" w:lineRule="auto"/>
              <w:ind w:firstLine="0" w:firstLineChars="0"/>
              <w:jc w:val="center"/>
              <w:rPr>
                <w:sz w:val="21"/>
                <w:szCs w:val="21"/>
                <w:highlight w:val="none"/>
              </w:rPr>
            </w:pPr>
            <w:r>
              <w:rPr>
                <w:sz w:val="21"/>
                <w:szCs w:val="21"/>
                <w:highlight w:val="none"/>
              </w:rPr>
              <w:t>≤3.0</w:t>
            </w:r>
          </w:p>
        </w:tc>
        <w:tc>
          <w:tcPr>
            <w:tcW w:w="881" w:type="dxa"/>
            <w:vAlign w:val="center"/>
          </w:tcPr>
          <w:p>
            <w:pPr>
              <w:spacing w:line="240" w:lineRule="auto"/>
              <w:ind w:firstLine="0" w:firstLineChars="0"/>
              <w:jc w:val="center"/>
              <w:rPr>
                <w:sz w:val="21"/>
                <w:szCs w:val="21"/>
                <w:highlight w:val="none"/>
              </w:rPr>
            </w:pPr>
            <w:r>
              <w:rPr>
                <w:sz w:val="21"/>
                <w:szCs w:val="21"/>
                <w:highlight w:val="none"/>
              </w:rPr>
              <w:t>个/L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氰化物</w:t>
            </w:r>
          </w:p>
        </w:tc>
        <w:tc>
          <w:tcPr>
            <w:tcW w:w="811" w:type="dxa"/>
            <w:vAlign w:val="center"/>
          </w:tcPr>
          <w:p>
            <w:pPr>
              <w:spacing w:line="240" w:lineRule="auto"/>
              <w:ind w:firstLine="0" w:firstLineChars="0"/>
              <w:jc w:val="center"/>
              <w:rPr>
                <w:sz w:val="21"/>
                <w:szCs w:val="21"/>
                <w:highlight w:val="none"/>
              </w:rPr>
            </w:pPr>
            <w:r>
              <w:rPr>
                <w:sz w:val="21"/>
                <w:szCs w:val="21"/>
                <w:highlight w:val="none"/>
              </w:rPr>
              <w:t>≤0.05</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细菌总数</w:t>
            </w:r>
          </w:p>
        </w:tc>
        <w:tc>
          <w:tcPr>
            <w:tcW w:w="804" w:type="dxa"/>
            <w:vAlign w:val="center"/>
          </w:tcPr>
          <w:p>
            <w:pPr>
              <w:spacing w:line="240" w:lineRule="auto"/>
              <w:ind w:firstLine="0" w:firstLineChars="0"/>
              <w:jc w:val="center"/>
              <w:rPr>
                <w:sz w:val="21"/>
                <w:szCs w:val="21"/>
                <w:highlight w:val="none"/>
              </w:rPr>
            </w:pPr>
            <w:r>
              <w:rPr>
                <w:sz w:val="21"/>
                <w:szCs w:val="21"/>
                <w:highlight w:val="none"/>
              </w:rPr>
              <w:t>≤100</w:t>
            </w:r>
          </w:p>
        </w:tc>
        <w:tc>
          <w:tcPr>
            <w:tcW w:w="881" w:type="dxa"/>
            <w:vAlign w:val="center"/>
          </w:tcPr>
          <w:p>
            <w:pPr>
              <w:spacing w:line="240" w:lineRule="auto"/>
              <w:ind w:firstLine="0" w:firstLineChars="0"/>
              <w:jc w:val="center"/>
              <w:rPr>
                <w:sz w:val="21"/>
                <w:szCs w:val="21"/>
                <w:highlight w:val="none"/>
              </w:rPr>
            </w:pPr>
            <w:r>
              <w:rPr>
                <w:sz w:val="21"/>
                <w:szCs w:val="21"/>
                <w:highlight w:val="none"/>
              </w:rPr>
              <w:t>个/mL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氟化物</w:t>
            </w:r>
          </w:p>
        </w:tc>
        <w:tc>
          <w:tcPr>
            <w:tcW w:w="811" w:type="dxa"/>
            <w:vAlign w:val="center"/>
          </w:tcPr>
          <w:p>
            <w:pPr>
              <w:spacing w:line="240" w:lineRule="auto"/>
              <w:ind w:firstLine="0" w:firstLineChars="0"/>
              <w:jc w:val="center"/>
              <w:rPr>
                <w:sz w:val="21"/>
                <w:szCs w:val="21"/>
                <w:highlight w:val="none"/>
              </w:rPr>
            </w:pPr>
            <w:r>
              <w:rPr>
                <w:sz w:val="21"/>
                <w:szCs w:val="21"/>
                <w:highlight w:val="none"/>
              </w:rPr>
              <w:t>≤1.0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w:t>
            </w:r>
          </w:p>
        </w:tc>
        <w:tc>
          <w:tcPr>
            <w:tcW w:w="804" w:type="dxa"/>
            <w:vAlign w:val="center"/>
          </w:tcPr>
          <w:p>
            <w:pPr>
              <w:spacing w:line="240" w:lineRule="auto"/>
              <w:ind w:firstLine="0" w:firstLineChars="0"/>
              <w:jc w:val="center"/>
              <w:rPr>
                <w:sz w:val="21"/>
                <w:szCs w:val="21"/>
                <w:highlight w:val="none"/>
              </w:rPr>
            </w:pPr>
            <w:r>
              <w:rPr>
                <w:sz w:val="21"/>
                <w:szCs w:val="21"/>
                <w:highlight w:val="none"/>
              </w:rPr>
              <w:t>/</w:t>
            </w:r>
          </w:p>
        </w:tc>
        <w:tc>
          <w:tcPr>
            <w:tcW w:w="881" w:type="dxa"/>
            <w:vAlign w:val="center"/>
          </w:tcPr>
          <w:p>
            <w:pPr>
              <w:spacing w:line="240" w:lineRule="auto"/>
              <w:ind w:firstLine="0" w:firstLineChars="0"/>
              <w:jc w:val="center"/>
              <w:rPr>
                <w:sz w:val="21"/>
                <w:szCs w:val="21"/>
                <w:highlight w:val="none"/>
              </w:rPr>
            </w:pPr>
            <w:r>
              <w:rPr>
                <w:sz w:val="21"/>
                <w:szCs w:val="21"/>
                <w:highlight w:val="none"/>
              </w:rPr>
              <w:t>/</w:t>
            </w:r>
          </w:p>
        </w:tc>
      </w:tr>
    </w:tbl>
    <w:p>
      <w:pPr>
        <w:pStyle w:val="214"/>
        <w:spacing w:line="360" w:lineRule="auto"/>
        <w:ind w:firstLine="480"/>
        <w:rPr>
          <w:highlight w:val="none"/>
        </w:rPr>
      </w:pPr>
      <w:r>
        <w:rPr>
          <w:highlight w:val="none"/>
        </w:rPr>
        <w:t>（4）声环境质量标准</w:t>
      </w:r>
    </w:p>
    <w:p>
      <w:pPr>
        <w:pStyle w:val="152"/>
        <w:spacing w:before="0" w:after="0" w:line="360" w:lineRule="auto"/>
        <w:ind w:firstLine="480"/>
        <w:rPr>
          <w:highlight w:val="none"/>
        </w:rPr>
      </w:pPr>
      <w:r>
        <w:rPr>
          <w:highlight w:val="none"/>
        </w:rPr>
        <w:t>本项目</w:t>
      </w:r>
      <w:r>
        <w:rPr>
          <w:rFonts w:hint="eastAsia"/>
          <w:highlight w:val="none"/>
        </w:rPr>
        <w:t>所在地</w:t>
      </w:r>
      <w:r>
        <w:rPr>
          <w:highlight w:val="none"/>
        </w:rPr>
        <w:t>噪声环境功能区划为2类，声环境执行《声环境质量标准》（GB3096—2008）2类标准，具体见表2.</w:t>
      </w:r>
      <w:r>
        <w:rPr>
          <w:rFonts w:hint="eastAsia"/>
          <w:highlight w:val="none"/>
        </w:rPr>
        <w:t>4</w:t>
      </w:r>
      <w:r>
        <w:rPr>
          <w:highlight w:val="none"/>
        </w:rPr>
        <w:t>-4。</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4</w:t>
      </w:r>
      <w:r>
        <w:rPr>
          <w:rFonts w:eastAsia="黑体"/>
          <w:kern w:val="2"/>
          <w:sz w:val="21"/>
          <w:szCs w:val="21"/>
          <w:highlight w:val="none"/>
        </w:rPr>
        <w:t>-4    声环境质量标准</w:t>
      </w:r>
    </w:p>
    <w:tbl>
      <w:tblPr>
        <w:tblStyle w:val="48"/>
        <w:tblW w:w="836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2121"/>
        <w:gridCol w:w="1298"/>
        <w:gridCol w:w="2433"/>
        <w:gridCol w:w="251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2121" w:type="dxa"/>
            <w:vAlign w:val="center"/>
          </w:tcPr>
          <w:p>
            <w:pPr>
              <w:spacing w:line="240" w:lineRule="auto"/>
              <w:ind w:firstLine="0" w:firstLineChars="0"/>
              <w:jc w:val="center"/>
              <w:rPr>
                <w:kern w:val="2"/>
                <w:sz w:val="21"/>
                <w:szCs w:val="21"/>
                <w:highlight w:val="none"/>
              </w:rPr>
            </w:pPr>
            <w:r>
              <w:rPr>
                <w:kern w:val="2"/>
                <w:sz w:val="21"/>
                <w:szCs w:val="21"/>
                <w:highlight w:val="none"/>
              </w:rPr>
              <w:t>声环境功能区划类别</w:t>
            </w:r>
          </w:p>
        </w:tc>
        <w:tc>
          <w:tcPr>
            <w:tcW w:w="3731" w:type="dxa"/>
            <w:gridSpan w:val="2"/>
            <w:vAlign w:val="center"/>
          </w:tcPr>
          <w:p>
            <w:pPr>
              <w:adjustRightInd w:val="0"/>
              <w:spacing w:line="240" w:lineRule="auto"/>
              <w:ind w:firstLine="0" w:firstLineChars="0"/>
              <w:jc w:val="center"/>
              <w:textAlignment w:val="baseline"/>
              <w:rPr>
                <w:kern w:val="2"/>
                <w:sz w:val="21"/>
                <w:szCs w:val="21"/>
                <w:highlight w:val="none"/>
              </w:rPr>
            </w:pPr>
            <w:r>
              <w:rPr>
                <w:kern w:val="2"/>
                <w:sz w:val="21"/>
                <w:szCs w:val="21"/>
                <w:highlight w:val="none"/>
              </w:rPr>
              <w:t>时段</w:t>
            </w:r>
          </w:p>
        </w:tc>
        <w:tc>
          <w:tcPr>
            <w:tcW w:w="2510" w:type="dxa"/>
            <w:vAlign w:val="center"/>
          </w:tcPr>
          <w:p>
            <w:pPr>
              <w:spacing w:line="240" w:lineRule="auto"/>
              <w:ind w:firstLine="0" w:firstLineChars="0"/>
              <w:jc w:val="center"/>
              <w:rPr>
                <w:kern w:val="2"/>
                <w:sz w:val="21"/>
                <w:szCs w:val="21"/>
                <w:highlight w:val="none"/>
              </w:rPr>
            </w:pPr>
            <w:r>
              <w:rPr>
                <w:kern w:val="2"/>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2121" w:type="dxa"/>
            <w:vMerge w:val="restart"/>
            <w:vAlign w:val="center"/>
          </w:tcPr>
          <w:p>
            <w:pPr>
              <w:spacing w:line="240" w:lineRule="auto"/>
              <w:ind w:firstLine="0" w:firstLineChars="0"/>
              <w:jc w:val="center"/>
              <w:rPr>
                <w:kern w:val="2"/>
                <w:sz w:val="21"/>
                <w:szCs w:val="21"/>
                <w:highlight w:val="none"/>
              </w:rPr>
            </w:pPr>
            <w:r>
              <w:rPr>
                <w:kern w:val="2"/>
                <w:sz w:val="21"/>
                <w:szCs w:val="21"/>
                <w:highlight w:val="none"/>
              </w:rPr>
              <w:t>2类</w:t>
            </w:r>
          </w:p>
        </w:tc>
        <w:tc>
          <w:tcPr>
            <w:tcW w:w="1298" w:type="dxa"/>
            <w:vAlign w:val="center"/>
          </w:tcPr>
          <w:p>
            <w:pPr>
              <w:spacing w:line="240" w:lineRule="auto"/>
              <w:ind w:firstLine="0" w:firstLineChars="0"/>
              <w:jc w:val="center"/>
              <w:rPr>
                <w:kern w:val="2"/>
                <w:sz w:val="21"/>
                <w:szCs w:val="21"/>
                <w:highlight w:val="none"/>
              </w:rPr>
            </w:pPr>
            <w:r>
              <w:rPr>
                <w:kern w:val="2"/>
                <w:sz w:val="21"/>
                <w:szCs w:val="21"/>
                <w:highlight w:val="none"/>
              </w:rPr>
              <w:t>昼间</w:t>
            </w:r>
          </w:p>
        </w:tc>
        <w:tc>
          <w:tcPr>
            <w:tcW w:w="2433" w:type="dxa"/>
            <w:vAlign w:val="center"/>
          </w:tcPr>
          <w:p>
            <w:pPr>
              <w:adjustRightInd w:val="0"/>
              <w:spacing w:line="240" w:lineRule="auto"/>
              <w:ind w:firstLine="0" w:firstLineChars="0"/>
              <w:jc w:val="center"/>
              <w:textAlignment w:val="baseline"/>
              <w:rPr>
                <w:kern w:val="2"/>
                <w:sz w:val="21"/>
                <w:szCs w:val="21"/>
                <w:highlight w:val="none"/>
              </w:rPr>
            </w:pPr>
            <w:r>
              <w:rPr>
                <w:kern w:val="2"/>
                <w:sz w:val="21"/>
                <w:szCs w:val="21"/>
                <w:highlight w:val="none"/>
              </w:rPr>
              <w:t>夜间</w:t>
            </w:r>
          </w:p>
        </w:tc>
        <w:tc>
          <w:tcPr>
            <w:tcW w:w="2510" w:type="dxa"/>
            <w:vMerge w:val="restart"/>
            <w:vAlign w:val="center"/>
          </w:tcPr>
          <w:p>
            <w:pPr>
              <w:spacing w:line="240" w:lineRule="auto"/>
              <w:ind w:firstLine="0" w:firstLineChars="0"/>
              <w:jc w:val="center"/>
              <w:rPr>
                <w:kern w:val="2"/>
                <w:sz w:val="21"/>
                <w:szCs w:val="21"/>
                <w:highlight w:val="none"/>
              </w:rPr>
            </w:pPr>
            <w:r>
              <w:rPr>
                <w:kern w:val="2"/>
                <w:sz w:val="21"/>
                <w:szCs w:val="21"/>
                <w:highlight w:val="none"/>
              </w:rPr>
              <w:t>《声环境质量标准》（GB3096—2008）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2121" w:type="dxa"/>
            <w:vMerge w:val="continue"/>
            <w:vAlign w:val="center"/>
          </w:tcPr>
          <w:p>
            <w:pPr>
              <w:spacing w:line="240" w:lineRule="auto"/>
              <w:ind w:firstLine="0" w:firstLineChars="0"/>
              <w:rPr>
                <w:kern w:val="2"/>
                <w:sz w:val="21"/>
                <w:szCs w:val="21"/>
                <w:highlight w:val="none"/>
              </w:rPr>
            </w:pPr>
          </w:p>
        </w:tc>
        <w:tc>
          <w:tcPr>
            <w:tcW w:w="1298" w:type="dxa"/>
            <w:vAlign w:val="center"/>
          </w:tcPr>
          <w:p>
            <w:pPr>
              <w:spacing w:line="240" w:lineRule="auto"/>
              <w:ind w:firstLine="0" w:firstLineChars="0"/>
              <w:jc w:val="center"/>
              <w:rPr>
                <w:kern w:val="2"/>
                <w:sz w:val="21"/>
                <w:szCs w:val="21"/>
                <w:highlight w:val="none"/>
              </w:rPr>
            </w:pPr>
            <w:r>
              <w:rPr>
                <w:kern w:val="2"/>
                <w:sz w:val="21"/>
                <w:szCs w:val="21"/>
                <w:highlight w:val="none"/>
              </w:rPr>
              <w:t>60</w:t>
            </w:r>
          </w:p>
        </w:tc>
        <w:tc>
          <w:tcPr>
            <w:tcW w:w="2433" w:type="dxa"/>
            <w:vAlign w:val="center"/>
          </w:tcPr>
          <w:p>
            <w:pPr>
              <w:adjustRightInd w:val="0"/>
              <w:spacing w:line="240" w:lineRule="auto"/>
              <w:ind w:firstLine="0" w:firstLineChars="0"/>
              <w:jc w:val="center"/>
              <w:textAlignment w:val="baseline"/>
              <w:rPr>
                <w:kern w:val="2"/>
                <w:sz w:val="21"/>
                <w:szCs w:val="21"/>
                <w:highlight w:val="none"/>
              </w:rPr>
            </w:pPr>
            <w:r>
              <w:rPr>
                <w:kern w:val="2"/>
                <w:sz w:val="21"/>
                <w:szCs w:val="21"/>
                <w:highlight w:val="none"/>
              </w:rPr>
              <w:t>50</w:t>
            </w:r>
          </w:p>
        </w:tc>
        <w:tc>
          <w:tcPr>
            <w:tcW w:w="2510" w:type="dxa"/>
            <w:vMerge w:val="continue"/>
            <w:vAlign w:val="center"/>
          </w:tcPr>
          <w:p>
            <w:pPr>
              <w:spacing w:line="240" w:lineRule="auto"/>
              <w:ind w:firstLine="0" w:firstLineChars="0"/>
              <w:rPr>
                <w:kern w:val="2"/>
                <w:sz w:val="21"/>
                <w:szCs w:val="21"/>
                <w:highlight w:val="none"/>
              </w:rPr>
            </w:pPr>
          </w:p>
        </w:tc>
      </w:tr>
    </w:tbl>
    <w:p>
      <w:pPr>
        <w:pStyle w:val="6"/>
        <w:numPr>
          <w:ilvl w:val="2"/>
          <w:numId w:val="1"/>
        </w:numPr>
        <w:spacing w:beforeLines="50" w:after="0"/>
        <w:ind w:left="567"/>
        <w:rPr>
          <w:szCs w:val="28"/>
          <w:highlight w:val="none"/>
        </w:rPr>
      </w:pPr>
      <w:bookmarkStart w:id="102" w:name="_Toc521591744"/>
      <w:bookmarkStart w:id="103" w:name="_Toc12857"/>
      <w:r>
        <w:rPr>
          <w:szCs w:val="28"/>
          <w:highlight w:val="none"/>
        </w:rPr>
        <w:t>污染物排放标准</w:t>
      </w:r>
      <w:bookmarkEnd w:id="102"/>
      <w:bookmarkEnd w:id="103"/>
    </w:p>
    <w:p>
      <w:pPr>
        <w:pStyle w:val="3"/>
        <w:numPr>
          <w:ilvl w:val="3"/>
          <w:numId w:val="1"/>
        </w:numPr>
        <w:ind w:left="709" w:hanging="709"/>
        <w:rPr>
          <w:rFonts w:eastAsia="宋体"/>
          <w:b/>
          <w:highlight w:val="none"/>
        </w:rPr>
      </w:pPr>
      <w:r>
        <w:rPr>
          <w:rFonts w:eastAsia="宋体"/>
          <w:b/>
          <w:highlight w:val="none"/>
        </w:rPr>
        <w:t>施工期</w:t>
      </w:r>
    </w:p>
    <w:p>
      <w:pPr>
        <w:ind w:firstLine="480"/>
        <w:rPr>
          <w:sz w:val="24"/>
          <w:szCs w:val="24"/>
          <w:highlight w:val="none"/>
        </w:rPr>
      </w:pPr>
      <w:bookmarkStart w:id="104" w:name="_Hlk3796132"/>
      <w:r>
        <w:rPr>
          <w:sz w:val="24"/>
          <w:szCs w:val="24"/>
          <w:highlight w:val="none"/>
        </w:rPr>
        <w:t>（1）扬尘</w:t>
      </w:r>
    </w:p>
    <w:p>
      <w:pPr>
        <w:snapToGrid w:val="0"/>
        <w:ind w:firstLine="480"/>
        <w:jc w:val="both"/>
        <w:rPr>
          <w:sz w:val="24"/>
          <w:szCs w:val="24"/>
          <w:highlight w:val="none"/>
        </w:rPr>
      </w:pPr>
      <w:bookmarkStart w:id="105" w:name="_Hlk3212524"/>
      <w:bookmarkStart w:id="106" w:name="_Hlk5649707"/>
      <w:r>
        <w:rPr>
          <w:rFonts w:hint="eastAsia"/>
          <w:sz w:val="24"/>
          <w:szCs w:val="24"/>
          <w:highlight w:val="none"/>
        </w:rPr>
        <w:t>施工期扬尘（</w:t>
      </w:r>
      <w:r>
        <w:rPr>
          <w:sz w:val="24"/>
          <w:szCs w:val="24"/>
          <w:highlight w:val="none"/>
        </w:rPr>
        <w:t>颗粒物</w:t>
      </w:r>
      <w:r>
        <w:rPr>
          <w:rFonts w:hint="eastAsia"/>
          <w:sz w:val="24"/>
          <w:szCs w:val="24"/>
          <w:highlight w:val="none"/>
        </w:rPr>
        <w:t>）</w:t>
      </w:r>
      <w:r>
        <w:rPr>
          <w:sz w:val="24"/>
          <w:szCs w:val="24"/>
          <w:highlight w:val="none"/>
        </w:rPr>
        <w:t>执行</w:t>
      </w:r>
      <w:r>
        <w:rPr>
          <w:rFonts w:hint="eastAsia"/>
          <w:sz w:val="24"/>
          <w:szCs w:val="24"/>
          <w:highlight w:val="none"/>
        </w:rPr>
        <w:t>《施工场地扬尘排放标准》（DB 13/ 2934-2019）</w:t>
      </w:r>
      <w:r>
        <w:rPr>
          <w:sz w:val="24"/>
          <w:szCs w:val="24"/>
          <w:highlight w:val="none"/>
        </w:rPr>
        <w:t>表</w:t>
      </w:r>
      <w:r>
        <w:rPr>
          <w:rFonts w:hint="eastAsia"/>
          <w:sz w:val="24"/>
          <w:szCs w:val="24"/>
          <w:highlight w:val="none"/>
        </w:rPr>
        <w:t>1</w:t>
      </w:r>
      <w:r>
        <w:rPr>
          <w:sz w:val="24"/>
          <w:szCs w:val="24"/>
          <w:highlight w:val="none"/>
        </w:rPr>
        <w:t>中</w:t>
      </w:r>
      <w:r>
        <w:rPr>
          <w:rFonts w:hint="eastAsia"/>
          <w:sz w:val="24"/>
          <w:szCs w:val="24"/>
          <w:highlight w:val="none"/>
        </w:rPr>
        <w:t>扬尘</w:t>
      </w:r>
      <w:r>
        <w:rPr>
          <w:sz w:val="24"/>
          <w:szCs w:val="24"/>
          <w:highlight w:val="none"/>
        </w:rPr>
        <w:t>排放浓度</w:t>
      </w:r>
      <w:r>
        <w:rPr>
          <w:rFonts w:hint="eastAsia"/>
          <w:sz w:val="24"/>
          <w:szCs w:val="24"/>
          <w:highlight w:val="none"/>
        </w:rPr>
        <w:t>限值，见下表2.3-7。</w:t>
      </w:r>
    </w:p>
    <w:p>
      <w:pPr>
        <w:adjustRightInd w:val="0"/>
        <w:snapToGrid w:val="0"/>
        <w:spacing w:line="240" w:lineRule="auto"/>
        <w:ind w:firstLine="420"/>
        <w:jc w:val="center"/>
        <w:rPr>
          <w:rFonts w:eastAsia="黑体"/>
          <w:sz w:val="21"/>
          <w:szCs w:val="21"/>
          <w:highlight w:val="none"/>
        </w:rPr>
      </w:pPr>
      <w:r>
        <w:rPr>
          <w:rFonts w:eastAsia="黑体"/>
          <w:sz w:val="21"/>
          <w:szCs w:val="21"/>
          <w:highlight w:val="none"/>
        </w:rPr>
        <w:t>表</w:t>
      </w:r>
      <w:r>
        <w:rPr>
          <w:rFonts w:hint="eastAsia" w:eastAsia="黑体"/>
          <w:sz w:val="21"/>
          <w:szCs w:val="21"/>
          <w:highlight w:val="none"/>
        </w:rPr>
        <w:t xml:space="preserve">2.3-7    </w:t>
      </w:r>
      <w:r>
        <w:rPr>
          <w:rFonts w:eastAsia="黑体"/>
          <w:sz w:val="21"/>
          <w:szCs w:val="21"/>
          <w:highlight w:val="none"/>
        </w:rPr>
        <w:t>大气污染物排放限值和控制要求</w:t>
      </w:r>
    </w:p>
    <w:tbl>
      <w:tblPr>
        <w:tblStyle w:val="4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20"/>
        <w:gridCol w:w="2672"/>
        <w:gridCol w:w="1278"/>
        <w:gridCol w:w="185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596"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标准号</w:t>
            </w:r>
          </w:p>
        </w:tc>
        <w:tc>
          <w:tcPr>
            <w:tcW w:w="1568"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标准名称</w:t>
            </w:r>
          </w:p>
        </w:tc>
        <w:tc>
          <w:tcPr>
            <w:tcW w:w="750"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污染物</w:t>
            </w:r>
          </w:p>
        </w:tc>
        <w:tc>
          <w:tcPr>
            <w:tcW w:w="1086"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数值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596" w:type="pct"/>
            <w:vAlign w:val="center"/>
          </w:tcPr>
          <w:p>
            <w:pPr>
              <w:snapToGrid w:val="0"/>
              <w:spacing w:line="300" w:lineRule="exact"/>
              <w:ind w:firstLine="0" w:firstLineChars="0"/>
              <w:jc w:val="center"/>
              <w:rPr>
                <w:sz w:val="21"/>
                <w:szCs w:val="21"/>
                <w:highlight w:val="none"/>
              </w:rPr>
            </w:pPr>
            <w:r>
              <w:rPr>
                <w:sz w:val="21"/>
                <w:szCs w:val="21"/>
                <w:highlight w:val="none"/>
              </w:rPr>
              <w:t>DB 13/ 2934-2019</w:t>
            </w:r>
          </w:p>
        </w:tc>
        <w:tc>
          <w:tcPr>
            <w:tcW w:w="1568"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施工场地扬尘排放标准</w:t>
            </w:r>
          </w:p>
        </w:tc>
        <w:tc>
          <w:tcPr>
            <w:tcW w:w="750"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PM</w:t>
            </w:r>
            <w:r>
              <w:rPr>
                <w:sz w:val="21"/>
                <w:szCs w:val="21"/>
                <w:highlight w:val="none"/>
                <w:vertAlign w:val="subscript"/>
              </w:rPr>
              <w:t>10</w:t>
            </w:r>
          </w:p>
        </w:tc>
        <w:tc>
          <w:tcPr>
            <w:tcW w:w="1086" w:type="pct"/>
            <w:vAlign w:val="center"/>
          </w:tcPr>
          <w:p>
            <w:pPr>
              <w:snapToGrid w:val="0"/>
              <w:spacing w:line="300" w:lineRule="exact"/>
              <w:ind w:firstLine="0" w:firstLineChars="0"/>
              <w:jc w:val="center"/>
              <w:rPr>
                <w:sz w:val="21"/>
                <w:szCs w:val="21"/>
                <w:highlight w:val="none"/>
              </w:rPr>
            </w:pPr>
            <w:r>
              <w:rPr>
                <w:sz w:val="21"/>
                <w:szCs w:val="21"/>
                <w:highlight w:val="none"/>
              </w:rPr>
              <w:t>80μg</w:t>
            </w:r>
            <w:r>
              <w:rPr>
                <w:rFonts w:hint="eastAsia"/>
                <w:sz w:val="21"/>
                <w:szCs w:val="21"/>
                <w:highlight w:val="none"/>
              </w:rPr>
              <w:t>/m</w:t>
            </w:r>
            <w:r>
              <w:rPr>
                <w:rFonts w:hint="eastAsia"/>
                <w:sz w:val="21"/>
                <w:szCs w:val="21"/>
                <w:highlight w:val="none"/>
                <w:vertAlign w:val="superscript"/>
              </w:rPr>
              <w:t>3</w:t>
            </w:r>
          </w:p>
        </w:tc>
      </w:tr>
    </w:tbl>
    <w:p>
      <w:pPr>
        <w:ind w:firstLine="420"/>
        <w:rPr>
          <w:sz w:val="21"/>
          <w:szCs w:val="24"/>
          <w:highlight w:val="none"/>
        </w:rPr>
      </w:pPr>
      <w:r>
        <w:rPr>
          <w:rFonts w:hint="eastAsia"/>
          <w:sz w:val="21"/>
          <w:szCs w:val="24"/>
          <w:highlight w:val="none"/>
        </w:rPr>
        <w:t>指监测点PM</w:t>
      </w:r>
      <w:r>
        <w:rPr>
          <w:rFonts w:hint="eastAsia"/>
          <w:sz w:val="21"/>
          <w:szCs w:val="24"/>
          <w:highlight w:val="none"/>
          <w:vertAlign w:val="subscript"/>
        </w:rPr>
        <w:t>10</w:t>
      </w:r>
      <w:r>
        <w:rPr>
          <w:rFonts w:hint="eastAsia"/>
          <w:sz w:val="21"/>
          <w:szCs w:val="24"/>
          <w:highlight w:val="none"/>
        </w:rPr>
        <w:t>小时平均浓度实测值与同时段所属县（市、区）PM</w:t>
      </w:r>
      <w:r>
        <w:rPr>
          <w:rFonts w:hint="eastAsia"/>
          <w:sz w:val="21"/>
          <w:szCs w:val="24"/>
          <w:highlight w:val="none"/>
          <w:vertAlign w:val="subscript"/>
        </w:rPr>
        <w:t>10</w:t>
      </w:r>
      <w:r>
        <w:rPr>
          <w:rFonts w:hint="eastAsia"/>
          <w:sz w:val="21"/>
          <w:szCs w:val="24"/>
          <w:highlight w:val="none"/>
        </w:rPr>
        <w:t>小时平均浓度的差值。当县（市、区）PM</w:t>
      </w:r>
      <w:r>
        <w:rPr>
          <w:rFonts w:hint="eastAsia"/>
          <w:sz w:val="21"/>
          <w:szCs w:val="24"/>
          <w:highlight w:val="none"/>
          <w:vertAlign w:val="subscript"/>
        </w:rPr>
        <w:t>10</w:t>
      </w:r>
      <w:r>
        <w:rPr>
          <w:rFonts w:hint="eastAsia"/>
          <w:sz w:val="21"/>
          <w:szCs w:val="24"/>
          <w:highlight w:val="none"/>
        </w:rPr>
        <w:t>小时平均浓度值大于150</w:t>
      </w:r>
      <w:r>
        <w:rPr>
          <w:sz w:val="21"/>
          <w:szCs w:val="21"/>
          <w:highlight w:val="none"/>
        </w:rPr>
        <w:t>μ</w:t>
      </w:r>
      <w:r>
        <w:rPr>
          <w:rFonts w:hint="eastAsia"/>
          <w:sz w:val="21"/>
          <w:szCs w:val="24"/>
          <w:highlight w:val="none"/>
        </w:rPr>
        <w:t>g/m</w:t>
      </w:r>
      <w:r>
        <w:rPr>
          <w:rFonts w:hint="eastAsia"/>
          <w:sz w:val="21"/>
          <w:szCs w:val="24"/>
          <w:highlight w:val="none"/>
          <w:vertAlign w:val="superscript"/>
        </w:rPr>
        <w:t>3</w:t>
      </w:r>
      <w:r>
        <w:rPr>
          <w:rFonts w:hint="eastAsia"/>
          <w:sz w:val="21"/>
          <w:szCs w:val="24"/>
          <w:highlight w:val="none"/>
        </w:rPr>
        <w:t>时，以150</w:t>
      </w:r>
      <w:r>
        <w:rPr>
          <w:sz w:val="21"/>
          <w:szCs w:val="21"/>
          <w:highlight w:val="none"/>
        </w:rPr>
        <w:t>μ</w:t>
      </w:r>
      <w:r>
        <w:rPr>
          <w:rFonts w:hint="eastAsia"/>
          <w:sz w:val="21"/>
          <w:szCs w:val="24"/>
          <w:highlight w:val="none"/>
        </w:rPr>
        <w:t>g/m</w:t>
      </w:r>
      <w:r>
        <w:rPr>
          <w:rFonts w:hint="eastAsia"/>
          <w:sz w:val="21"/>
          <w:szCs w:val="24"/>
          <w:highlight w:val="none"/>
          <w:vertAlign w:val="superscript"/>
        </w:rPr>
        <w:t>3</w:t>
      </w:r>
      <w:r>
        <w:rPr>
          <w:rFonts w:hint="eastAsia"/>
          <w:sz w:val="21"/>
          <w:szCs w:val="24"/>
          <w:highlight w:val="none"/>
        </w:rPr>
        <w:t>计。</w:t>
      </w:r>
      <w:bookmarkEnd w:id="105"/>
    </w:p>
    <w:bookmarkEnd w:id="106"/>
    <w:p>
      <w:pPr>
        <w:ind w:firstLine="480"/>
        <w:rPr>
          <w:sz w:val="24"/>
          <w:szCs w:val="24"/>
          <w:highlight w:val="none"/>
        </w:rPr>
      </w:pPr>
      <w:r>
        <w:rPr>
          <w:sz w:val="24"/>
          <w:szCs w:val="24"/>
          <w:highlight w:val="none"/>
        </w:rPr>
        <w:t>（2）噪声</w:t>
      </w:r>
    </w:p>
    <w:p>
      <w:pPr>
        <w:ind w:firstLine="480"/>
        <w:rPr>
          <w:sz w:val="24"/>
          <w:szCs w:val="24"/>
          <w:highlight w:val="none"/>
        </w:rPr>
      </w:pPr>
      <w:r>
        <w:rPr>
          <w:sz w:val="24"/>
          <w:szCs w:val="24"/>
          <w:highlight w:val="none"/>
        </w:rPr>
        <w:t>施工期噪声执行《建筑施工场界环境噪声排放标准》（GB12523-2011）中规定的建筑施工场界环境噪声排放限值，详见表2.4-6。</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表2.4-6    建筑施工场界环境噪声排放标准单位：dB(A)</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9"/>
        <w:gridCol w:w="1416"/>
        <w:gridCol w:w="54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669" w:type="dxa"/>
            <w:vAlign w:val="center"/>
          </w:tcPr>
          <w:p>
            <w:pPr>
              <w:spacing w:line="300" w:lineRule="exact"/>
              <w:ind w:firstLine="0" w:firstLineChars="0"/>
              <w:jc w:val="center"/>
              <w:rPr>
                <w:sz w:val="21"/>
                <w:szCs w:val="21"/>
                <w:highlight w:val="none"/>
              </w:rPr>
            </w:pPr>
            <w:r>
              <w:rPr>
                <w:sz w:val="21"/>
                <w:szCs w:val="21"/>
                <w:highlight w:val="none"/>
              </w:rPr>
              <w:t>昼间</w:t>
            </w:r>
          </w:p>
        </w:tc>
        <w:tc>
          <w:tcPr>
            <w:tcW w:w="1416" w:type="dxa"/>
            <w:vAlign w:val="center"/>
          </w:tcPr>
          <w:p>
            <w:pPr>
              <w:spacing w:line="300" w:lineRule="exact"/>
              <w:ind w:firstLine="0" w:firstLineChars="0"/>
              <w:jc w:val="center"/>
              <w:rPr>
                <w:sz w:val="21"/>
                <w:szCs w:val="21"/>
                <w:highlight w:val="none"/>
              </w:rPr>
            </w:pPr>
            <w:r>
              <w:rPr>
                <w:sz w:val="21"/>
                <w:szCs w:val="21"/>
                <w:highlight w:val="none"/>
              </w:rPr>
              <w:t>夜间</w:t>
            </w:r>
          </w:p>
        </w:tc>
        <w:tc>
          <w:tcPr>
            <w:tcW w:w="5437" w:type="dxa"/>
          </w:tcPr>
          <w:p>
            <w:pPr>
              <w:spacing w:line="300" w:lineRule="exact"/>
              <w:ind w:firstLine="0" w:firstLineChars="0"/>
              <w:jc w:val="center"/>
              <w:rPr>
                <w:sz w:val="21"/>
                <w:szCs w:val="21"/>
                <w:highlight w:val="none"/>
              </w:rPr>
            </w:pPr>
            <w:r>
              <w:rPr>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669" w:type="dxa"/>
            <w:vAlign w:val="center"/>
          </w:tcPr>
          <w:p>
            <w:pPr>
              <w:spacing w:line="300" w:lineRule="exact"/>
              <w:ind w:firstLine="0" w:firstLineChars="0"/>
              <w:jc w:val="center"/>
              <w:rPr>
                <w:sz w:val="21"/>
                <w:szCs w:val="21"/>
                <w:highlight w:val="none"/>
              </w:rPr>
            </w:pPr>
            <w:r>
              <w:rPr>
                <w:sz w:val="21"/>
                <w:szCs w:val="21"/>
                <w:highlight w:val="none"/>
              </w:rPr>
              <w:t>70</w:t>
            </w:r>
          </w:p>
        </w:tc>
        <w:tc>
          <w:tcPr>
            <w:tcW w:w="1416" w:type="dxa"/>
            <w:vAlign w:val="center"/>
          </w:tcPr>
          <w:p>
            <w:pPr>
              <w:spacing w:line="300" w:lineRule="exact"/>
              <w:ind w:firstLine="0" w:firstLineChars="0"/>
              <w:jc w:val="center"/>
              <w:rPr>
                <w:sz w:val="21"/>
                <w:szCs w:val="21"/>
                <w:highlight w:val="none"/>
              </w:rPr>
            </w:pPr>
            <w:r>
              <w:rPr>
                <w:sz w:val="21"/>
                <w:szCs w:val="21"/>
                <w:highlight w:val="none"/>
              </w:rPr>
              <w:t>55</w:t>
            </w:r>
          </w:p>
        </w:tc>
        <w:tc>
          <w:tcPr>
            <w:tcW w:w="5437" w:type="dxa"/>
          </w:tcPr>
          <w:p>
            <w:pPr>
              <w:spacing w:line="300" w:lineRule="exact"/>
              <w:ind w:firstLine="0" w:firstLineChars="0"/>
              <w:jc w:val="center"/>
              <w:rPr>
                <w:sz w:val="21"/>
                <w:szCs w:val="21"/>
                <w:highlight w:val="none"/>
              </w:rPr>
            </w:pPr>
            <w:r>
              <w:rPr>
                <w:sz w:val="21"/>
                <w:szCs w:val="21"/>
                <w:highlight w:val="none"/>
              </w:rPr>
              <w:t>《建筑施工场界环境噪声排放标准》（GB12523-2011）</w:t>
            </w:r>
          </w:p>
        </w:tc>
      </w:tr>
      <w:bookmarkEnd w:id="104"/>
    </w:tbl>
    <w:p>
      <w:pPr>
        <w:pStyle w:val="3"/>
        <w:numPr>
          <w:ilvl w:val="3"/>
          <w:numId w:val="1"/>
        </w:numPr>
        <w:ind w:left="0" w:firstLine="0"/>
        <w:rPr>
          <w:b/>
          <w:highlight w:val="none"/>
        </w:rPr>
      </w:pPr>
      <w:r>
        <w:rPr>
          <w:rFonts w:hint="eastAsia" w:eastAsia="宋体"/>
          <w:b/>
          <w:highlight w:val="none"/>
        </w:rPr>
        <w:t>运营期</w:t>
      </w:r>
    </w:p>
    <w:p>
      <w:pPr>
        <w:widowControl/>
        <w:ind w:firstLine="480"/>
        <w:textAlignment w:val="auto"/>
        <w:rPr>
          <w:sz w:val="24"/>
          <w:szCs w:val="24"/>
          <w:highlight w:val="none"/>
        </w:rPr>
      </w:pPr>
      <w:r>
        <w:rPr>
          <w:sz w:val="24"/>
          <w:szCs w:val="24"/>
          <w:highlight w:val="none"/>
        </w:rPr>
        <w:t>（1）废气</w:t>
      </w:r>
    </w:p>
    <w:p>
      <w:pPr>
        <w:widowControl/>
        <w:ind w:firstLine="480"/>
        <w:textAlignment w:val="auto"/>
        <w:rPr>
          <w:sz w:val="24"/>
          <w:szCs w:val="24"/>
          <w:highlight w:val="none"/>
        </w:rPr>
      </w:pPr>
      <w:r>
        <w:rPr>
          <w:sz w:val="24"/>
          <w:szCs w:val="24"/>
          <w:highlight w:val="none"/>
        </w:rPr>
        <w:t>有组织排放颗粒物执行《铁矿采选工业污染物排放标准》（</w:t>
      </w:r>
      <w:bookmarkStart w:id="107" w:name="OLE_LINK5"/>
      <w:bookmarkStart w:id="108" w:name="OLE_LINK4"/>
      <w:r>
        <w:rPr>
          <w:sz w:val="24"/>
          <w:szCs w:val="24"/>
          <w:highlight w:val="none"/>
        </w:rPr>
        <w:t>GB28661</w:t>
      </w:r>
      <w:bookmarkEnd w:id="107"/>
      <w:bookmarkEnd w:id="108"/>
      <w:r>
        <w:rPr>
          <w:sz w:val="24"/>
          <w:szCs w:val="24"/>
          <w:highlight w:val="none"/>
        </w:rPr>
        <w:t>-2012）中表6大气污染物特别排放限值，无组织排放颗粒物执行《铁矿采选工业污染物排放标准》（GB28661-2012）中“表7现有和新建企业大气污染物无组织排放监控浓度限值”。具体见表2.</w:t>
      </w:r>
      <w:r>
        <w:rPr>
          <w:rFonts w:hint="eastAsia"/>
          <w:sz w:val="24"/>
          <w:szCs w:val="24"/>
          <w:highlight w:val="none"/>
        </w:rPr>
        <w:t>4</w:t>
      </w:r>
      <w:r>
        <w:rPr>
          <w:sz w:val="24"/>
          <w:szCs w:val="24"/>
          <w:highlight w:val="none"/>
        </w:rPr>
        <w:t>-</w:t>
      </w:r>
      <w:r>
        <w:rPr>
          <w:rFonts w:hint="eastAsia"/>
          <w:sz w:val="24"/>
          <w:szCs w:val="24"/>
          <w:highlight w:val="none"/>
        </w:rPr>
        <w:t>7</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4</w:t>
      </w:r>
      <w:r>
        <w:rPr>
          <w:rFonts w:eastAsia="黑体"/>
          <w:kern w:val="2"/>
          <w:sz w:val="21"/>
          <w:szCs w:val="21"/>
          <w:highlight w:val="none"/>
        </w:rPr>
        <w:t>-</w:t>
      </w:r>
      <w:r>
        <w:rPr>
          <w:rFonts w:hint="eastAsia" w:eastAsia="黑体"/>
          <w:kern w:val="2"/>
          <w:sz w:val="21"/>
          <w:szCs w:val="21"/>
          <w:highlight w:val="none"/>
        </w:rPr>
        <w:t>7</w:t>
      </w:r>
      <w:r>
        <w:rPr>
          <w:rFonts w:eastAsia="黑体"/>
          <w:kern w:val="2"/>
          <w:sz w:val="21"/>
          <w:szCs w:val="21"/>
          <w:highlight w:val="none"/>
        </w:rPr>
        <w:t>污染物排放标准一览表</w:t>
      </w:r>
    </w:p>
    <w:tbl>
      <w:tblPr>
        <w:tblStyle w:val="48"/>
        <w:tblW w:w="8359"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541"/>
        <w:gridCol w:w="1200"/>
        <w:gridCol w:w="1065"/>
        <w:gridCol w:w="1046"/>
        <w:gridCol w:w="1119"/>
        <w:gridCol w:w="696"/>
        <w:gridCol w:w="269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541" w:type="dxa"/>
            <w:vAlign w:val="center"/>
          </w:tcPr>
          <w:p>
            <w:pPr>
              <w:spacing w:line="240" w:lineRule="auto"/>
              <w:ind w:firstLine="0" w:firstLineChars="0"/>
              <w:jc w:val="center"/>
              <w:rPr>
                <w:kern w:val="2"/>
                <w:sz w:val="21"/>
                <w:szCs w:val="21"/>
                <w:highlight w:val="none"/>
              </w:rPr>
            </w:pPr>
            <w:r>
              <w:rPr>
                <w:kern w:val="2"/>
                <w:sz w:val="21"/>
                <w:szCs w:val="21"/>
                <w:highlight w:val="none"/>
              </w:rPr>
              <w:t>类别</w:t>
            </w:r>
          </w:p>
        </w:tc>
        <w:tc>
          <w:tcPr>
            <w:tcW w:w="1200" w:type="dxa"/>
            <w:vAlign w:val="center"/>
          </w:tcPr>
          <w:p>
            <w:pPr>
              <w:spacing w:line="240" w:lineRule="auto"/>
              <w:ind w:firstLine="0" w:firstLineChars="0"/>
              <w:jc w:val="center"/>
              <w:rPr>
                <w:kern w:val="2"/>
                <w:sz w:val="21"/>
                <w:szCs w:val="21"/>
                <w:highlight w:val="none"/>
              </w:rPr>
            </w:pPr>
            <w:r>
              <w:rPr>
                <w:kern w:val="2"/>
                <w:sz w:val="21"/>
                <w:szCs w:val="21"/>
                <w:highlight w:val="none"/>
              </w:rPr>
              <w:t>污染源</w:t>
            </w:r>
          </w:p>
        </w:tc>
        <w:tc>
          <w:tcPr>
            <w:tcW w:w="1065" w:type="dxa"/>
            <w:vAlign w:val="center"/>
          </w:tcPr>
          <w:p>
            <w:pPr>
              <w:spacing w:line="240" w:lineRule="auto"/>
              <w:ind w:firstLine="0" w:firstLineChars="0"/>
              <w:jc w:val="center"/>
              <w:rPr>
                <w:kern w:val="2"/>
                <w:sz w:val="21"/>
                <w:szCs w:val="21"/>
                <w:highlight w:val="none"/>
              </w:rPr>
            </w:pPr>
            <w:r>
              <w:rPr>
                <w:kern w:val="2"/>
                <w:sz w:val="21"/>
                <w:szCs w:val="21"/>
                <w:highlight w:val="none"/>
              </w:rPr>
              <w:t>项目</w:t>
            </w:r>
          </w:p>
        </w:tc>
        <w:tc>
          <w:tcPr>
            <w:tcW w:w="1046" w:type="dxa"/>
            <w:vAlign w:val="center"/>
          </w:tcPr>
          <w:p>
            <w:pPr>
              <w:spacing w:line="240" w:lineRule="auto"/>
              <w:ind w:firstLine="0" w:firstLineChars="0"/>
              <w:jc w:val="center"/>
              <w:rPr>
                <w:kern w:val="2"/>
                <w:sz w:val="21"/>
                <w:szCs w:val="21"/>
                <w:highlight w:val="none"/>
              </w:rPr>
            </w:pPr>
            <w:r>
              <w:rPr>
                <w:kern w:val="2"/>
                <w:sz w:val="21"/>
                <w:szCs w:val="21"/>
                <w:highlight w:val="none"/>
              </w:rPr>
              <w:t>排放方式</w:t>
            </w:r>
          </w:p>
        </w:tc>
        <w:tc>
          <w:tcPr>
            <w:tcW w:w="1119" w:type="dxa"/>
            <w:vAlign w:val="center"/>
          </w:tcPr>
          <w:p>
            <w:pPr>
              <w:spacing w:line="240" w:lineRule="auto"/>
              <w:ind w:firstLine="0" w:firstLineChars="0"/>
              <w:jc w:val="center"/>
              <w:rPr>
                <w:kern w:val="2"/>
                <w:sz w:val="21"/>
                <w:szCs w:val="21"/>
                <w:highlight w:val="none"/>
              </w:rPr>
            </w:pPr>
            <w:r>
              <w:rPr>
                <w:kern w:val="2"/>
                <w:sz w:val="21"/>
                <w:szCs w:val="21"/>
                <w:highlight w:val="none"/>
              </w:rPr>
              <w:t>标准值</w:t>
            </w:r>
          </w:p>
        </w:tc>
        <w:tc>
          <w:tcPr>
            <w:tcW w:w="696" w:type="dxa"/>
            <w:vAlign w:val="center"/>
          </w:tcPr>
          <w:p>
            <w:pPr>
              <w:spacing w:line="240" w:lineRule="auto"/>
              <w:ind w:firstLine="0" w:firstLineChars="0"/>
              <w:jc w:val="center"/>
              <w:rPr>
                <w:kern w:val="2"/>
                <w:sz w:val="21"/>
                <w:szCs w:val="21"/>
                <w:highlight w:val="none"/>
              </w:rPr>
            </w:pPr>
            <w:r>
              <w:rPr>
                <w:kern w:val="2"/>
                <w:sz w:val="21"/>
                <w:szCs w:val="21"/>
                <w:highlight w:val="none"/>
              </w:rPr>
              <w:t>单位</w:t>
            </w:r>
          </w:p>
        </w:tc>
        <w:tc>
          <w:tcPr>
            <w:tcW w:w="2692" w:type="dxa"/>
            <w:vAlign w:val="center"/>
          </w:tcPr>
          <w:p>
            <w:pPr>
              <w:spacing w:line="240" w:lineRule="auto"/>
              <w:ind w:firstLine="0" w:firstLineChars="0"/>
              <w:jc w:val="center"/>
              <w:rPr>
                <w:kern w:val="2"/>
                <w:sz w:val="21"/>
                <w:szCs w:val="21"/>
                <w:highlight w:val="none"/>
              </w:rPr>
            </w:pPr>
            <w:r>
              <w:rPr>
                <w:kern w:val="2"/>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541" w:type="dxa"/>
            <w:vMerge w:val="restart"/>
            <w:vAlign w:val="center"/>
          </w:tcPr>
          <w:p>
            <w:pPr>
              <w:spacing w:line="240" w:lineRule="auto"/>
              <w:ind w:firstLine="0" w:firstLineChars="0"/>
              <w:jc w:val="center"/>
              <w:rPr>
                <w:kern w:val="2"/>
                <w:sz w:val="21"/>
                <w:szCs w:val="21"/>
                <w:highlight w:val="none"/>
              </w:rPr>
            </w:pPr>
            <w:r>
              <w:rPr>
                <w:kern w:val="2"/>
                <w:sz w:val="21"/>
                <w:szCs w:val="21"/>
                <w:highlight w:val="none"/>
              </w:rPr>
              <w:t>废气</w:t>
            </w:r>
          </w:p>
        </w:tc>
        <w:tc>
          <w:tcPr>
            <w:tcW w:w="1200" w:type="dxa"/>
            <w:vAlign w:val="center"/>
          </w:tcPr>
          <w:p>
            <w:pPr>
              <w:spacing w:line="240" w:lineRule="auto"/>
              <w:ind w:firstLine="0" w:firstLineChars="0"/>
              <w:jc w:val="center"/>
              <w:rPr>
                <w:kern w:val="2"/>
                <w:sz w:val="21"/>
                <w:szCs w:val="21"/>
                <w:highlight w:val="none"/>
              </w:rPr>
            </w:pPr>
            <w:r>
              <w:rPr>
                <w:kern w:val="2"/>
                <w:sz w:val="21"/>
                <w:szCs w:val="21"/>
                <w:highlight w:val="none"/>
              </w:rPr>
              <w:t>选矿厂</w:t>
            </w:r>
          </w:p>
        </w:tc>
        <w:tc>
          <w:tcPr>
            <w:tcW w:w="1065" w:type="dxa"/>
            <w:vAlign w:val="center"/>
          </w:tcPr>
          <w:p>
            <w:pPr>
              <w:spacing w:line="240" w:lineRule="auto"/>
              <w:ind w:firstLine="0" w:firstLineChars="0"/>
              <w:jc w:val="center"/>
              <w:rPr>
                <w:kern w:val="2"/>
                <w:sz w:val="21"/>
                <w:szCs w:val="21"/>
                <w:highlight w:val="none"/>
              </w:rPr>
            </w:pPr>
            <w:r>
              <w:rPr>
                <w:kern w:val="2"/>
                <w:sz w:val="21"/>
                <w:szCs w:val="21"/>
                <w:highlight w:val="none"/>
              </w:rPr>
              <w:t>颗粒物</w:t>
            </w:r>
          </w:p>
        </w:tc>
        <w:tc>
          <w:tcPr>
            <w:tcW w:w="1046" w:type="dxa"/>
            <w:vAlign w:val="center"/>
          </w:tcPr>
          <w:p>
            <w:pPr>
              <w:spacing w:line="240" w:lineRule="auto"/>
              <w:ind w:firstLine="0" w:firstLineChars="0"/>
              <w:jc w:val="center"/>
              <w:rPr>
                <w:kern w:val="2"/>
                <w:sz w:val="21"/>
                <w:szCs w:val="21"/>
                <w:highlight w:val="none"/>
              </w:rPr>
            </w:pPr>
            <w:r>
              <w:rPr>
                <w:kern w:val="2"/>
                <w:sz w:val="21"/>
                <w:szCs w:val="21"/>
                <w:highlight w:val="none"/>
              </w:rPr>
              <w:t>无组织</w:t>
            </w:r>
          </w:p>
        </w:tc>
        <w:tc>
          <w:tcPr>
            <w:tcW w:w="1119" w:type="dxa"/>
            <w:vAlign w:val="center"/>
          </w:tcPr>
          <w:p>
            <w:pPr>
              <w:spacing w:line="240" w:lineRule="auto"/>
              <w:ind w:firstLine="0" w:firstLineChars="0"/>
              <w:jc w:val="center"/>
              <w:rPr>
                <w:kern w:val="2"/>
                <w:sz w:val="21"/>
                <w:szCs w:val="21"/>
                <w:highlight w:val="none"/>
              </w:rPr>
            </w:pPr>
            <w:r>
              <w:rPr>
                <w:kern w:val="2"/>
                <w:sz w:val="21"/>
                <w:szCs w:val="21"/>
                <w:highlight w:val="none"/>
              </w:rPr>
              <w:t>1.0</w:t>
            </w:r>
          </w:p>
        </w:tc>
        <w:tc>
          <w:tcPr>
            <w:tcW w:w="696" w:type="dxa"/>
            <w:vAlign w:val="center"/>
          </w:tcPr>
          <w:p>
            <w:pPr>
              <w:spacing w:line="240" w:lineRule="auto"/>
              <w:ind w:firstLine="0" w:firstLineChars="0"/>
              <w:jc w:val="center"/>
              <w:rPr>
                <w:kern w:val="2"/>
                <w:sz w:val="21"/>
                <w:szCs w:val="21"/>
                <w:highlight w:val="none"/>
              </w:rPr>
            </w:pPr>
            <w:r>
              <w:rPr>
                <w:kern w:val="2"/>
                <w:sz w:val="21"/>
                <w:szCs w:val="21"/>
                <w:highlight w:val="none"/>
              </w:rPr>
              <w:t>mg/m</w:t>
            </w:r>
            <w:r>
              <w:rPr>
                <w:kern w:val="2"/>
                <w:sz w:val="21"/>
                <w:szCs w:val="21"/>
                <w:highlight w:val="none"/>
                <w:vertAlign w:val="superscript"/>
              </w:rPr>
              <w:t>3</w:t>
            </w:r>
          </w:p>
        </w:tc>
        <w:tc>
          <w:tcPr>
            <w:tcW w:w="2692" w:type="dxa"/>
            <w:vAlign w:val="center"/>
          </w:tcPr>
          <w:p>
            <w:pPr>
              <w:spacing w:line="240" w:lineRule="auto"/>
              <w:ind w:firstLine="0" w:firstLineChars="0"/>
              <w:jc w:val="center"/>
              <w:rPr>
                <w:kern w:val="2"/>
                <w:sz w:val="21"/>
                <w:szCs w:val="21"/>
                <w:highlight w:val="none"/>
              </w:rPr>
            </w:pPr>
            <w:r>
              <w:rPr>
                <w:kern w:val="2"/>
                <w:sz w:val="21"/>
                <w:szCs w:val="21"/>
                <w:highlight w:val="none"/>
              </w:rPr>
              <w:t>《铁矿采选工业污染物排放标准》(GB28661-2012)表7无组织排放监控浓度限值</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541" w:type="dxa"/>
            <w:vMerge w:val="continue"/>
            <w:vAlign w:val="center"/>
          </w:tcPr>
          <w:p>
            <w:pPr>
              <w:spacing w:line="240" w:lineRule="auto"/>
              <w:ind w:firstLine="0" w:firstLineChars="0"/>
              <w:rPr>
                <w:kern w:val="2"/>
                <w:sz w:val="21"/>
                <w:szCs w:val="21"/>
                <w:highlight w:val="none"/>
              </w:rPr>
            </w:pPr>
          </w:p>
        </w:tc>
        <w:tc>
          <w:tcPr>
            <w:tcW w:w="1200" w:type="dxa"/>
            <w:vAlign w:val="center"/>
          </w:tcPr>
          <w:p>
            <w:pPr>
              <w:spacing w:line="240" w:lineRule="auto"/>
              <w:ind w:firstLine="0" w:firstLineChars="0"/>
              <w:jc w:val="center"/>
              <w:rPr>
                <w:kern w:val="2"/>
                <w:sz w:val="21"/>
                <w:szCs w:val="21"/>
                <w:highlight w:val="none"/>
              </w:rPr>
            </w:pPr>
            <w:r>
              <w:rPr>
                <w:kern w:val="2"/>
                <w:sz w:val="21"/>
                <w:szCs w:val="21"/>
                <w:highlight w:val="none"/>
              </w:rPr>
              <w:t>矿石破碎、筛分等过程</w:t>
            </w:r>
          </w:p>
        </w:tc>
        <w:tc>
          <w:tcPr>
            <w:tcW w:w="1065" w:type="dxa"/>
            <w:vAlign w:val="center"/>
          </w:tcPr>
          <w:p>
            <w:pPr>
              <w:spacing w:line="240" w:lineRule="auto"/>
              <w:ind w:firstLine="0" w:firstLineChars="0"/>
              <w:jc w:val="center"/>
              <w:rPr>
                <w:kern w:val="2"/>
                <w:sz w:val="21"/>
                <w:szCs w:val="21"/>
                <w:highlight w:val="none"/>
              </w:rPr>
            </w:pPr>
            <w:r>
              <w:rPr>
                <w:kern w:val="2"/>
                <w:sz w:val="21"/>
                <w:szCs w:val="21"/>
                <w:highlight w:val="none"/>
              </w:rPr>
              <w:t>颗粒物</w:t>
            </w:r>
          </w:p>
        </w:tc>
        <w:tc>
          <w:tcPr>
            <w:tcW w:w="1046" w:type="dxa"/>
            <w:vAlign w:val="center"/>
          </w:tcPr>
          <w:p>
            <w:pPr>
              <w:spacing w:line="240" w:lineRule="auto"/>
              <w:ind w:firstLine="0" w:firstLineChars="0"/>
              <w:jc w:val="center"/>
              <w:rPr>
                <w:kern w:val="2"/>
                <w:sz w:val="21"/>
                <w:szCs w:val="21"/>
                <w:highlight w:val="none"/>
              </w:rPr>
            </w:pPr>
            <w:r>
              <w:rPr>
                <w:kern w:val="2"/>
                <w:sz w:val="21"/>
                <w:szCs w:val="21"/>
                <w:highlight w:val="none"/>
              </w:rPr>
              <w:t>有组织</w:t>
            </w:r>
          </w:p>
        </w:tc>
        <w:tc>
          <w:tcPr>
            <w:tcW w:w="1119" w:type="dxa"/>
            <w:vAlign w:val="center"/>
          </w:tcPr>
          <w:p>
            <w:pPr>
              <w:spacing w:line="240" w:lineRule="auto"/>
              <w:ind w:firstLine="0" w:firstLineChars="0"/>
              <w:jc w:val="center"/>
              <w:rPr>
                <w:kern w:val="2"/>
                <w:sz w:val="21"/>
                <w:szCs w:val="21"/>
                <w:highlight w:val="none"/>
              </w:rPr>
            </w:pPr>
            <w:r>
              <w:rPr>
                <w:kern w:val="2"/>
                <w:sz w:val="21"/>
                <w:szCs w:val="21"/>
                <w:highlight w:val="none"/>
              </w:rPr>
              <w:t>10</w:t>
            </w:r>
          </w:p>
        </w:tc>
        <w:tc>
          <w:tcPr>
            <w:tcW w:w="696" w:type="dxa"/>
            <w:vAlign w:val="center"/>
          </w:tcPr>
          <w:p>
            <w:pPr>
              <w:spacing w:line="240" w:lineRule="auto"/>
              <w:ind w:firstLine="0" w:firstLineChars="0"/>
              <w:jc w:val="center"/>
              <w:rPr>
                <w:kern w:val="2"/>
                <w:sz w:val="21"/>
                <w:szCs w:val="21"/>
                <w:highlight w:val="none"/>
              </w:rPr>
            </w:pPr>
            <w:r>
              <w:rPr>
                <w:kern w:val="2"/>
                <w:sz w:val="21"/>
                <w:szCs w:val="21"/>
                <w:highlight w:val="none"/>
              </w:rPr>
              <w:t>mg/m</w:t>
            </w:r>
            <w:r>
              <w:rPr>
                <w:kern w:val="2"/>
                <w:sz w:val="21"/>
                <w:szCs w:val="21"/>
                <w:highlight w:val="none"/>
                <w:vertAlign w:val="superscript"/>
              </w:rPr>
              <w:t>3</w:t>
            </w:r>
          </w:p>
        </w:tc>
        <w:tc>
          <w:tcPr>
            <w:tcW w:w="2692" w:type="dxa"/>
            <w:vAlign w:val="center"/>
          </w:tcPr>
          <w:p>
            <w:pPr>
              <w:spacing w:line="240" w:lineRule="auto"/>
              <w:ind w:firstLine="0" w:firstLineChars="0"/>
              <w:jc w:val="center"/>
              <w:rPr>
                <w:kern w:val="2"/>
                <w:sz w:val="21"/>
                <w:szCs w:val="21"/>
                <w:highlight w:val="none"/>
              </w:rPr>
            </w:pPr>
            <w:r>
              <w:rPr>
                <w:kern w:val="2"/>
                <w:sz w:val="21"/>
                <w:szCs w:val="21"/>
                <w:highlight w:val="none"/>
              </w:rPr>
              <w:t>《铁矿采选工业污染物排放标准》(GB28661-2012)表6生产设施排气筒</w:t>
            </w:r>
          </w:p>
        </w:tc>
      </w:tr>
    </w:tbl>
    <w:p>
      <w:pPr>
        <w:ind w:firstLine="480"/>
        <w:rPr>
          <w:sz w:val="24"/>
          <w:szCs w:val="24"/>
          <w:highlight w:val="none"/>
        </w:rPr>
      </w:pPr>
      <w:r>
        <w:rPr>
          <w:sz w:val="24"/>
          <w:szCs w:val="24"/>
          <w:highlight w:val="none"/>
        </w:rPr>
        <w:t>（2）废水</w:t>
      </w:r>
    </w:p>
    <w:p>
      <w:pPr>
        <w:pStyle w:val="19"/>
        <w:spacing w:after="0" w:line="480" w:lineRule="exact"/>
        <w:ind w:firstLine="480"/>
        <w:jc w:val="both"/>
        <w:rPr>
          <w:rFonts w:hint="eastAsia"/>
          <w:sz w:val="24"/>
          <w:szCs w:val="24"/>
          <w:highlight w:val="none"/>
          <w:lang w:val="en-US" w:eastAsia="zh-CN"/>
        </w:rPr>
      </w:pPr>
      <w:r>
        <w:rPr>
          <w:rFonts w:hint="eastAsia"/>
          <w:sz w:val="24"/>
          <w:szCs w:val="24"/>
          <w:highlight w:val="none"/>
          <w:lang w:val="en-US" w:eastAsia="zh-CN"/>
        </w:rPr>
        <w:t>本项目振筛湿式作业产生的废水经管道自流至北厂区干排系统处理，处理后作为球磨磁选用水回用、不外排。</w:t>
      </w:r>
    </w:p>
    <w:p>
      <w:pPr>
        <w:widowControl/>
        <w:ind w:firstLine="480"/>
        <w:textAlignment w:val="auto"/>
        <w:rPr>
          <w:sz w:val="24"/>
          <w:szCs w:val="24"/>
          <w:highlight w:val="none"/>
        </w:rPr>
      </w:pPr>
      <w:r>
        <w:rPr>
          <w:sz w:val="24"/>
          <w:szCs w:val="24"/>
          <w:highlight w:val="none"/>
        </w:rPr>
        <w:t>（3）噪声</w:t>
      </w:r>
    </w:p>
    <w:p>
      <w:pPr>
        <w:widowControl/>
        <w:ind w:firstLine="480"/>
        <w:textAlignment w:val="auto"/>
        <w:rPr>
          <w:sz w:val="24"/>
          <w:szCs w:val="24"/>
          <w:highlight w:val="none"/>
        </w:rPr>
      </w:pPr>
      <w:r>
        <w:rPr>
          <w:sz w:val="24"/>
          <w:szCs w:val="24"/>
          <w:highlight w:val="none"/>
        </w:rPr>
        <w:t>运营期噪声执行《工业企业厂界环境噪声排放标准》（GB12348-2008）2类标准。标准见表2.</w:t>
      </w:r>
      <w:r>
        <w:rPr>
          <w:rFonts w:hint="eastAsia"/>
          <w:sz w:val="24"/>
          <w:szCs w:val="24"/>
          <w:highlight w:val="none"/>
        </w:rPr>
        <w:t>4</w:t>
      </w:r>
      <w:r>
        <w:rPr>
          <w:sz w:val="24"/>
          <w:szCs w:val="24"/>
          <w:highlight w:val="none"/>
        </w:rPr>
        <w:t>-</w:t>
      </w:r>
      <w:r>
        <w:rPr>
          <w:rFonts w:hint="eastAsia"/>
          <w:sz w:val="24"/>
          <w:szCs w:val="24"/>
          <w:highlight w:val="none"/>
        </w:rPr>
        <w:t>8</w:t>
      </w:r>
      <w:r>
        <w:rPr>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4</w:t>
      </w:r>
      <w:r>
        <w:rPr>
          <w:rFonts w:eastAsia="黑体"/>
          <w:kern w:val="2"/>
          <w:sz w:val="21"/>
          <w:szCs w:val="21"/>
          <w:highlight w:val="none"/>
        </w:rPr>
        <w:t>-</w:t>
      </w:r>
      <w:r>
        <w:rPr>
          <w:rFonts w:hint="eastAsia" w:eastAsia="黑体"/>
          <w:kern w:val="2"/>
          <w:sz w:val="21"/>
          <w:szCs w:val="21"/>
          <w:highlight w:val="none"/>
        </w:rPr>
        <w:t>8</w:t>
      </w:r>
      <w:r>
        <w:rPr>
          <w:rFonts w:eastAsia="黑体"/>
          <w:kern w:val="2"/>
          <w:sz w:val="21"/>
          <w:szCs w:val="21"/>
          <w:highlight w:val="none"/>
        </w:rPr>
        <w:t>运营期噪声排放标准单位：dB（A）</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1057"/>
        <w:gridCol w:w="1058"/>
        <w:gridCol w:w="488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26" w:type="dxa"/>
            <w:vAlign w:val="center"/>
          </w:tcPr>
          <w:p>
            <w:pPr>
              <w:spacing w:line="240" w:lineRule="auto"/>
              <w:ind w:firstLine="0" w:firstLineChars="0"/>
              <w:jc w:val="center"/>
              <w:rPr>
                <w:bCs/>
                <w:sz w:val="21"/>
                <w:szCs w:val="21"/>
                <w:highlight w:val="none"/>
              </w:rPr>
            </w:pPr>
            <w:r>
              <w:rPr>
                <w:bCs/>
                <w:sz w:val="21"/>
                <w:szCs w:val="21"/>
                <w:highlight w:val="none"/>
              </w:rPr>
              <w:t>厂界外声环境功能区类别</w:t>
            </w:r>
          </w:p>
        </w:tc>
        <w:tc>
          <w:tcPr>
            <w:tcW w:w="2115" w:type="dxa"/>
            <w:gridSpan w:val="2"/>
            <w:vAlign w:val="center"/>
          </w:tcPr>
          <w:p>
            <w:pPr>
              <w:spacing w:line="240" w:lineRule="auto"/>
              <w:ind w:firstLine="0" w:firstLineChars="0"/>
              <w:jc w:val="center"/>
              <w:rPr>
                <w:bCs/>
                <w:sz w:val="21"/>
                <w:szCs w:val="21"/>
                <w:highlight w:val="none"/>
              </w:rPr>
            </w:pPr>
            <w:r>
              <w:rPr>
                <w:bCs/>
                <w:sz w:val="21"/>
                <w:szCs w:val="21"/>
                <w:highlight w:val="none"/>
              </w:rPr>
              <w:t>时段</w:t>
            </w:r>
          </w:p>
        </w:tc>
        <w:tc>
          <w:tcPr>
            <w:tcW w:w="4881" w:type="dxa"/>
            <w:vAlign w:val="center"/>
          </w:tcPr>
          <w:p>
            <w:pPr>
              <w:spacing w:line="240" w:lineRule="auto"/>
              <w:ind w:firstLine="0" w:firstLineChars="0"/>
              <w:jc w:val="center"/>
              <w:rPr>
                <w:bCs/>
                <w:sz w:val="21"/>
                <w:szCs w:val="21"/>
                <w:highlight w:val="none"/>
              </w:rPr>
            </w:pPr>
            <w:r>
              <w:rPr>
                <w:bCs/>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26" w:type="dxa"/>
            <w:vMerge w:val="restart"/>
            <w:vAlign w:val="center"/>
          </w:tcPr>
          <w:p>
            <w:pPr>
              <w:spacing w:line="240" w:lineRule="auto"/>
              <w:ind w:firstLine="0" w:firstLineChars="0"/>
              <w:jc w:val="center"/>
              <w:rPr>
                <w:bCs/>
                <w:sz w:val="21"/>
                <w:szCs w:val="21"/>
                <w:highlight w:val="none"/>
              </w:rPr>
            </w:pPr>
            <w:r>
              <w:rPr>
                <w:bCs/>
                <w:sz w:val="21"/>
                <w:szCs w:val="21"/>
                <w:highlight w:val="none"/>
              </w:rPr>
              <w:t>2类</w:t>
            </w:r>
          </w:p>
        </w:tc>
        <w:tc>
          <w:tcPr>
            <w:tcW w:w="1057" w:type="dxa"/>
            <w:vAlign w:val="center"/>
          </w:tcPr>
          <w:p>
            <w:pPr>
              <w:spacing w:line="240" w:lineRule="auto"/>
              <w:ind w:firstLine="0" w:firstLineChars="0"/>
              <w:jc w:val="center"/>
              <w:rPr>
                <w:bCs/>
                <w:sz w:val="21"/>
                <w:szCs w:val="21"/>
                <w:highlight w:val="none"/>
              </w:rPr>
            </w:pPr>
            <w:r>
              <w:rPr>
                <w:bCs/>
                <w:sz w:val="21"/>
                <w:szCs w:val="21"/>
                <w:highlight w:val="none"/>
              </w:rPr>
              <w:t>昼间</w:t>
            </w:r>
          </w:p>
        </w:tc>
        <w:tc>
          <w:tcPr>
            <w:tcW w:w="1058" w:type="dxa"/>
            <w:vAlign w:val="center"/>
          </w:tcPr>
          <w:p>
            <w:pPr>
              <w:spacing w:line="240" w:lineRule="auto"/>
              <w:ind w:firstLine="0" w:firstLineChars="0"/>
              <w:jc w:val="center"/>
              <w:rPr>
                <w:bCs/>
                <w:sz w:val="21"/>
                <w:szCs w:val="21"/>
                <w:highlight w:val="none"/>
              </w:rPr>
            </w:pPr>
            <w:r>
              <w:rPr>
                <w:bCs/>
                <w:sz w:val="21"/>
                <w:szCs w:val="21"/>
                <w:highlight w:val="none"/>
              </w:rPr>
              <w:t>夜间</w:t>
            </w:r>
          </w:p>
        </w:tc>
        <w:tc>
          <w:tcPr>
            <w:tcW w:w="4881" w:type="dxa"/>
            <w:vMerge w:val="restart"/>
            <w:vAlign w:val="center"/>
          </w:tcPr>
          <w:p>
            <w:pPr>
              <w:spacing w:line="240" w:lineRule="auto"/>
              <w:ind w:firstLine="0" w:firstLineChars="0"/>
              <w:jc w:val="center"/>
              <w:rPr>
                <w:bCs/>
                <w:sz w:val="21"/>
                <w:szCs w:val="21"/>
                <w:highlight w:val="none"/>
              </w:rPr>
            </w:pPr>
            <w:r>
              <w:rPr>
                <w:sz w:val="21"/>
                <w:szCs w:val="21"/>
                <w:highlight w:val="none"/>
              </w:rPr>
              <w:t>《工业企业厂界环境噪声排放标准》（GB12348-2008）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26" w:type="dxa"/>
            <w:vMerge w:val="continue"/>
            <w:vAlign w:val="center"/>
          </w:tcPr>
          <w:p>
            <w:pPr>
              <w:spacing w:line="240" w:lineRule="auto"/>
              <w:ind w:firstLine="0" w:firstLineChars="0"/>
              <w:jc w:val="center"/>
              <w:rPr>
                <w:bCs/>
                <w:sz w:val="21"/>
                <w:szCs w:val="21"/>
                <w:highlight w:val="none"/>
              </w:rPr>
            </w:pPr>
          </w:p>
        </w:tc>
        <w:tc>
          <w:tcPr>
            <w:tcW w:w="1057" w:type="dxa"/>
            <w:vAlign w:val="center"/>
          </w:tcPr>
          <w:p>
            <w:pPr>
              <w:spacing w:line="240" w:lineRule="auto"/>
              <w:ind w:firstLine="0" w:firstLineChars="0"/>
              <w:jc w:val="center"/>
              <w:rPr>
                <w:bCs/>
                <w:sz w:val="21"/>
                <w:szCs w:val="21"/>
                <w:highlight w:val="none"/>
              </w:rPr>
            </w:pPr>
            <w:r>
              <w:rPr>
                <w:bCs/>
                <w:sz w:val="21"/>
                <w:szCs w:val="21"/>
                <w:highlight w:val="none"/>
              </w:rPr>
              <w:t>60</w:t>
            </w:r>
          </w:p>
        </w:tc>
        <w:tc>
          <w:tcPr>
            <w:tcW w:w="1058" w:type="dxa"/>
            <w:vAlign w:val="center"/>
          </w:tcPr>
          <w:p>
            <w:pPr>
              <w:spacing w:line="240" w:lineRule="auto"/>
              <w:ind w:firstLine="0" w:firstLineChars="0"/>
              <w:jc w:val="center"/>
              <w:rPr>
                <w:bCs/>
                <w:sz w:val="21"/>
                <w:szCs w:val="21"/>
                <w:highlight w:val="none"/>
              </w:rPr>
            </w:pPr>
            <w:r>
              <w:rPr>
                <w:bCs/>
                <w:sz w:val="21"/>
                <w:szCs w:val="21"/>
                <w:highlight w:val="none"/>
              </w:rPr>
              <w:t>50</w:t>
            </w:r>
          </w:p>
        </w:tc>
        <w:tc>
          <w:tcPr>
            <w:tcW w:w="4881" w:type="dxa"/>
            <w:vMerge w:val="continue"/>
            <w:vAlign w:val="center"/>
          </w:tcPr>
          <w:p>
            <w:pPr>
              <w:spacing w:line="240" w:lineRule="auto"/>
              <w:ind w:firstLine="0" w:firstLineChars="0"/>
              <w:jc w:val="center"/>
              <w:rPr>
                <w:bCs/>
                <w:sz w:val="21"/>
                <w:szCs w:val="21"/>
                <w:highlight w:val="none"/>
              </w:rPr>
            </w:pPr>
          </w:p>
        </w:tc>
      </w:tr>
    </w:tbl>
    <w:p>
      <w:pPr>
        <w:widowControl/>
        <w:ind w:firstLine="480"/>
        <w:textAlignment w:val="auto"/>
        <w:rPr>
          <w:sz w:val="24"/>
          <w:szCs w:val="24"/>
          <w:highlight w:val="none"/>
        </w:rPr>
      </w:pPr>
      <w:r>
        <w:rPr>
          <w:sz w:val="24"/>
          <w:szCs w:val="24"/>
          <w:highlight w:val="none"/>
        </w:rPr>
        <w:t>（4）固体废物</w:t>
      </w:r>
    </w:p>
    <w:p>
      <w:pPr>
        <w:ind w:firstLine="480"/>
        <w:jc w:val="both"/>
        <w:rPr>
          <w:sz w:val="24"/>
          <w:szCs w:val="24"/>
          <w:highlight w:val="none"/>
        </w:rPr>
      </w:pPr>
      <w:r>
        <w:rPr>
          <w:sz w:val="24"/>
          <w:szCs w:val="24"/>
          <w:highlight w:val="none"/>
        </w:rPr>
        <w:t>一般固体废物</w:t>
      </w:r>
      <w:r>
        <w:rPr>
          <w:rFonts w:hint="eastAsia"/>
          <w:sz w:val="24"/>
          <w:szCs w:val="24"/>
          <w:highlight w:val="none"/>
          <w:lang w:eastAsia="zh-CN"/>
        </w:rPr>
        <w:t>贮存</w:t>
      </w:r>
      <w:r>
        <w:rPr>
          <w:sz w:val="24"/>
          <w:szCs w:val="24"/>
          <w:highlight w:val="none"/>
        </w:rPr>
        <w:t>执行</w:t>
      </w:r>
      <w:r>
        <w:rPr>
          <w:rFonts w:hint="eastAsia"/>
          <w:sz w:val="24"/>
          <w:szCs w:val="24"/>
          <w:highlight w:val="none"/>
          <w:lang w:eastAsia="zh-CN"/>
        </w:rPr>
        <w:t>防风、防雨、防渗等</w:t>
      </w:r>
      <w:r>
        <w:rPr>
          <w:rFonts w:hint="eastAsia"/>
          <w:sz w:val="24"/>
          <w:szCs w:val="24"/>
          <w:highlight w:val="none"/>
        </w:rPr>
        <w:t>相关要求</w:t>
      </w:r>
      <w:r>
        <w:rPr>
          <w:sz w:val="24"/>
          <w:szCs w:val="24"/>
          <w:highlight w:val="none"/>
        </w:rPr>
        <w:t>。</w:t>
      </w:r>
    </w:p>
    <w:p>
      <w:pPr>
        <w:ind w:firstLine="480"/>
        <w:jc w:val="both"/>
        <w:rPr>
          <w:sz w:val="24"/>
          <w:szCs w:val="24"/>
          <w:highlight w:val="none"/>
        </w:rPr>
      </w:pPr>
      <w:r>
        <w:rPr>
          <w:sz w:val="24"/>
          <w:szCs w:val="24"/>
          <w:highlight w:val="none"/>
        </w:rPr>
        <w:t>危险废物执行《危险废物贮存污染控制标准》（GB18597-20</w:t>
      </w:r>
      <w:r>
        <w:rPr>
          <w:rFonts w:hint="eastAsia"/>
          <w:sz w:val="24"/>
          <w:szCs w:val="24"/>
          <w:highlight w:val="none"/>
          <w:lang w:val="en-US" w:eastAsia="zh-CN"/>
        </w:rPr>
        <w:t>23</w:t>
      </w:r>
      <w:r>
        <w:rPr>
          <w:sz w:val="24"/>
          <w:szCs w:val="24"/>
          <w:highlight w:val="none"/>
        </w:rPr>
        <w:t>）、《危险废物收集贮存运输技术规范》</w:t>
      </w:r>
      <w:r>
        <w:rPr>
          <w:highlight w:val="none"/>
        </w:rPr>
        <w:fldChar w:fldCharType="begin"/>
      </w:r>
      <w:r>
        <w:rPr>
          <w:highlight w:val="none"/>
        </w:rPr>
        <w:instrText xml:space="preserve"> HYPERLINK "http://kjs.mep.gov.cn/hjbhbz/bzwb/other/hjbhgc/201212/W020121231388626474080.pdf" </w:instrText>
      </w:r>
      <w:r>
        <w:rPr>
          <w:highlight w:val="none"/>
        </w:rPr>
        <w:fldChar w:fldCharType="separate"/>
      </w:r>
      <w:r>
        <w:rPr>
          <w:sz w:val="24"/>
          <w:szCs w:val="24"/>
          <w:highlight w:val="none"/>
        </w:rPr>
        <w:t>（HJ 2025-2012）</w:t>
      </w:r>
      <w:r>
        <w:rPr>
          <w:sz w:val="24"/>
          <w:szCs w:val="24"/>
          <w:highlight w:val="none"/>
        </w:rPr>
        <w:fldChar w:fldCharType="end"/>
      </w:r>
      <w:r>
        <w:rPr>
          <w:sz w:val="24"/>
          <w:szCs w:val="24"/>
          <w:highlight w:val="none"/>
        </w:rPr>
        <w:t>、《危险废物污染防治技术政策》和《危险废物转移联单管理办法》中的有关规定。</w:t>
      </w:r>
    </w:p>
    <w:p>
      <w:pPr>
        <w:ind w:firstLine="480"/>
        <w:jc w:val="both"/>
        <w:rPr>
          <w:sz w:val="24"/>
          <w:szCs w:val="24"/>
          <w:highlight w:val="none"/>
        </w:rPr>
      </w:pPr>
      <w:r>
        <w:rPr>
          <w:sz w:val="24"/>
          <w:szCs w:val="24"/>
          <w:highlight w:val="none"/>
        </w:rPr>
        <w:t>（5）其他标准</w:t>
      </w:r>
    </w:p>
    <w:p>
      <w:pPr>
        <w:ind w:firstLine="480"/>
        <w:jc w:val="both"/>
        <w:rPr>
          <w:sz w:val="24"/>
          <w:szCs w:val="24"/>
          <w:highlight w:val="none"/>
        </w:rPr>
      </w:pPr>
      <w:r>
        <w:rPr>
          <w:rFonts w:hint="eastAsia" w:ascii="宋体" w:hAnsi="宋体" w:cs="宋体"/>
          <w:sz w:val="24"/>
          <w:szCs w:val="24"/>
          <w:highlight w:val="none"/>
        </w:rPr>
        <w:t>①</w:t>
      </w:r>
      <w:r>
        <w:rPr>
          <w:sz w:val="24"/>
          <w:szCs w:val="24"/>
          <w:highlight w:val="none"/>
        </w:rPr>
        <w:t>《危险废物鉴别标准浸出毒性鉴别》（GB5058.3-2007）。</w:t>
      </w:r>
    </w:p>
    <w:p>
      <w:pPr>
        <w:ind w:firstLine="480"/>
        <w:jc w:val="both"/>
        <w:rPr>
          <w:sz w:val="24"/>
          <w:szCs w:val="24"/>
          <w:highlight w:val="none"/>
        </w:rPr>
      </w:pPr>
      <w:bookmarkStart w:id="109" w:name="_Toc222111841"/>
      <w:bookmarkStart w:id="110" w:name="_Toc222111951"/>
      <w:r>
        <w:rPr>
          <w:rFonts w:hint="eastAsia" w:ascii="宋体" w:hAnsi="宋体" w:cs="宋体"/>
          <w:sz w:val="24"/>
          <w:szCs w:val="24"/>
          <w:highlight w:val="none"/>
        </w:rPr>
        <w:t>②</w:t>
      </w:r>
      <w:r>
        <w:rPr>
          <w:sz w:val="24"/>
          <w:szCs w:val="24"/>
          <w:highlight w:val="none"/>
        </w:rPr>
        <w:t>《清洁生产标准铁矿采选业》（HJ/T294－2006）。</w:t>
      </w:r>
    </w:p>
    <w:bookmarkEnd w:id="109"/>
    <w:bookmarkEnd w:id="110"/>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111" w:name="_Toc476574688"/>
      <w:bookmarkStart w:id="112" w:name="_Toc524284661"/>
      <w:bookmarkStart w:id="113" w:name="_Toc521591745"/>
      <w:bookmarkStart w:id="114" w:name="_Toc503218098"/>
      <w:bookmarkStart w:id="115" w:name="_Toc6569"/>
      <w:bookmarkStart w:id="116" w:name="_Toc499651399"/>
      <w:bookmarkStart w:id="117" w:name="_Toc9240"/>
      <w:bookmarkStart w:id="118" w:name="_Toc30664"/>
      <w:bookmarkStart w:id="119" w:name="_Toc536557283"/>
      <w:r>
        <w:rPr>
          <w:rFonts w:ascii="Times New Roman" w:hAnsi="Times New Roman" w:eastAsia="宋体"/>
          <w:bCs w:val="0"/>
          <w:snapToGrid w:val="0"/>
          <w:kern w:val="0"/>
          <w:sz w:val="28"/>
          <w:szCs w:val="28"/>
          <w:highlight w:val="none"/>
        </w:rPr>
        <w:t>评价等级和评价范围</w:t>
      </w:r>
      <w:bookmarkEnd w:id="111"/>
      <w:bookmarkEnd w:id="112"/>
      <w:bookmarkEnd w:id="113"/>
      <w:bookmarkEnd w:id="114"/>
      <w:bookmarkEnd w:id="115"/>
      <w:bookmarkEnd w:id="116"/>
      <w:bookmarkEnd w:id="117"/>
      <w:bookmarkEnd w:id="118"/>
      <w:bookmarkEnd w:id="119"/>
    </w:p>
    <w:p>
      <w:pPr>
        <w:pStyle w:val="6"/>
        <w:numPr>
          <w:ilvl w:val="2"/>
          <w:numId w:val="1"/>
        </w:numPr>
        <w:spacing w:before="0" w:after="0"/>
        <w:ind w:left="567"/>
        <w:rPr>
          <w:szCs w:val="28"/>
          <w:highlight w:val="none"/>
        </w:rPr>
      </w:pPr>
      <w:bookmarkStart w:id="120" w:name="_Toc521591746"/>
      <w:bookmarkStart w:id="121" w:name="_Toc18990"/>
      <w:r>
        <w:rPr>
          <w:szCs w:val="28"/>
          <w:highlight w:val="none"/>
        </w:rPr>
        <w:t>评价等级</w:t>
      </w:r>
      <w:bookmarkEnd w:id="120"/>
      <w:bookmarkEnd w:id="121"/>
    </w:p>
    <w:p>
      <w:pPr>
        <w:pStyle w:val="3"/>
        <w:numPr>
          <w:ilvl w:val="3"/>
          <w:numId w:val="1"/>
        </w:numPr>
        <w:ind w:left="709" w:hanging="709"/>
        <w:rPr>
          <w:rFonts w:eastAsia="宋体"/>
          <w:b/>
          <w:highlight w:val="none"/>
        </w:rPr>
      </w:pPr>
      <w:r>
        <w:rPr>
          <w:rFonts w:eastAsia="宋体"/>
          <w:b/>
          <w:highlight w:val="none"/>
        </w:rPr>
        <w:t>大气环境</w:t>
      </w:r>
    </w:p>
    <w:p>
      <w:pPr>
        <w:ind w:firstLine="480"/>
        <w:rPr>
          <w:sz w:val="24"/>
          <w:szCs w:val="24"/>
          <w:highlight w:val="none"/>
        </w:rPr>
      </w:pPr>
      <w:r>
        <w:rPr>
          <w:rFonts w:hint="eastAsia"/>
          <w:sz w:val="24"/>
          <w:szCs w:val="24"/>
          <w:highlight w:val="none"/>
        </w:rPr>
        <w:t>（1）最大浓度占标率</w:t>
      </w:r>
      <w:r>
        <w:rPr>
          <w:i/>
          <w:sz w:val="24"/>
          <w:szCs w:val="24"/>
          <w:highlight w:val="none"/>
        </w:rPr>
        <w:t>P</w:t>
      </w:r>
      <w:r>
        <w:rPr>
          <w:sz w:val="24"/>
          <w:szCs w:val="24"/>
          <w:highlight w:val="none"/>
          <w:vertAlign w:val="subscript"/>
        </w:rPr>
        <w:t>i</w:t>
      </w:r>
      <w:r>
        <w:rPr>
          <w:rFonts w:hint="eastAsia"/>
          <w:sz w:val="24"/>
          <w:szCs w:val="24"/>
          <w:highlight w:val="none"/>
        </w:rPr>
        <w:t>的确定</w:t>
      </w:r>
    </w:p>
    <w:p>
      <w:pPr>
        <w:ind w:firstLine="480"/>
        <w:rPr>
          <w:sz w:val="24"/>
          <w:szCs w:val="24"/>
          <w:highlight w:val="none"/>
        </w:rPr>
      </w:pPr>
      <w:r>
        <w:rPr>
          <w:sz w:val="24"/>
          <w:szCs w:val="24"/>
          <w:highlight w:val="none"/>
        </w:rPr>
        <w:t>根据《环境影响评价技术导则大气环境》（HJ2.2-20</w:t>
      </w:r>
      <w:r>
        <w:rPr>
          <w:rFonts w:hint="eastAsia"/>
          <w:sz w:val="24"/>
          <w:szCs w:val="24"/>
          <w:highlight w:val="none"/>
        </w:rPr>
        <w:t>18</w:t>
      </w:r>
      <w:r>
        <w:rPr>
          <w:sz w:val="24"/>
          <w:szCs w:val="24"/>
          <w:highlight w:val="none"/>
        </w:rPr>
        <w:t>）中的规定，应选择正常排放的主要污染物及排放参数，计算项目污染源的最大环境影响，然后按评价工作分级判据进行分级。</w:t>
      </w:r>
    </w:p>
    <w:p>
      <w:pPr>
        <w:ind w:firstLine="480"/>
        <w:rPr>
          <w:sz w:val="24"/>
          <w:szCs w:val="24"/>
          <w:highlight w:val="none"/>
        </w:rPr>
      </w:pPr>
      <w:r>
        <w:rPr>
          <w:sz w:val="24"/>
          <w:szCs w:val="24"/>
          <w:highlight w:val="none"/>
        </w:rPr>
        <w:t>《环境影响评价技术导则大气环境》（HJ2.2-20</w:t>
      </w:r>
      <w:r>
        <w:rPr>
          <w:rFonts w:hint="eastAsia"/>
          <w:sz w:val="24"/>
          <w:szCs w:val="24"/>
          <w:highlight w:val="none"/>
        </w:rPr>
        <w:t>18</w:t>
      </w:r>
      <w:r>
        <w:rPr>
          <w:sz w:val="24"/>
          <w:szCs w:val="24"/>
          <w:highlight w:val="none"/>
        </w:rPr>
        <w:t>）中最大地面浓度占标率</w:t>
      </w:r>
      <w:r>
        <w:rPr>
          <w:i/>
          <w:sz w:val="24"/>
          <w:szCs w:val="24"/>
          <w:highlight w:val="none"/>
        </w:rPr>
        <w:t>P</w:t>
      </w:r>
      <w:r>
        <w:rPr>
          <w:sz w:val="24"/>
          <w:szCs w:val="24"/>
          <w:highlight w:val="none"/>
          <w:vertAlign w:val="subscript"/>
        </w:rPr>
        <w:t>i</w:t>
      </w:r>
      <w:r>
        <w:rPr>
          <w:sz w:val="24"/>
          <w:szCs w:val="24"/>
          <w:highlight w:val="none"/>
        </w:rPr>
        <w:t>计算公式为：</w:t>
      </w:r>
    </w:p>
    <w:p>
      <w:pPr>
        <w:ind w:firstLine="0" w:firstLineChars="0"/>
        <w:jc w:val="center"/>
        <w:rPr>
          <w:sz w:val="24"/>
          <w:szCs w:val="24"/>
          <w:highlight w:val="none"/>
        </w:rPr>
      </w:pPr>
      <w:r>
        <w:rPr>
          <w:sz w:val="24"/>
          <w:szCs w:val="24"/>
          <w:highlight w:val="none"/>
        </w:rPr>
        <w:drawing>
          <wp:inline distT="0" distB="0" distL="0" distR="0">
            <wp:extent cx="914400" cy="3962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8" cstate="print"/>
                    <a:srcRect/>
                    <a:stretch>
                      <a:fillRect/>
                    </a:stretch>
                  </pic:blipFill>
                  <pic:spPr>
                    <a:xfrm>
                      <a:off x="0" y="0"/>
                      <a:ext cx="914400" cy="396240"/>
                    </a:xfrm>
                    <a:prstGeom prst="rect">
                      <a:avLst/>
                    </a:prstGeom>
                    <a:noFill/>
                    <a:ln w="9525">
                      <a:noFill/>
                      <a:miter lim="800000"/>
                      <a:headEnd/>
                      <a:tailEnd/>
                    </a:ln>
                  </pic:spPr>
                </pic:pic>
              </a:graphicData>
            </a:graphic>
          </wp:inline>
        </w:drawing>
      </w:r>
    </w:p>
    <w:p>
      <w:pPr>
        <w:ind w:firstLine="480"/>
        <w:rPr>
          <w:sz w:val="24"/>
          <w:szCs w:val="24"/>
          <w:highlight w:val="none"/>
        </w:rPr>
      </w:pPr>
      <w:r>
        <w:rPr>
          <w:sz w:val="24"/>
          <w:szCs w:val="24"/>
          <w:highlight w:val="none"/>
        </w:rPr>
        <w:t>式中：</w:t>
      </w:r>
    </w:p>
    <w:p>
      <w:pPr>
        <w:ind w:firstLine="480"/>
        <w:rPr>
          <w:sz w:val="24"/>
          <w:szCs w:val="24"/>
          <w:highlight w:val="none"/>
        </w:rPr>
      </w:pPr>
      <w:r>
        <w:rPr>
          <w:i/>
          <w:sz w:val="24"/>
          <w:szCs w:val="24"/>
          <w:highlight w:val="none"/>
        </w:rPr>
        <w:t>P</w:t>
      </w:r>
      <w:r>
        <w:rPr>
          <w:sz w:val="24"/>
          <w:szCs w:val="24"/>
          <w:highlight w:val="none"/>
          <w:vertAlign w:val="subscript"/>
        </w:rPr>
        <w:t>i</w:t>
      </w:r>
      <w:r>
        <w:rPr>
          <w:sz w:val="24"/>
          <w:szCs w:val="24"/>
          <w:highlight w:val="none"/>
        </w:rPr>
        <w:t>——第</w:t>
      </w:r>
      <w:r>
        <w:rPr>
          <w:i/>
          <w:sz w:val="24"/>
          <w:szCs w:val="24"/>
          <w:highlight w:val="none"/>
        </w:rPr>
        <w:t>i</w:t>
      </w:r>
      <w:r>
        <w:rPr>
          <w:sz w:val="24"/>
          <w:szCs w:val="24"/>
          <w:highlight w:val="none"/>
        </w:rPr>
        <w:t>个污染物的最大地面</w:t>
      </w:r>
      <w:r>
        <w:rPr>
          <w:rFonts w:hint="eastAsia"/>
          <w:sz w:val="24"/>
          <w:szCs w:val="24"/>
          <w:highlight w:val="none"/>
        </w:rPr>
        <w:t>空气</w:t>
      </w:r>
      <w:r>
        <w:rPr>
          <w:sz w:val="24"/>
          <w:szCs w:val="24"/>
          <w:highlight w:val="none"/>
        </w:rPr>
        <w:t>质量浓度占标率，%；</w:t>
      </w:r>
    </w:p>
    <w:p>
      <w:pPr>
        <w:ind w:firstLine="480"/>
        <w:rPr>
          <w:sz w:val="24"/>
          <w:szCs w:val="24"/>
          <w:highlight w:val="none"/>
        </w:rPr>
      </w:pPr>
      <w:r>
        <w:rPr>
          <w:i/>
          <w:sz w:val="24"/>
          <w:szCs w:val="24"/>
          <w:highlight w:val="none"/>
        </w:rPr>
        <w:t>C</w:t>
      </w:r>
      <w:r>
        <w:rPr>
          <w:sz w:val="24"/>
          <w:szCs w:val="24"/>
          <w:highlight w:val="none"/>
          <w:vertAlign w:val="subscript"/>
        </w:rPr>
        <w:t>i</w:t>
      </w:r>
      <w:r>
        <w:rPr>
          <w:sz w:val="24"/>
          <w:szCs w:val="24"/>
          <w:highlight w:val="none"/>
        </w:rPr>
        <w:t>——采用估算模式计算出的第</w:t>
      </w:r>
      <w:r>
        <w:rPr>
          <w:i/>
          <w:sz w:val="24"/>
          <w:szCs w:val="24"/>
          <w:highlight w:val="none"/>
        </w:rPr>
        <w:t>i</w:t>
      </w:r>
      <w:r>
        <w:rPr>
          <w:sz w:val="24"/>
          <w:szCs w:val="24"/>
          <w:highlight w:val="none"/>
        </w:rPr>
        <w:t>个污染物的最大</w:t>
      </w:r>
      <w:r>
        <w:rPr>
          <w:rFonts w:hint="eastAsia"/>
          <w:sz w:val="24"/>
          <w:szCs w:val="24"/>
          <w:highlight w:val="none"/>
        </w:rPr>
        <w:t>1h</w:t>
      </w:r>
      <w:r>
        <w:rPr>
          <w:sz w:val="24"/>
          <w:szCs w:val="24"/>
          <w:highlight w:val="none"/>
        </w:rPr>
        <w:t>地面</w:t>
      </w:r>
      <w:r>
        <w:rPr>
          <w:rFonts w:hint="eastAsia"/>
          <w:sz w:val="24"/>
          <w:szCs w:val="24"/>
          <w:highlight w:val="none"/>
        </w:rPr>
        <w:t>空气质量</w:t>
      </w:r>
      <w:r>
        <w:rPr>
          <w:sz w:val="24"/>
          <w:szCs w:val="24"/>
          <w:highlight w:val="none"/>
        </w:rPr>
        <w:t>浓度，μg/m</w:t>
      </w:r>
      <w:r>
        <w:rPr>
          <w:sz w:val="24"/>
          <w:szCs w:val="24"/>
          <w:highlight w:val="none"/>
          <w:vertAlign w:val="superscript"/>
        </w:rPr>
        <w:t>3</w:t>
      </w:r>
      <w:r>
        <w:rPr>
          <w:sz w:val="24"/>
          <w:szCs w:val="24"/>
          <w:highlight w:val="none"/>
        </w:rPr>
        <w:t>；</w:t>
      </w:r>
    </w:p>
    <w:p>
      <w:pPr>
        <w:ind w:firstLine="480"/>
        <w:rPr>
          <w:sz w:val="24"/>
          <w:szCs w:val="24"/>
          <w:highlight w:val="none"/>
        </w:rPr>
      </w:pPr>
      <w:r>
        <w:rPr>
          <w:i/>
          <w:sz w:val="24"/>
          <w:szCs w:val="24"/>
          <w:highlight w:val="none"/>
        </w:rPr>
        <w:t>C</w:t>
      </w:r>
      <w:r>
        <w:rPr>
          <w:sz w:val="24"/>
          <w:szCs w:val="24"/>
          <w:highlight w:val="none"/>
          <w:vertAlign w:val="subscript"/>
        </w:rPr>
        <w:t>0i</w:t>
      </w:r>
      <w:r>
        <w:rPr>
          <w:sz w:val="24"/>
          <w:szCs w:val="24"/>
          <w:highlight w:val="none"/>
        </w:rPr>
        <w:t>——第</w:t>
      </w:r>
      <w:r>
        <w:rPr>
          <w:i/>
          <w:sz w:val="24"/>
          <w:szCs w:val="24"/>
          <w:highlight w:val="none"/>
        </w:rPr>
        <w:t>i</w:t>
      </w:r>
      <w:r>
        <w:rPr>
          <w:sz w:val="24"/>
          <w:szCs w:val="24"/>
          <w:highlight w:val="none"/>
        </w:rPr>
        <w:t>个污染物的环境空气质量浓度标准，μg/m</w:t>
      </w:r>
      <w:r>
        <w:rPr>
          <w:sz w:val="24"/>
          <w:szCs w:val="24"/>
          <w:highlight w:val="none"/>
          <w:vertAlign w:val="superscript"/>
        </w:rPr>
        <w:t>3</w:t>
      </w:r>
      <w:r>
        <w:rPr>
          <w:sz w:val="24"/>
          <w:szCs w:val="24"/>
          <w:highlight w:val="none"/>
        </w:rPr>
        <w:t>。</w:t>
      </w:r>
    </w:p>
    <w:p>
      <w:pPr>
        <w:ind w:firstLine="480"/>
        <w:rPr>
          <w:sz w:val="24"/>
          <w:szCs w:val="24"/>
          <w:highlight w:val="none"/>
        </w:rPr>
      </w:pPr>
      <w:r>
        <w:rPr>
          <w:i/>
          <w:sz w:val="24"/>
          <w:szCs w:val="24"/>
          <w:highlight w:val="none"/>
        </w:rPr>
        <w:t>C</w:t>
      </w:r>
      <w:r>
        <w:rPr>
          <w:sz w:val="24"/>
          <w:szCs w:val="24"/>
          <w:highlight w:val="none"/>
          <w:vertAlign w:val="subscript"/>
        </w:rPr>
        <w:t>0i</w:t>
      </w:r>
      <w:r>
        <w:rPr>
          <w:sz w:val="24"/>
          <w:szCs w:val="24"/>
          <w:highlight w:val="none"/>
        </w:rPr>
        <w:t>一般选用GB 3095中1h平均</w:t>
      </w:r>
      <w:r>
        <w:rPr>
          <w:rFonts w:hint="eastAsia"/>
          <w:sz w:val="24"/>
          <w:szCs w:val="24"/>
          <w:highlight w:val="none"/>
        </w:rPr>
        <w:t>质量浓度的二级浓度限值</w:t>
      </w:r>
      <w:r>
        <w:rPr>
          <w:sz w:val="24"/>
          <w:szCs w:val="24"/>
          <w:highlight w:val="none"/>
        </w:rPr>
        <w:t>；对于没有</w:t>
      </w:r>
      <w:r>
        <w:rPr>
          <w:rFonts w:hint="eastAsia"/>
          <w:sz w:val="24"/>
          <w:szCs w:val="24"/>
          <w:highlight w:val="none"/>
        </w:rPr>
        <w:t>1h平均质量</w:t>
      </w:r>
      <w:r>
        <w:rPr>
          <w:sz w:val="24"/>
          <w:szCs w:val="24"/>
          <w:highlight w:val="none"/>
        </w:rPr>
        <w:t>浓度限值的污染物，可取日平均浓度限值的</w:t>
      </w:r>
      <w:r>
        <w:rPr>
          <w:rFonts w:hint="eastAsia"/>
          <w:sz w:val="24"/>
          <w:szCs w:val="24"/>
          <w:highlight w:val="none"/>
        </w:rPr>
        <w:t>3</w:t>
      </w:r>
      <w:r>
        <w:rPr>
          <w:sz w:val="24"/>
          <w:szCs w:val="24"/>
          <w:highlight w:val="none"/>
        </w:rPr>
        <w:t>倍值。</w:t>
      </w:r>
    </w:p>
    <w:p>
      <w:pPr>
        <w:ind w:firstLine="480"/>
        <w:rPr>
          <w:sz w:val="24"/>
          <w:szCs w:val="24"/>
          <w:highlight w:val="none"/>
        </w:rPr>
      </w:pPr>
      <w:r>
        <w:rPr>
          <w:rFonts w:hint="eastAsia"/>
          <w:sz w:val="24"/>
          <w:szCs w:val="24"/>
          <w:highlight w:val="none"/>
        </w:rPr>
        <w:t>（2）</w:t>
      </w:r>
      <w:r>
        <w:rPr>
          <w:sz w:val="24"/>
          <w:szCs w:val="24"/>
          <w:highlight w:val="none"/>
        </w:rPr>
        <w:t>评价等级判别表</w:t>
      </w:r>
    </w:p>
    <w:p>
      <w:pPr>
        <w:ind w:firstLine="480"/>
        <w:rPr>
          <w:sz w:val="24"/>
          <w:szCs w:val="24"/>
          <w:highlight w:val="none"/>
        </w:rPr>
      </w:pPr>
      <w:r>
        <w:rPr>
          <w:sz w:val="24"/>
          <w:szCs w:val="24"/>
          <w:highlight w:val="none"/>
        </w:rPr>
        <w:t>评价等级按下表的分级判据进行划分。</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表2.5-1 评价等级判别表</w:t>
      </w:r>
    </w:p>
    <w:tbl>
      <w:tblPr>
        <w:tblStyle w:val="4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46"/>
        <w:gridCol w:w="42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评价工作等级</w:t>
            </w:r>
          </w:p>
        </w:tc>
        <w:tc>
          <w:tcPr>
            <w:tcW w:w="250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评价工作分级判据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一级评价</w:t>
            </w:r>
          </w:p>
        </w:tc>
        <w:tc>
          <w:tcPr>
            <w:tcW w:w="250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Pmax≧10%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二级评价</w:t>
            </w:r>
          </w:p>
        </w:tc>
        <w:tc>
          <w:tcPr>
            <w:tcW w:w="250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1%≦Pmax&lt;10%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三级评价</w:t>
            </w:r>
          </w:p>
        </w:tc>
        <w:tc>
          <w:tcPr>
            <w:tcW w:w="250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Pmax&lt;1%</w:t>
            </w:r>
          </w:p>
        </w:tc>
      </w:tr>
    </w:tbl>
    <w:p>
      <w:pPr>
        <w:ind w:firstLine="480"/>
        <w:rPr>
          <w:sz w:val="24"/>
          <w:szCs w:val="24"/>
          <w:highlight w:val="none"/>
        </w:rPr>
      </w:pPr>
      <w:r>
        <w:rPr>
          <w:rFonts w:hint="eastAsia"/>
          <w:sz w:val="24"/>
          <w:szCs w:val="24"/>
          <w:highlight w:val="none"/>
        </w:rPr>
        <w:t>（3）评价因子和评价标准</w:t>
      </w:r>
    </w:p>
    <w:p>
      <w:pPr>
        <w:autoSpaceDE w:val="0"/>
        <w:autoSpaceDN w:val="0"/>
        <w:adjustRightInd w:val="0"/>
        <w:ind w:firstLine="480"/>
        <w:rPr>
          <w:sz w:val="24"/>
          <w:szCs w:val="24"/>
          <w:highlight w:val="none"/>
        </w:rPr>
      </w:pPr>
      <w:r>
        <w:rPr>
          <w:sz w:val="24"/>
          <w:szCs w:val="24"/>
          <w:highlight w:val="none"/>
        </w:rPr>
        <w:t>本项目主要废气污染源主要为含水率较低的原矿在堆存、装卸、破碎、筛分等过程产生的颗粒物。根据工程分析结果，选择正常排放的主要污染物及排放参数。</w:t>
      </w:r>
    </w:p>
    <w:p>
      <w:pPr>
        <w:autoSpaceDE w:val="0"/>
        <w:autoSpaceDN w:val="0"/>
        <w:adjustRightInd w:val="0"/>
        <w:ind w:firstLine="480"/>
        <w:rPr>
          <w:sz w:val="24"/>
          <w:szCs w:val="24"/>
          <w:highlight w:val="none"/>
        </w:rPr>
      </w:pPr>
      <w:r>
        <w:rPr>
          <w:rFonts w:hint="eastAsia"/>
          <w:sz w:val="24"/>
          <w:szCs w:val="24"/>
          <w:highlight w:val="none"/>
        </w:rPr>
        <w:t>本项目评价因子及评价标准表见表2.5-2，</w:t>
      </w:r>
      <w:r>
        <w:rPr>
          <w:sz w:val="24"/>
          <w:szCs w:val="24"/>
          <w:highlight w:val="none"/>
        </w:rPr>
        <w:t>主要废气污染源排放参数</w:t>
      </w:r>
      <w:r>
        <w:rPr>
          <w:rFonts w:hint="eastAsia"/>
          <w:sz w:val="24"/>
          <w:szCs w:val="24"/>
          <w:highlight w:val="none"/>
        </w:rPr>
        <w:t>见表2.5-3、表2.5-4。</w:t>
      </w:r>
    </w:p>
    <w:p>
      <w:pPr>
        <w:pStyle w:val="47"/>
        <w:ind w:left="560"/>
        <w:rPr>
          <w:highlight w:val="none"/>
        </w:rPr>
      </w:pP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w:t>
      </w:r>
      <w:r>
        <w:rPr>
          <w:rFonts w:hint="eastAsia" w:eastAsia="黑体"/>
          <w:kern w:val="2"/>
          <w:sz w:val="21"/>
          <w:szCs w:val="21"/>
          <w:highlight w:val="none"/>
        </w:rPr>
        <w:t>2.5-2评价因子和评价标准表</w:t>
      </w:r>
    </w:p>
    <w:tbl>
      <w:tblPr>
        <w:tblStyle w:val="49"/>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55"/>
        <w:gridCol w:w="2153"/>
        <w:gridCol w:w="2233"/>
        <w:gridCol w:w="248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评价因子</w:t>
            </w:r>
          </w:p>
        </w:tc>
        <w:tc>
          <w:tcPr>
            <w:tcW w:w="1263"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取值时间</w:t>
            </w:r>
          </w:p>
        </w:tc>
        <w:tc>
          <w:tcPr>
            <w:tcW w:w="1310"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标准值(μg/m</w:t>
            </w:r>
            <w:r>
              <w:rPr>
                <w:sz w:val="21"/>
                <w:szCs w:val="21"/>
                <w:highlight w:val="none"/>
                <w:vertAlign w:val="superscript"/>
              </w:rPr>
              <w:t>3</w:t>
            </w:r>
            <w:r>
              <w:rPr>
                <w:sz w:val="21"/>
                <w:szCs w:val="21"/>
                <w:highlight w:val="none"/>
              </w:rPr>
              <w:t>)</w:t>
            </w:r>
          </w:p>
        </w:tc>
        <w:tc>
          <w:tcPr>
            <w:tcW w:w="145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PM</w:t>
            </w:r>
            <w:r>
              <w:rPr>
                <w:sz w:val="21"/>
                <w:szCs w:val="21"/>
                <w:highlight w:val="none"/>
                <w:vertAlign w:val="subscript"/>
              </w:rPr>
              <w:t>10</w:t>
            </w:r>
          </w:p>
        </w:tc>
        <w:tc>
          <w:tcPr>
            <w:tcW w:w="1263"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日均</w:t>
            </w:r>
          </w:p>
        </w:tc>
        <w:tc>
          <w:tcPr>
            <w:tcW w:w="1310"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150.0</w:t>
            </w:r>
          </w:p>
        </w:tc>
        <w:tc>
          <w:tcPr>
            <w:tcW w:w="1455"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GB 3095-2012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continue"/>
            <w:tcBorders>
              <w:bottom w:val="single" w:color="auto" w:sz="4" w:space="0"/>
            </w:tcBorders>
            <w:vAlign w:val="center"/>
          </w:tcPr>
          <w:p>
            <w:pPr>
              <w:adjustRightInd w:val="0"/>
              <w:snapToGrid w:val="0"/>
              <w:spacing w:line="240" w:lineRule="auto"/>
              <w:ind w:firstLine="0" w:firstLineChars="0"/>
              <w:jc w:val="center"/>
              <w:rPr>
                <w:sz w:val="21"/>
                <w:szCs w:val="21"/>
                <w:highlight w:val="none"/>
              </w:rPr>
            </w:pPr>
          </w:p>
        </w:tc>
        <w:tc>
          <w:tcPr>
            <w:tcW w:w="1263"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1h平均</w:t>
            </w:r>
          </w:p>
        </w:tc>
        <w:tc>
          <w:tcPr>
            <w:tcW w:w="131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450.0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restart"/>
            <w:tcBorders>
              <w:top w:val="single" w:color="auto" w:sz="4" w:space="0"/>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PM</w:t>
            </w:r>
            <w:r>
              <w:rPr>
                <w:rFonts w:hint="eastAsia"/>
                <w:sz w:val="21"/>
                <w:szCs w:val="21"/>
                <w:highlight w:val="none"/>
              </w:rPr>
              <w:t>2.5</w:t>
            </w:r>
          </w:p>
        </w:tc>
        <w:tc>
          <w:tcPr>
            <w:tcW w:w="1263"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日均</w:t>
            </w:r>
          </w:p>
        </w:tc>
        <w:tc>
          <w:tcPr>
            <w:tcW w:w="131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75.0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continue"/>
            <w:vAlign w:val="center"/>
          </w:tcPr>
          <w:p>
            <w:pPr>
              <w:adjustRightInd w:val="0"/>
              <w:snapToGrid w:val="0"/>
              <w:spacing w:line="240" w:lineRule="auto"/>
              <w:ind w:firstLine="0" w:firstLineChars="0"/>
              <w:jc w:val="center"/>
              <w:rPr>
                <w:sz w:val="21"/>
                <w:szCs w:val="21"/>
                <w:highlight w:val="none"/>
              </w:rPr>
            </w:pPr>
          </w:p>
        </w:tc>
        <w:tc>
          <w:tcPr>
            <w:tcW w:w="1263"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1h平均</w:t>
            </w:r>
          </w:p>
        </w:tc>
        <w:tc>
          <w:tcPr>
            <w:tcW w:w="131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225.0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TSP</w:t>
            </w:r>
          </w:p>
        </w:tc>
        <w:tc>
          <w:tcPr>
            <w:tcW w:w="1263"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日均</w:t>
            </w:r>
          </w:p>
        </w:tc>
        <w:tc>
          <w:tcPr>
            <w:tcW w:w="1310"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300.0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continue"/>
            <w:vAlign w:val="center"/>
          </w:tcPr>
          <w:p>
            <w:pPr>
              <w:adjustRightInd w:val="0"/>
              <w:snapToGrid w:val="0"/>
              <w:spacing w:line="240" w:lineRule="auto"/>
              <w:ind w:firstLine="0" w:firstLineChars="0"/>
              <w:jc w:val="center"/>
              <w:rPr>
                <w:sz w:val="21"/>
                <w:szCs w:val="21"/>
                <w:highlight w:val="none"/>
              </w:rPr>
            </w:pPr>
          </w:p>
        </w:tc>
        <w:tc>
          <w:tcPr>
            <w:tcW w:w="1263"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1h平均</w:t>
            </w:r>
          </w:p>
        </w:tc>
        <w:tc>
          <w:tcPr>
            <w:tcW w:w="131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900.0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bl>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w:t>
      </w:r>
      <w:r>
        <w:rPr>
          <w:rFonts w:hint="eastAsia" w:eastAsia="黑体"/>
          <w:kern w:val="2"/>
          <w:sz w:val="21"/>
          <w:szCs w:val="21"/>
          <w:highlight w:val="none"/>
        </w:rPr>
        <w:t>2.5-3点源</w:t>
      </w:r>
      <w:r>
        <w:rPr>
          <w:rFonts w:eastAsia="黑体"/>
          <w:kern w:val="2"/>
          <w:sz w:val="21"/>
          <w:szCs w:val="21"/>
          <w:highlight w:val="none"/>
        </w:rPr>
        <w:t>大气估算模式的相关参数表</w:t>
      </w:r>
    </w:p>
    <w:tbl>
      <w:tblPr>
        <w:tblStyle w:val="48"/>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390"/>
        <w:gridCol w:w="1543"/>
        <w:gridCol w:w="1244"/>
        <w:gridCol w:w="55"/>
        <w:gridCol w:w="11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参数名称</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单位</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破碎筛分生产线排气筒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预测因子</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w:t>
            </w:r>
          </w:p>
        </w:tc>
        <w:tc>
          <w:tcPr>
            <w:tcW w:w="744"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PM</w:t>
            </w:r>
            <w:r>
              <w:rPr>
                <w:sz w:val="21"/>
                <w:szCs w:val="21"/>
                <w:highlight w:val="none"/>
                <w:vertAlign w:val="subscript"/>
              </w:rPr>
              <w:t>10</w:t>
            </w:r>
          </w:p>
        </w:tc>
        <w:tc>
          <w:tcPr>
            <w:tcW w:w="707" w:type="pct"/>
            <w:gridSpan w:val="2"/>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PM</w:t>
            </w:r>
            <w:r>
              <w:rPr>
                <w:rFonts w:hint="eastAsia"/>
                <w:sz w:val="21"/>
                <w:szCs w:val="21"/>
                <w:highlight w:val="none"/>
                <w:vertAlign w:val="subscript"/>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烟气流量（标况）</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Nm</w:t>
            </w:r>
            <w:r>
              <w:rPr>
                <w:snapToGrid w:val="0"/>
                <w:sz w:val="21"/>
                <w:szCs w:val="21"/>
                <w:highlight w:val="none"/>
                <w:vertAlign w:val="superscript"/>
              </w:rPr>
              <w:t>3</w:t>
            </w:r>
            <w:r>
              <w:rPr>
                <w:snapToGrid w:val="0"/>
                <w:sz w:val="21"/>
                <w:szCs w:val="21"/>
                <w:highlight w:val="none"/>
              </w:rPr>
              <w:t>/s</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污染物排放速率</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kg/h</w:t>
            </w:r>
          </w:p>
        </w:tc>
        <w:tc>
          <w:tcPr>
            <w:tcW w:w="744" w:type="pct"/>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0.36</w:t>
            </w:r>
          </w:p>
        </w:tc>
        <w:tc>
          <w:tcPr>
            <w:tcW w:w="707" w:type="pct"/>
            <w:gridSpan w:val="2"/>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0.18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排气筒几何高度</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m</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排气筒出口内径</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m</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排气筒出口处的烟气温度</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排气筒出口处的环境温度</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城市/乡村选项</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乡村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评价标准</w:t>
            </w:r>
          </w:p>
        </w:tc>
        <w:tc>
          <w:tcPr>
            <w:tcW w:w="923" w:type="pct"/>
            <w:vAlign w:val="center"/>
          </w:tcPr>
          <w:p>
            <w:pPr>
              <w:spacing w:line="240" w:lineRule="auto"/>
              <w:ind w:firstLine="0" w:firstLineChars="0"/>
              <w:jc w:val="center"/>
              <w:rPr>
                <w:snapToGrid w:val="0"/>
                <w:sz w:val="21"/>
                <w:szCs w:val="21"/>
                <w:highlight w:val="none"/>
              </w:rPr>
            </w:pPr>
            <w:r>
              <w:rPr>
                <w:spacing w:val="-10"/>
                <w:sz w:val="21"/>
                <w:szCs w:val="21"/>
                <w:highlight w:val="none"/>
              </w:rPr>
              <w:t>mg/m</w:t>
            </w:r>
            <w:r>
              <w:rPr>
                <w:spacing w:val="-10"/>
                <w:sz w:val="21"/>
                <w:szCs w:val="21"/>
                <w:highlight w:val="none"/>
                <w:vertAlign w:val="superscript"/>
              </w:rPr>
              <w:t>3</w:t>
            </w:r>
          </w:p>
        </w:tc>
        <w:tc>
          <w:tcPr>
            <w:tcW w:w="777" w:type="pct"/>
            <w:gridSpan w:val="2"/>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0.45</w:t>
            </w:r>
          </w:p>
        </w:tc>
        <w:tc>
          <w:tcPr>
            <w:tcW w:w="673" w:type="pct"/>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0.225</w:t>
            </w:r>
          </w:p>
        </w:tc>
      </w:tr>
    </w:tbl>
    <w:p>
      <w:pPr>
        <w:autoSpaceDE w:val="0"/>
        <w:autoSpaceDN w:val="0"/>
        <w:adjustRightInd w:val="0"/>
        <w:ind w:firstLine="420"/>
        <w:rPr>
          <w:sz w:val="21"/>
          <w:szCs w:val="21"/>
          <w:highlight w:val="none"/>
        </w:rPr>
      </w:pPr>
      <w:r>
        <w:rPr>
          <w:sz w:val="21"/>
          <w:szCs w:val="21"/>
          <w:highlight w:val="none"/>
        </w:rPr>
        <w:t xml:space="preserve">注：* </w:t>
      </w:r>
      <w:r>
        <w:rPr>
          <w:snapToGrid w:val="0"/>
          <w:sz w:val="21"/>
          <w:szCs w:val="21"/>
          <w:highlight w:val="none"/>
        </w:rPr>
        <w:t>PM</w:t>
      </w:r>
      <w:r>
        <w:rPr>
          <w:rFonts w:hint="eastAsia"/>
          <w:sz w:val="21"/>
          <w:szCs w:val="21"/>
          <w:highlight w:val="none"/>
          <w:vertAlign w:val="subscript"/>
        </w:rPr>
        <w:t>2.5</w:t>
      </w:r>
      <w:r>
        <w:rPr>
          <w:rFonts w:hint="eastAsia"/>
          <w:sz w:val="21"/>
          <w:szCs w:val="21"/>
          <w:highlight w:val="none"/>
        </w:rPr>
        <w:t>、</w:t>
      </w:r>
      <w:r>
        <w:rPr>
          <w:sz w:val="21"/>
          <w:szCs w:val="21"/>
          <w:highlight w:val="none"/>
        </w:rPr>
        <w:t xml:space="preserve"> </w:t>
      </w:r>
      <w:r>
        <w:rPr>
          <w:snapToGrid w:val="0"/>
          <w:sz w:val="21"/>
          <w:szCs w:val="21"/>
          <w:highlight w:val="none"/>
        </w:rPr>
        <w:t>PM</w:t>
      </w:r>
      <w:r>
        <w:rPr>
          <w:sz w:val="21"/>
          <w:szCs w:val="21"/>
          <w:highlight w:val="none"/>
          <w:vertAlign w:val="subscript"/>
        </w:rPr>
        <w:t>10</w:t>
      </w:r>
      <w:r>
        <w:rPr>
          <w:sz w:val="21"/>
          <w:szCs w:val="21"/>
          <w:highlight w:val="none"/>
        </w:rPr>
        <w:t>取二级标准日平均浓度的3倍</w:t>
      </w:r>
      <w:r>
        <w:rPr>
          <w:rFonts w:hint="eastAsia"/>
          <w:sz w:val="21"/>
          <w:szCs w:val="21"/>
          <w:highlight w:val="none"/>
        </w:rPr>
        <w:t>，</w:t>
      </w:r>
      <w:r>
        <w:rPr>
          <w:snapToGrid w:val="0"/>
          <w:sz w:val="21"/>
          <w:szCs w:val="21"/>
          <w:highlight w:val="none"/>
        </w:rPr>
        <w:t>PM</w:t>
      </w:r>
      <w:r>
        <w:rPr>
          <w:rFonts w:hint="eastAsia"/>
          <w:sz w:val="21"/>
          <w:szCs w:val="21"/>
          <w:highlight w:val="none"/>
          <w:vertAlign w:val="subscript"/>
        </w:rPr>
        <w:t>2.5</w:t>
      </w:r>
      <w:r>
        <w:rPr>
          <w:rFonts w:hint="eastAsia"/>
          <w:sz w:val="21"/>
          <w:szCs w:val="21"/>
          <w:highlight w:val="none"/>
        </w:rPr>
        <w:t>排放速率取</w:t>
      </w:r>
      <w:r>
        <w:rPr>
          <w:sz w:val="21"/>
          <w:szCs w:val="21"/>
          <w:highlight w:val="none"/>
        </w:rPr>
        <w:t xml:space="preserve"> </w:t>
      </w:r>
      <w:r>
        <w:rPr>
          <w:snapToGrid w:val="0"/>
          <w:sz w:val="21"/>
          <w:szCs w:val="21"/>
          <w:highlight w:val="none"/>
        </w:rPr>
        <w:t>PM</w:t>
      </w:r>
      <w:r>
        <w:rPr>
          <w:sz w:val="21"/>
          <w:szCs w:val="21"/>
          <w:highlight w:val="none"/>
          <w:vertAlign w:val="subscript"/>
        </w:rPr>
        <w:t>10</w:t>
      </w:r>
      <w:r>
        <w:rPr>
          <w:rFonts w:hint="eastAsia"/>
          <w:sz w:val="21"/>
          <w:szCs w:val="21"/>
          <w:highlight w:val="none"/>
        </w:rPr>
        <w:t>的50%</w:t>
      </w:r>
      <w:r>
        <w:rPr>
          <w:sz w:val="21"/>
          <w:szCs w:val="21"/>
          <w:highlight w:val="none"/>
        </w:rPr>
        <w:t>。</w:t>
      </w:r>
    </w:p>
    <w:p>
      <w:pPr>
        <w:widowControl/>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w:t>
      </w:r>
      <w:r>
        <w:rPr>
          <w:rFonts w:hint="eastAsia" w:eastAsia="黑体"/>
          <w:kern w:val="2"/>
          <w:sz w:val="21"/>
          <w:szCs w:val="21"/>
          <w:highlight w:val="none"/>
        </w:rPr>
        <w:t>2.5-</w:t>
      </w:r>
      <w:r>
        <w:rPr>
          <w:rFonts w:eastAsia="黑体"/>
          <w:kern w:val="2"/>
          <w:sz w:val="21"/>
          <w:szCs w:val="21"/>
          <w:highlight w:val="none"/>
        </w:rPr>
        <w:t xml:space="preserve">4  </w:t>
      </w:r>
      <w:r>
        <w:rPr>
          <w:rFonts w:hint="eastAsia" w:eastAsia="黑体"/>
          <w:kern w:val="2"/>
          <w:sz w:val="21"/>
          <w:szCs w:val="21"/>
          <w:highlight w:val="none"/>
        </w:rPr>
        <w:t>矩形面源</w:t>
      </w:r>
      <w:r>
        <w:rPr>
          <w:rFonts w:eastAsia="黑体"/>
          <w:kern w:val="2"/>
          <w:sz w:val="21"/>
          <w:szCs w:val="21"/>
          <w:highlight w:val="none"/>
        </w:rPr>
        <w:t>大气估算模式的相关参数表</w:t>
      </w:r>
    </w:p>
    <w:tbl>
      <w:tblPr>
        <w:tblStyle w:val="48"/>
        <w:tblW w:w="8528"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421"/>
        <w:gridCol w:w="689"/>
        <w:gridCol w:w="691"/>
        <w:gridCol w:w="700"/>
        <w:gridCol w:w="613"/>
        <w:gridCol w:w="859"/>
        <w:gridCol w:w="778"/>
        <w:gridCol w:w="545"/>
        <w:gridCol w:w="791"/>
        <w:gridCol w:w="723"/>
        <w:gridCol w:w="71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sz w:val="21"/>
                <w:szCs w:val="21"/>
                <w:highlight w:val="none"/>
              </w:rPr>
              <w:t>污染源名称</w:t>
            </w:r>
          </w:p>
        </w:tc>
        <w:tc>
          <w:tcPr>
            <w:tcW w:w="68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面源形状</w:t>
            </w:r>
          </w:p>
        </w:tc>
        <w:tc>
          <w:tcPr>
            <w:tcW w:w="691"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面源海拔高度/m</w:t>
            </w:r>
          </w:p>
        </w:tc>
        <w:tc>
          <w:tcPr>
            <w:tcW w:w="700" w:type="dxa"/>
            <w:vAlign w:val="center"/>
          </w:tcPr>
          <w:p>
            <w:pPr>
              <w:tabs>
                <w:tab w:val="left" w:pos="0"/>
              </w:tabs>
              <w:spacing w:line="240" w:lineRule="auto"/>
              <w:ind w:firstLine="0" w:firstLineChars="0"/>
              <w:jc w:val="center"/>
              <w:rPr>
                <w:sz w:val="21"/>
                <w:szCs w:val="21"/>
                <w:highlight w:val="none"/>
              </w:rPr>
            </w:pPr>
            <w:r>
              <w:rPr>
                <w:sz w:val="21"/>
                <w:szCs w:val="21"/>
                <w:highlight w:val="none"/>
              </w:rPr>
              <w:t>长度</w:t>
            </w:r>
          </w:p>
          <w:p>
            <w:pPr>
              <w:tabs>
                <w:tab w:val="left" w:pos="0"/>
              </w:tabs>
              <w:spacing w:line="240" w:lineRule="auto"/>
              <w:ind w:firstLine="0" w:firstLineChars="0"/>
              <w:jc w:val="center"/>
              <w:rPr>
                <w:sz w:val="21"/>
                <w:szCs w:val="21"/>
                <w:highlight w:val="none"/>
              </w:rPr>
            </w:pPr>
            <w:r>
              <w:rPr>
                <w:sz w:val="21"/>
                <w:szCs w:val="21"/>
                <w:highlight w:val="none"/>
              </w:rPr>
              <w:t>(m)</w:t>
            </w:r>
          </w:p>
        </w:tc>
        <w:tc>
          <w:tcPr>
            <w:tcW w:w="613" w:type="dxa"/>
            <w:vAlign w:val="center"/>
          </w:tcPr>
          <w:p>
            <w:pPr>
              <w:tabs>
                <w:tab w:val="left" w:pos="0"/>
              </w:tabs>
              <w:spacing w:line="240" w:lineRule="auto"/>
              <w:ind w:firstLine="0" w:firstLineChars="0"/>
              <w:jc w:val="center"/>
              <w:rPr>
                <w:bCs/>
                <w:sz w:val="21"/>
                <w:szCs w:val="21"/>
                <w:highlight w:val="none"/>
              </w:rPr>
            </w:pPr>
            <w:r>
              <w:rPr>
                <w:bCs/>
                <w:sz w:val="21"/>
                <w:szCs w:val="21"/>
                <w:highlight w:val="none"/>
              </w:rPr>
              <w:t>宽度</w:t>
            </w:r>
            <w:r>
              <w:rPr>
                <w:sz w:val="21"/>
                <w:szCs w:val="21"/>
                <w:highlight w:val="none"/>
              </w:rPr>
              <w:t>(m)</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面源初始排放高度</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与正北方向夹角</w:t>
            </w:r>
            <w:r>
              <w:rPr>
                <w:sz w:val="21"/>
                <w:szCs w:val="21"/>
                <w:highlight w:val="none"/>
              </w:rPr>
              <w:t>/°</w:t>
            </w:r>
          </w:p>
        </w:tc>
        <w:tc>
          <w:tcPr>
            <w:tcW w:w="545"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排放工况</w:t>
            </w:r>
          </w:p>
        </w:tc>
        <w:tc>
          <w:tcPr>
            <w:tcW w:w="791"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年排放小时数</w:t>
            </w: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污染因</w:t>
            </w:r>
            <w:r>
              <w:rPr>
                <w:rFonts w:hint="eastAsia"/>
                <w:sz w:val="21"/>
                <w:szCs w:val="21"/>
                <w:highlight w:val="none"/>
              </w:rPr>
              <w:t>子</w:t>
            </w:r>
          </w:p>
        </w:tc>
        <w:tc>
          <w:tcPr>
            <w:tcW w:w="718" w:type="dxa"/>
            <w:vAlign w:val="center"/>
          </w:tcPr>
          <w:p>
            <w:pPr>
              <w:tabs>
                <w:tab w:val="left" w:pos="0"/>
              </w:tabs>
              <w:spacing w:line="240" w:lineRule="auto"/>
              <w:ind w:firstLine="0" w:firstLineChars="0"/>
              <w:jc w:val="center"/>
              <w:rPr>
                <w:sz w:val="21"/>
                <w:szCs w:val="21"/>
                <w:highlight w:val="none"/>
              </w:rPr>
            </w:pPr>
            <w:r>
              <w:rPr>
                <w:sz w:val="21"/>
                <w:szCs w:val="21"/>
                <w:highlight w:val="none"/>
              </w:rPr>
              <w:t>源强（</w:t>
            </w:r>
            <w:r>
              <w:rPr>
                <w:snapToGrid w:val="0"/>
                <w:sz w:val="21"/>
                <w:szCs w:val="21"/>
                <w:highlight w:val="none"/>
              </w:rPr>
              <w:t>kg/h</w:t>
            </w:r>
            <w:r>
              <w:rPr>
                <w:sz w:val="21"/>
                <w:szCs w:val="21"/>
                <w:highlight w:val="none"/>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05"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sz w:val="21"/>
                <w:szCs w:val="21"/>
                <w:highlight w:val="none"/>
              </w:rPr>
              <w:t>破碎车间</w:t>
            </w:r>
          </w:p>
        </w:tc>
        <w:tc>
          <w:tcPr>
            <w:tcW w:w="689" w:type="dxa"/>
            <w:tcBorders>
              <w:bottom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矩形</w:t>
            </w:r>
          </w:p>
        </w:tc>
        <w:tc>
          <w:tcPr>
            <w:tcW w:w="691" w:type="dxa"/>
            <w:tcBorders>
              <w:left w:val="single" w:color="auto" w:sz="4" w:space="0"/>
              <w:bottom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44.95</w:t>
            </w:r>
          </w:p>
        </w:tc>
        <w:tc>
          <w:tcPr>
            <w:tcW w:w="700"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50</w:t>
            </w:r>
          </w:p>
        </w:tc>
        <w:tc>
          <w:tcPr>
            <w:tcW w:w="613" w:type="dxa"/>
            <w:vAlign w:val="center"/>
          </w:tcPr>
          <w:p>
            <w:pPr>
              <w:tabs>
                <w:tab w:val="left" w:pos="0"/>
              </w:tabs>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20</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13</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w:t>
            </w:r>
          </w:p>
        </w:tc>
        <w:tc>
          <w:tcPr>
            <w:tcW w:w="545" w:type="dxa"/>
            <w:vMerge w:val="restart"/>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正常工况</w:t>
            </w:r>
          </w:p>
        </w:tc>
        <w:tc>
          <w:tcPr>
            <w:tcW w:w="791" w:type="dxa"/>
            <w:vMerge w:val="restart"/>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7200h</w:t>
            </w: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TSP</w:t>
            </w:r>
          </w:p>
        </w:tc>
        <w:tc>
          <w:tcPr>
            <w:tcW w:w="718"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0.038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lang w:val="en-US" w:eastAsia="zh-CN"/>
              </w:rPr>
              <w:t>成品</w:t>
            </w:r>
            <w:r>
              <w:rPr>
                <w:sz w:val="21"/>
                <w:szCs w:val="21"/>
                <w:highlight w:val="none"/>
              </w:rPr>
              <w:t>库</w:t>
            </w:r>
          </w:p>
        </w:tc>
        <w:tc>
          <w:tcPr>
            <w:tcW w:w="689" w:type="dxa"/>
            <w:tcBorders>
              <w:top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矩形</w:t>
            </w:r>
          </w:p>
        </w:tc>
        <w:tc>
          <w:tcPr>
            <w:tcW w:w="691" w:type="dxa"/>
            <w:tcBorders>
              <w:top w:val="single" w:color="auto" w:sz="4" w:space="0"/>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44.95</w:t>
            </w:r>
          </w:p>
        </w:tc>
        <w:tc>
          <w:tcPr>
            <w:tcW w:w="700"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40</w:t>
            </w:r>
          </w:p>
        </w:tc>
        <w:tc>
          <w:tcPr>
            <w:tcW w:w="613" w:type="dxa"/>
            <w:vAlign w:val="center"/>
          </w:tcPr>
          <w:p>
            <w:pPr>
              <w:tabs>
                <w:tab w:val="left" w:pos="0"/>
              </w:tabs>
              <w:spacing w:line="240" w:lineRule="auto"/>
              <w:ind w:firstLine="0" w:firstLineChars="0"/>
              <w:rPr>
                <w:rFonts w:hint="default" w:eastAsia="宋体"/>
                <w:bCs/>
                <w:sz w:val="21"/>
                <w:szCs w:val="21"/>
                <w:highlight w:val="none"/>
                <w:lang w:val="en-US" w:eastAsia="zh-CN"/>
              </w:rPr>
            </w:pPr>
            <w:r>
              <w:rPr>
                <w:rFonts w:hint="eastAsia"/>
                <w:bCs/>
                <w:sz w:val="21"/>
                <w:szCs w:val="21"/>
                <w:highlight w:val="none"/>
                <w:lang w:val="en-US" w:eastAsia="zh-CN"/>
              </w:rPr>
              <w:t>10</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1</w:t>
            </w:r>
            <w:r>
              <w:rPr>
                <w:rFonts w:hint="eastAsia"/>
                <w:sz w:val="21"/>
                <w:szCs w:val="21"/>
                <w:highlight w:val="none"/>
              </w:rPr>
              <w:t>3</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w:t>
            </w:r>
          </w:p>
        </w:tc>
        <w:tc>
          <w:tcPr>
            <w:tcW w:w="545" w:type="dxa"/>
            <w:vMerge w:val="continue"/>
            <w:tcBorders>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791" w:type="dxa"/>
            <w:vMerge w:val="continue"/>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TSP</w:t>
            </w:r>
          </w:p>
        </w:tc>
        <w:tc>
          <w:tcPr>
            <w:tcW w:w="718" w:type="dxa"/>
            <w:vAlign w:val="center"/>
          </w:tcPr>
          <w:p>
            <w:pPr>
              <w:tabs>
                <w:tab w:val="left" w:pos="0"/>
              </w:tabs>
              <w:spacing w:line="240" w:lineRule="auto"/>
              <w:ind w:firstLine="0" w:firstLineChars="0"/>
              <w:jc w:val="center"/>
              <w:rPr>
                <w:sz w:val="21"/>
                <w:szCs w:val="21"/>
                <w:highlight w:val="none"/>
              </w:rPr>
            </w:pPr>
            <w:r>
              <w:rPr>
                <w:sz w:val="21"/>
                <w:szCs w:val="21"/>
                <w:highlight w:val="none"/>
              </w:rPr>
              <w:t>0.1</w:t>
            </w:r>
            <w:r>
              <w:rPr>
                <w:rFonts w:hint="eastAsia"/>
                <w:sz w:val="21"/>
                <w:szCs w:val="21"/>
                <w:highlight w:val="none"/>
              </w:rPr>
              <w:t>9</w:t>
            </w:r>
          </w:p>
        </w:tc>
      </w:tr>
    </w:tbl>
    <w:p>
      <w:pPr>
        <w:widowControl/>
        <w:spacing w:line="240" w:lineRule="auto"/>
        <w:ind w:firstLine="0" w:firstLineChars="0"/>
        <w:textAlignment w:val="auto"/>
        <w:rPr>
          <w:rFonts w:eastAsia="黑体"/>
          <w:kern w:val="2"/>
          <w:sz w:val="21"/>
          <w:szCs w:val="21"/>
          <w:highlight w:val="none"/>
        </w:rPr>
      </w:pPr>
    </w:p>
    <w:p>
      <w:pPr>
        <w:autoSpaceDE w:val="0"/>
        <w:autoSpaceDN w:val="0"/>
        <w:adjustRightInd w:val="0"/>
        <w:ind w:firstLine="480"/>
        <w:rPr>
          <w:sz w:val="24"/>
          <w:szCs w:val="24"/>
          <w:highlight w:val="none"/>
        </w:rPr>
      </w:pPr>
      <w:r>
        <w:rPr>
          <w:rFonts w:hint="eastAsia"/>
          <w:sz w:val="24"/>
          <w:szCs w:val="24"/>
          <w:highlight w:val="none"/>
        </w:rPr>
        <w:t>（4）估算模型参数</w:t>
      </w:r>
    </w:p>
    <w:p>
      <w:pPr>
        <w:autoSpaceDE w:val="0"/>
        <w:autoSpaceDN w:val="0"/>
        <w:adjustRightInd w:val="0"/>
        <w:ind w:firstLine="480"/>
        <w:rPr>
          <w:sz w:val="24"/>
          <w:szCs w:val="24"/>
          <w:highlight w:val="none"/>
        </w:rPr>
      </w:pPr>
      <w:r>
        <w:rPr>
          <w:sz w:val="24"/>
          <w:szCs w:val="24"/>
          <w:highlight w:val="none"/>
        </w:rPr>
        <w:t>估算模式参数取值见表</w:t>
      </w:r>
      <w:r>
        <w:rPr>
          <w:rFonts w:hint="eastAsia"/>
          <w:sz w:val="24"/>
          <w:szCs w:val="24"/>
          <w:highlight w:val="none"/>
        </w:rPr>
        <w:t>2.5-5</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w:t>
      </w:r>
      <w:r>
        <w:rPr>
          <w:rFonts w:hint="eastAsia" w:eastAsia="黑体"/>
          <w:kern w:val="2"/>
          <w:sz w:val="21"/>
          <w:szCs w:val="21"/>
          <w:highlight w:val="none"/>
        </w:rPr>
        <w:t xml:space="preserve">2.5-5 </w:t>
      </w:r>
      <w:r>
        <w:rPr>
          <w:rFonts w:eastAsia="黑体"/>
          <w:kern w:val="2"/>
          <w:sz w:val="21"/>
          <w:szCs w:val="21"/>
          <w:highlight w:val="none"/>
        </w:rPr>
        <w:t>估算模型参数表</w:t>
      </w:r>
    </w:p>
    <w:tbl>
      <w:tblPr>
        <w:tblStyle w:val="4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33"/>
        <w:gridCol w:w="2618"/>
        <w:gridCol w:w="337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参数</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取值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城市农村/选项</w:t>
            </w: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城市/农村</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农村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continue"/>
            <w:vAlign w:val="center"/>
          </w:tcPr>
          <w:p>
            <w:pPr>
              <w:adjustRightInd w:val="0"/>
              <w:snapToGrid w:val="0"/>
              <w:spacing w:line="240" w:lineRule="auto"/>
              <w:ind w:firstLine="0" w:firstLineChars="0"/>
              <w:jc w:val="center"/>
              <w:rPr>
                <w:sz w:val="21"/>
                <w:szCs w:val="21"/>
                <w:highlight w:val="none"/>
              </w:rPr>
            </w:pP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人口数(城市人口数)</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最高环境温度</w:t>
            </w:r>
          </w:p>
        </w:tc>
        <w:tc>
          <w:tcPr>
            <w:tcW w:w="1978"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40.5</w:t>
            </w:r>
            <w:r>
              <w:rPr>
                <w:sz w:val="21"/>
                <w:szCs w:val="21"/>
                <w:highlight w:val="none"/>
              </w:rPr>
              <w:t xml:space="preserve"> °C</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最低环境温度</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w:t>
            </w:r>
            <w:r>
              <w:rPr>
                <w:rFonts w:hint="eastAsia"/>
                <w:sz w:val="21"/>
                <w:szCs w:val="21"/>
                <w:highlight w:val="none"/>
              </w:rPr>
              <w:t>21.5</w:t>
            </w:r>
            <w:r>
              <w:rPr>
                <w:sz w:val="21"/>
                <w:szCs w:val="21"/>
                <w:highlight w:val="none"/>
              </w:rPr>
              <w:t xml:space="preserve"> °C</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土地利用类型</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农田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区域湿度条件</w:t>
            </w:r>
          </w:p>
        </w:tc>
        <w:tc>
          <w:tcPr>
            <w:tcW w:w="1978"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中等湿度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是否考虑地形</w:t>
            </w: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考虑地形</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continue"/>
            <w:vAlign w:val="center"/>
          </w:tcPr>
          <w:p>
            <w:pPr>
              <w:adjustRightInd w:val="0"/>
              <w:snapToGrid w:val="0"/>
              <w:spacing w:line="240" w:lineRule="auto"/>
              <w:ind w:firstLine="0" w:firstLineChars="0"/>
              <w:jc w:val="center"/>
              <w:rPr>
                <w:sz w:val="21"/>
                <w:szCs w:val="21"/>
                <w:highlight w:val="none"/>
              </w:rPr>
            </w:pP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地形数据分辨率(m)</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是否考虑海岸线熏烟</w:t>
            </w: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考虑海岸线熏烟</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continue"/>
            <w:vAlign w:val="center"/>
          </w:tcPr>
          <w:p>
            <w:pPr>
              <w:adjustRightInd w:val="0"/>
              <w:snapToGrid w:val="0"/>
              <w:spacing w:line="240" w:lineRule="auto"/>
              <w:ind w:firstLine="0" w:firstLineChars="0"/>
              <w:jc w:val="center"/>
              <w:rPr>
                <w:sz w:val="21"/>
                <w:szCs w:val="21"/>
                <w:highlight w:val="none"/>
              </w:rPr>
            </w:pP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海岸线距离/km</w:t>
            </w:r>
          </w:p>
        </w:tc>
        <w:tc>
          <w:tcPr>
            <w:tcW w:w="1978"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continue"/>
            <w:vAlign w:val="center"/>
          </w:tcPr>
          <w:p>
            <w:pPr>
              <w:adjustRightInd w:val="0"/>
              <w:snapToGrid w:val="0"/>
              <w:spacing w:line="240" w:lineRule="auto"/>
              <w:ind w:firstLine="0" w:firstLineChars="0"/>
              <w:jc w:val="center"/>
              <w:rPr>
                <w:sz w:val="21"/>
                <w:szCs w:val="21"/>
                <w:highlight w:val="none"/>
              </w:rPr>
            </w:pP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海岸线方向/o</w:t>
            </w:r>
          </w:p>
        </w:tc>
        <w:tc>
          <w:tcPr>
            <w:tcW w:w="1978"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w:t>
            </w:r>
          </w:p>
        </w:tc>
      </w:tr>
    </w:tbl>
    <w:p>
      <w:pPr>
        <w:autoSpaceDE w:val="0"/>
        <w:autoSpaceDN w:val="0"/>
        <w:adjustRightInd w:val="0"/>
        <w:ind w:firstLine="480"/>
        <w:rPr>
          <w:sz w:val="24"/>
          <w:szCs w:val="24"/>
          <w:highlight w:val="none"/>
        </w:rPr>
      </w:pPr>
      <w:r>
        <w:rPr>
          <w:rFonts w:hint="eastAsia"/>
          <w:sz w:val="24"/>
          <w:szCs w:val="24"/>
          <w:highlight w:val="none"/>
        </w:rPr>
        <w:t>（5）</w:t>
      </w:r>
      <w:r>
        <w:rPr>
          <w:sz w:val="24"/>
          <w:szCs w:val="24"/>
          <w:highlight w:val="none"/>
        </w:rPr>
        <w:t>评级工作等级确定</w:t>
      </w:r>
    </w:p>
    <w:p>
      <w:pPr>
        <w:autoSpaceDE w:val="0"/>
        <w:autoSpaceDN w:val="0"/>
        <w:adjustRightInd w:val="0"/>
        <w:ind w:firstLine="480"/>
        <w:rPr>
          <w:sz w:val="24"/>
          <w:szCs w:val="24"/>
          <w:highlight w:val="none"/>
        </w:rPr>
      </w:pPr>
      <w:r>
        <w:rPr>
          <w:sz w:val="24"/>
          <w:szCs w:val="24"/>
          <w:highlight w:val="none"/>
        </w:rPr>
        <w:t>采用估算模式分别计算本项目大气污染物的最大地面浓度及其占标率，估算结果见表2.</w:t>
      </w:r>
      <w:r>
        <w:rPr>
          <w:rFonts w:hint="eastAsia"/>
          <w:sz w:val="24"/>
          <w:szCs w:val="24"/>
          <w:highlight w:val="none"/>
        </w:rPr>
        <w:t>5</w:t>
      </w:r>
      <w:r>
        <w:rPr>
          <w:sz w:val="24"/>
          <w:szCs w:val="24"/>
          <w:highlight w:val="none"/>
        </w:rPr>
        <w:t>-</w:t>
      </w:r>
      <w:r>
        <w:rPr>
          <w:rFonts w:hint="eastAsia"/>
          <w:sz w:val="24"/>
          <w:szCs w:val="24"/>
          <w:highlight w:val="none"/>
        </w:rPr>
        <w:t>6</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5</w:t>
      </w:r>
      <w:r>
        <w:rPr>
          <w:rFonts w:eastAsia="黑体"/>
          <w:kern w:val="2"/>
          <w:sz w:val="21"/>
          <w:szCs w:val="21"/>
          <w:highlight w:val="none"/>
        </w:rPr>
        <w:t>-</w:t>
      </w:r>
      <w:r>
        <w:rPr>
          <w:rFonts w:hint="eastAsia" w:eastAsia="黑体"/>
          <w:kern w:val="2"/>
          <w:sz w:val="21"/>
          <w:szCs w:val="21"/>
          <w:highlight w:val="none"/>
        </w:rPr>
        <w:t xml:space="preserve">6  </w:t>
      </w:r>
      <w:r>
        <w:rPr>
          <w:rFonts w:eastAsia="黑体"/>
          <w:kern w:val="2"/>
          <w:sz w:val="21"/>
          <w:szCs w:val="21"/>
          <w:highlight w:val="none"/>
        </w:rPr>
        <w:t>估算模式计算结果</w:t>
      </w:r>
    </w:p>
    <w:tbl>
      <w:tblPr>
        <w:tblStyle w:val="48"/>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89"/>
        <w:gridCol w:w="492"/>
        <w:gridCol w:w="535"/>
        <w:gridCol w:w="1657"/>
        <w:gridCol w:w="1299"/>
        <w:gridCol w:w="1131"/>
        <w:gridCol w:w="145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683" w:type="pct"/>
            <w:gridSpan w:val="3"/>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污染源名称</w:t>
            </w:r>
          </w:p>
        </w:tc>
        <w:tc>
          <w:tcPr>
            <w:tcW w:w="990"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Cmax</w:t>
            </w:r>
          </w:p>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w:t>
            </w:r>
            <w:r>
              <w:rPr>
                <w:sz w:val="21"/>
                <w:szCs w:val="21"/>
                <w:highlight w:val="none"/>
              </w:rPr>
              <w:t>μg/m</w:t>
            </w:r>
            <w:r>
              <w:rPr>
                <w:sz w:val="21"/>
                <w:szCs w:val="21"/>
                <w:highlight w:val="none"/>
                <w:vertAlign w:val="superscript"/>
              </w:rPr>
              <w:t>3</w:t>
            </w:r>
            <w:r>
              <w:rPr>
                <w:kern w:val="2"/>
                <w:sz w:val="21"/>
                <w:szCs w:val="21"/>
                <w:highlight w:val="none"/>
              </w:rPr>
              <w:t>）</w:t>
            </w:r>
          </w:p>
        </w:tc>
        <w:tc>
          <w:tcPr>
            <w:tcW w:w="776"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Pmax</w:t>
            </w:r>
          </w:p>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w:t>
            </w:r>
          </w:p>
        </w:tc>
        <w:tc>
          <w:tcPr>
            <w:tcW w:w="676"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D10%</w:t>
            </w:r>
          </w:p>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（m）</w:t>
            </w:r>
          </w:p>
        </w:tc>
        <w:tc>
          <w:tcPr>
            <w:tcW w:w="872"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评价工作</w:t>
            </w:r>
          </w:p>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等级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69" w:type="pct"/>
            <w:vMerge w:val="restar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破碎</w:t>
            </w:r>
            <w:r>
              <w:rPr>
                <w:rFonts w:hint="eastAsia"/>
                <w:kern w:val="2"/>
                <w:sz w:val="21"/>
                <w:szCs w:val="21"/>
                <w:highlight w:val="none"/>
              </w:rPr>
              <w:t>筛分生产线</w:t>
            </w:r>
          </w:p>
        </w:tc>
        <w:tc>
          <w:tcPr>
            <w:tcW w:w="294" w:type="pct"/>
            <w:vMerge w:val="restart"/>
            <w:tcBorders>
              <w:right w:val="single" w:color="auto" w:sz="4" w:space="0"/>
            </w:tcBorders>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点源</w:t>
            </w:r>
          </w:p>
        </w:tc>
        <w:tc>
          <w:tcPr>
            <w:tcW w:w="319" w:type="pct"/>
            <w:tcBorders>
              <w:left w:val="single" w:color="auto" w:sz="4" w:space="0"/>
            </w:tcBorders>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PM</w:t>
            </w:r>
            <w:r>
              <w:rPr>
                <w:rFonts w:hint="eastAsia"/>
                <w:kern w:val="2"/>
                <w:sz w:val="21"/>
                <w:szCs w:val="21"/>
                <w:highlight w:val="none"/>
                <w:vertAlign w:val="subscript"/>
              </w:rPr>
              <w:t>10</w:t>
            </w:r>
          </w:p>
        </w:tc>
        <w:tc>
          <w:tcPr>
            <w:tcW w:w="990"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38.30</w:t>
            </w:r>
          </w:p>
        </w:tc>
        <w:tc>
          <w:tcPr>
            <w:tcW w:w="776" w:type="pct"/>
            <w:tcMar>
              <w:left w:w="28" w:type="dxa"/>
              <w:right w:w="28" w:type="dxa"/>
            </w:tcMar>
            <w:vAlign w:val="center"/>
          </w:tcPr>
          <w:p>
            <w:pPr>
              <w:widowControl/>
              <w:spacing w:line="240" w:lineRule="auto"/>
              <w:ind w:firstLine="0" w:firstLineChars="0"/>
              <w:jc w:val="center"/>
              <w:textAlignment w:val="auto"/>
              <w:rPr>
                <w:kern w:val="2"/>
                <w:sz w:val="21"/>
                <w:szCs w:val="21"/>
                <w:highlight w:val="none"/>
              </w:rPr>
            </w:pPr>
            <w:r>
              <w:rPr>
                <w:rFonts w:hint="eastAsia"/>
                <w:kern w:val="2"/>
                <w:sz w:val="21"/>
                <w:szCs w:val="21"/>
                <w:highlight w:val="none"/>
              </w:rPr>
              <w:t>8.51</w:t>
            </w:r>
          </w:p>
        </w:tc>
        <w:tc>
          <w:tcPr>
            <w:tcW w:w="676" w:type="pct"/>
            <w:vAlign w:val="center"/>
          </w:tcPr>
          <w:p>
            <w:pPr>
              <w:widowControl/>
              <w:spacing w:line="240" w:lineRule="auto"/>
              <w:ind w:firstLine="0" w:firstLineChars="0"/>
              <w:jc w:val="center"/>
              <w:textAlignment w:val="auto"/>
              <w:rPr>
                <w:kern w:val="2"/>
                <w:sz w:val="21"/>
                <w:szCs w:val="21"/>
                <w:highlight w:val="none"/>
              </w:rPr>
            </w:pPr>
            <w:r>
              <w:rPr>
                <w:kern w:val="2"/>
                <w:sz w:val="21"/>
                <w:szCs w:val="21"/>
                <w:highlight w:val="none"/>
              </w:rPr>
              <w:t>—</w:t>
            </w:r>
          </w:p>
        </w:tc>
        <w:tc>
          <w:tcPr>
            <w:tcW w:w="872" w:type="pct"/>
            <w:vMerge w:val="restar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二</w:t>
            </w:r>
            <w:r>
              <w:rPr>
                <w:kern w:val="2"/>
                <w:sz w:val="21"/>
                <w:szCs w:val="21"/>
                <w:highlight w:val="none"/>
              </w:rPr>
              <w:t>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69" w:type="pct"/>
            <w:vMerge w:val="continue"/>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c>
          <w:tcPr>
            <w:tcW w:w="294" w:type="pct"/>
            <w:vMerge w:val="continue"/>
            <w:tcBorders>
              <w:right w:val="single" w:color="auto" w:sz="4" w:space="0"/>
            </w:tcBorders>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c>
          <w:tcPr>
            <w:tcW w:w="319" w:type="pct"/>
            <w:tcBorders>
              <w:left w:val="single" w:color="auto" w:sz="4" w:space="0"/>
            </w:tcBorders>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PM</w:t>
            </w:r>
            <w:r>
              <w:rPr>
                <w:rFonts w:hint="eastAsia"/>
                <w:kern w:val="2"/>
                <w:sz w:val="21"/>
                <w:szCs w:val="21"/>
                <w:highlight w:val="none"/>
                <w:vertAlign w:val="subscript"/>
              </w:rPr>
              <w:t>2.5</w:t>
            </w:r>
          </w:p>
        </w:tc>
        <w:tc>
          <w:tcPr>
            <w:tcW w:w="990"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19.15</w:t>
            </w:r>
          </w:p>
        </w:tc>
        <w:tc>
          <w:tcPr>
            <w:tcW w:w="776" w:type="pct"/>
            <w:tcMar>
              <w:left w:w="28" w:type="dxa"/>
              <w:right w:w="28" w:type="dxa"/>
            </w:tcMar>
            <w:vAlign w:val="center"/>
          </w:tcPr>
          <w:p>
            <w:pPr>
              <w:widowControl/>
              <w:spacing w:line="240" w:lineRule="auto"/>
              <w:ind w:firstLine="0" w:firstLineChars="0"/>
              <w:jc w:val="center"/>
              <w:textAlignment w:val="auto"/>
              <w:rPr>
                <w:kern w:val="2"/>
                <w:sz w:val="21"/>
                <w:szCs w:val="21"/>
                <w:highlight w:val="none"/>
              </w:rPr>
            </w:pPr>
            <w:r>
              <w:rPr>
                <w:rFonts w:hint="eastAsia"/>
                <w:kern w:val="2"/>
                <w:sz w:val="21"/>
                <w:szCs w:val="21"/>
                <w:highlight w:val="none"/>
              </w:rPr>
              <w:t>8.51</w:t>
            </w:r>
          </w:p>
        </w:tc>
        <w:tc>
          <w:tcPr>
            <w:tcW w:w="676" w:type="pct"/>
            <w:vAlign w:val="center"/>
          </w:tcPr>
          <w:p>
            <w:pPr>
              <w:widowControl/>
              <w:spacing w:line="240" w:lineRule="auto"/>
              <w:ind w:firstLine="0" w:firstLineChars="0"/>
              <w:jc w:val="center"/>
              <w:textAlignment w:val="auto"/>
              <w:rPr>
                <w:kern w:val="2"/>
                <w:sz w:val="21"/>
                <w:szCs w:val="21"/>
                <w:highlight w:val="none"/>
              </w:rPr>
            </w:pPr>
            <w:r>
              <w:rPr>
                <w:kern w:val="2"/>
                <w:sz w:val="21"/>
                <w:szCs w:val="21"/>
                <w:highlight w:val="none"/>
              </w:rPr>
              <w:t>—</w:t>
            </w:r>
          </w:p>
        </w:tc>
        <w:tc>
          <w:tcPr>
            <w:tcW w:w="872" w:type="pct"/>
            <w:vMerge w:val="continue"/>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69"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lang w:val="en-US" w:eastAsia="zh-CN"/>
              </w:rPr>
              <w:t>成品</w:t>
            </w:r>
            <w:r>
              <w:rPr>
                <w:kern w:val="2"/>
                <w:sz w:val="21"/>
                <w:szCs w:val="21"/>
                <w:highlight w:val="none"/>
              </w:rPr>
              <w:t>库</w:t>
            </w:r>
          </w:p>
        </w:tc>
        <w:tc>
          <w:tcPr>
            <w:tcW w:w="614" w:type="pct"/>
            <w:gridSpan w:val="2"/>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面源</w:t>
            </w:r>
          </w:p>
        </w:tc>
        <w:tc>
          <w:tcPr>
            <w:tcW w:w="990"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54.1</w:t>
            </w:r>
          </w:p>
        </w:tc>
        <w:tc>
          <w:tcPr>
            <w:tcW w:w="776" w:type="pct"/>
            <w:tcMar>
              <w:left w:w="28" w:type="dxa"/>
              <w:right w:w="28" w:type="dxa"/>
            </w:tcMar>
            <w:vAlign w:val="center"/>
          </w:tcPr>
          <w:p>
            <w:pPr>
              <w:widowControl/>
              <w:spacing w:line="240" w:lineRule="auto"/>
              <w:ind w:firstLine="0" w:firstLineChars="0"/>
              <w:jc w:val="center"/>
              <w:textAlignment w:val="auto"/>
              <w:rPr>
                <w:kern w:val="2"/>
                <w:sz w:val="21"/>
                <w:szCs w:val="21"/>
                <w:highlight w:val="none"/>
              </w:rPr>
            </w:pPr>
            <w:r>
              <w:rPr>
                <w:rFonts w:hint="eastAsia"/>
                <w:kern w:val="2"/>
                <w:sz w:val="21"/>
                <w:szCs w:val="21"/>
                <w:highlight w:val="none"/>
              </w:rPr>
              <w:t>6.01</w:t>
            </w:r>
          </w:p>
        </w:tc>
        <w:tc>
          <w:tcPr>
            <w:tcW w:w="676" w:type="pct"/>
          </w:tcPr>
          <w:p>
            <w:pPr>
              <w:widowControl/>
              <w:spacing w:line="240" w:lineRule="auto"/>
              <w:ind w:firstLine="0" w:firstLineChars="0"/>
              <w:jc w:val="center"/>
              <w:textAlignment w:val="auto"/>
              <w:rPr>
                <w:kern w:val="2"/>
                <w:sz w:val="21"/>
                <w:szCs w:val="21"/>
                <w:highlight w:val="none"/>
              </w:rPr>
            </w:pPr>
            <w:r>
              <w:rPr>
                <w:kern w:val="2"/>
                <w:sz w:val="21"/>
                <w:szCs w:val="21"/>
                <w:highlight w:val="none"/>
              </w:rPr>
              <w:t>—</w:t>
            </w:r>
          </w:p>
        </w:tc>
        <w:tc>
          <w:tcPr>
            <w:tcW w:w="872" w:type="pct"/>
            <w:vMerge w:val="continue"/>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69"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破碎车间</w:t>
            </w:r>
          </w:p>
        </w:tc>
        <w:tc>
          <w:tcPr>
            <w:tcW w:w="614" w:type="pct"/>
            <w:gridSpan w:val="2"/>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面源</w:t>
            </w:r>
          </w:p>
        </w:tc>
        <w:tc>
          <w:tcPr>
            <w:tcW w:w="990"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38.85</w:t>
            </w:r>
          </w:p>
        </w:tc>
        <w:tc>
          <w:tcPr>
            <w:tcW w:w="776"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4.32</w:t>
            </w:r>
          </w:p>
        </w:tc>
        <w:tc>
          <w:tcPr>
            <w:tcW w:w="676" w:type="pct"/>
          </w:tcPr>
          <w:p>
            <w:pPr>
              <w:widowControl/>
              <w:spacing w:line="240" w:lineRule="auto"/>
              <w:ind w:firstLine="0" w:firstLineChars="0"/>
              <w:jc w:val="center"/>
              <w:textAlignment w:val="auto"/>
              <w:rPr>
                <w:kern w:val="2"/>
                <w:sz w:val="21"/>
                <w:szCs w:val="21"/>
                <w:highlight w:val="none"/>
              </w:rPr>
            </w:pPr>
            <w:r>
              <w:rPr>
                <w:kern w:val="2"/>
                <w:sz w:val="21"/>
                <w:szCs w:val="21"/>
                <w:highlight w:val="none"/>
              </w:rPr>
              <w:t>—</w:t>
            </w:r>
          </w:p>
        </w:tc>
        <w:tc>
          <w:tcPr>
            <w:tcW w:w="872" w:type="pct"/>
            <w:vMerge w:val="continue"/>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r>
    </w:tbl>
    <w:p>
      <w:pPr>
        <w:widowControl/>
        <w:autoSpaceDE w:val="0"/>
        <w:autoSpaceDN w:val="0"/>
        <w:adjustRightInd w:val="0"/>
        <w:spacing w:before="120" w:beforeLines="50"/>
        <w:ind w:firstLine="480"/>
        <w:textAlignment w:val="auto"/>
        <w:rPr>
          <w:kern w:val="2"/>
          <w:sz w:val="24"/>
          <w:szCs w:val="24"/>
          <w:highlight w:val="none"/>
        </w:rPr>
      </w:pPr>
      <w:r>
        <w:rPr>
          <w:kern w:val="2"/>
          <w:sz w:val="24"/>
          <w:szCs w:val="24"/>
          <w:highlight w:val="none"/>
        </w:rPr>
        <w:t>根据以上计算结果和表</w:t>
      </w:r>
      <w:r>
        <w:rPr>
          <w:rFonts w:hint="eastAsia"/>
          <w:kern w:val="2"/>
          <w:sz w:val="24"/>
          <w:szCs w:val="24"/>
          <w:highlight w:val="none"/>
        </w:rPr>
        <w:t>2.5-1</w:t>
      </w:r>
      <w:r>
        <w:rPr>
          <w:kern w:val="2"/>
          <w:sz w:val="24"/>
          <w:szCs w:val="24"/>
          <w:highlight w:val="none"/>
        </w:rPr>
        <w:t>评价等级判别表可知，本项目主要污染物最大地面浓度占标率P</w:t>
      </w:r>
      <w:r>
        <w:rPr>
          <w:kern w:val="2"/>
          <w:sz w:val="24"/>
          <w:szCs w:val="24"/>
          <w:highlight w:val="none"/>
          <w:vertAlign w:val="subscript"/>
        </w:rPr>
        <w:t>max</w:t>
      </w:r>
      <w:r>
        <w:rPr>
          <w:kern w:val="2"/>
          <w:sz w:val="24"/>
          <w:szCs w:val="24"/>
          <w:highlight w:val="none"/>
        </w:rPr>
        <w:t>=</w:t>
      </w:r>
      <w:r>
        <w:rPr>
          <w:rFonts w:hint="eastAsia"/>
          <w:kern w:val="2"/>
          <w:sz w:val="24"/>
          <w:szCs w:val="24"/>
          <w:highlight w:val="none"/>
        </w:rPr>
        <w:t>8.51</w:t>
      </w:r>
      <w:r>
        <w:rPr>
          <w:kern w:val="2"/>
          <w:sz w:val="24"/>
          <w:szCs w:val="24"/>
          <w:highlight w:val="none"/>
        </w:rPr>
        <w:t>%</w:t>
      </w:r>
      <w:r>
        <w:rPr>
          <w:rFonts w:hint="eastAsia"/>
          <w:kern w:val="2"/>
          <w:sz w:val="24"/>
          <w:szCs w:val="24"/>
          <w:highlight w:val="none"/>
        </w:rPr>
        <w:t>，</w:t>
      </w:r>
      <w:r>
        <w:rPr>
          <w:kern w:val="2"/>
          <w:sz w:val="24"/>
          <w:szCs w:val="24"/>
          <w:highlight w:val="none"/>
        </w:rPr>
        <w:t>P</w:t>
      </w:r>
      <w:r>
        <w:rPr>
          <w:kern w:val="2"/>
          <w:sz w:val="24"/>
          <w:szCs w:val="24"/>
          <w:highlight w:val="none"/>
          <w:vertAlign w:val="subscript"/>
        </w:rPr>
        <w:t>max</w:t>
      </w:r>
      <w:r>
        <w:rPr>
          <w:rFonts w:hint="eastAsia"/>
          <w:kern w:val="2"/>
          <w:sz w:val="24"/>
          <w:szCs w:val="24"/>
          <w:highlight w:val="none"/>
        </w:rPr>
        <w:t>＜</w:t>
      </w:r>
      <w:r>
        <w:rPr>
          <w:kern w:val="2"/>
          <w:sz w:val="24"/>
          <w:szCs w:val="24"/>
          <w:highlight w:val="none"/>
        </w:rPr>
        <w:t>10%</w:t>
      </w:r>
      <w:r>
        <w:rPr>
          <w:rFonts w:hint="eastAsia"/>
          <w:kern w:val="2"/>
          <w:sz w:val="24"/>
          <w:szCs w:val="24"/>
          <w:highlight w:val="none"/>
        </w:rPr>
        <w:t>。</w:t>
      </w:r>
      <w:r>
        <w:rPr>
          <w:kern w:val="2"/>
          <w:sz w:val="24"/>
          <w:szCs w:val="24"/>
          <w:highlight w:val="none"/>
        </w:rPr>
        <w:t>因此</w:t>
      </w:r>
      <w:r>
        <w:rPr>
          <w:rFonts w:hint="eastAsia"/>
          <w:kern w:val="2"/>
          <w:sz w:val="24"/>
          <w:szCs w:val="24"/>
          <w:highlight w:val="none"/>
        </w:rPr>
        <w:t>，</w:t>
      </w:r>
      <w:r>
        <w:rPr>
          <w:kern w:val="2"/>
          <w:sz w:val="24"/>
          <w:szCs w:val="24"/>
          <w:highlight w:val="none"/>
        </w:rPr>
        <w:t>确定本项目大气环境评价工作等级为</w:t>
      </w:r>
      <w:r>
        <w:rPr>
          <w:rFonts w:hint="eastAsia"/>
          <w:kern w:val="2"/>
          <w:sz w:val="24"/>
          <w:szCs w:val="24"/>
          <w:highlight w:val="none"/>
        </w:rPr>
        <w:t>二级。</w:t>
      </w:r>
    </w:p>
    <w:p>
      <w:pPr>
        <w:pStyle w:val="3"/>
        <w:numPr>
          <w:ilvl w:val="3"/>
          <w:numId w:val="1"/>
        </w:numPr>
        <w:ind w:left="709" w:hanging="709"/>
        <w:rPr>
          <w:rFonts w:eastAsia="宋体"/>
          <w:b/>
          <w:highlight w:val="none"/>
        </w:rPr>
      </w:pPr>
      <w:bookmarkStart w:id="122" w:name="_Toc323717213"/>
      <w:bookmarkStart w:id="123" w:name="_Toc357061483"/>
      <w:bookmarkStart w:id="124" w:name="_Toc454481482"/>
      <w:bookmarkStart w:id="125" w:name="_Toc289699130"/>
      <w:bookmarkStart w:id="126" w:name="_Toc368057993"/>
      <w:bookmarkStart w:id="127" w:name="_Toc323716394"/>
      <w:bookmarkStart w:id="128" w:name="_Toc289702406"/>
      <w:bookmarkStart w:id="129" w:name="_Toc296673006"/>
      <w:bookmarkStart w:id="130" w:name="_Toc289702797"/>
      <w:bookmarkStart w:id="131" w:name="_Toc404609331"/>
      <w:bookmarkStart w:id="132" w:name="_Toc454814690"/>
      <w:bookmarkStart w:id="133" w:name="_Toc291143875"/>
      <w:bookmarkStart w:id="134" w:name="_Toc356290151"/>
      <w:r>
        <w:rPr>
          <w:rFonts w:eastAsia="宋体"/>
          <w:b/>
          <w:highlight w:val="none"/>
        </w:rPr>
        <w:t>地表水</w:t>
      </w:r>
      <w:bookmarkEnd w:id="122"/>
      <w:bookmarkEnd w:id="123"/>
      <w:bookmarkEnd w:id="124"/>
      <w:bookmarkEnd w:id="125"/>
      <w:bookmarkEnd w:id="126"/>
      <w:bookmarkEnd w:id="127"/>
      <w:bookmarkEnd w:id="128"/>
      <w:bookmarkEnd w:id="129"/>
      <w:bookmarkEnd w:id="130"/>
      <w:bookmarkEnd w:id="131"/>
      <w:bookmarkEnd w:id="132"/>
      <w:bookmarkEnd w:id="133"/>
      <w:bookmarkEnd w:id="134"/>
    </w:p>
    <w:p>
      <w:pPr>
        <w:pStyle w:val="19"/>
        <w:spacing w:after="0" w:line="480" w:lineRule="exact"/>
        <w:ind w:firstLine="480"/>
        <w:jc w:val="both"/>
        <w:rPr>
          <w:sz w:val="24"/>
          <w:szCs w:val="24"/>
          <w:highlight w:val="none"/>
        </w:rPr>
      </w:pPr>
      <w:bookmarkStart w:id="135" w:name="_Hlk3794044"/>
      <w:bookmarkStart w:id="136" w:name="_Hlk794570"/>
      <w:r>
        <w:rPr>
          <w:rFonts w:hint="eastAsia"/>
          <w:sz w:val="24"/>
          <w:szCs w:val="24"/>
          <w:highlight w:val="none"/>
          <w:lang w:val="en-US" w:eastAsia="zh-CN"/>
        </w:rPr>
        <w:t>本项目振筛湿式作业产生的废水经管道自流至北厂区干排系统处理，处理后作为球磨磁选用水回用、不外排</w:t>
      </w:r>
      <w:r>
        <w:rPr>
          <w:sz w:val="24"/>
          <w:szCs w:val="24"/>
          <w:highlight w:val="none"/>
        </w:rPr>
        <w:t>，不会对区域地表水环境产生影响。</w:t>
      </w:r>
      <w:r>
        <w:rPr>
          <w:rFonts w:hint="eastAsia"/>
          <w:sz w:val="24"/>
          <w:szCs w:val="24"/>
          <w:highlight w:val="none"/>
        </w:rPr>
        <w:t>根据</w:t>
      </w:r>
      <w:r>
        <w:rPr>
          <w:sz w:val="24"/>
          <w:szCs w:val="24"/>
          <w:highlight w:val="none"/>
        </w:rPr>
        <w:t>《环境影响评价技术导则地</w:t>
      </w:r>
      <w:r>
        <w:rPr>
          <w:rFonts w:hint="eastAsia"/>
          <w:sz w:val="24"/>
          <w:szCs w:val="24"/>
          <w:highlight w:val="none"/>
        </w:rPr>
        <w:t>表</w:t>
      </w:r>
      <w:r>
        <w:rPr>
          <w:sz w:val="24"/>
          <w:szCs w:val="24"/>
          <w:highlight w:val="none"/>
        </w:rPr>
        <w:t>水环境》</w:t>
      </w:r>
      <w:r>
        <w:rPr>
          <w:rFonts w:hint="eastAsia"/>
          <w:sz w:val="24"/>
          <w:szCs w:val="24"/>
          <w:highlight w:val="none"/>
        </w:rPr>
        <w:t>（</w:t>
      </w:r>
      <w:r>
        <w:rPr>
          <w:sz w:val="24"/>
          <w:szCs w:val="24"/>
          <w:highlight w:val="none"/>
        </w:rPr>
        <w:t>HJ2.3-</w:t>
      </w:r>
      <w:r>
        <w:rPr>
          <w:rFonts w:hint="eastAsia"/>
          <w:sz w:val="24"/>
          <w:szCs w:val="24"/>
          <w:highlight w:val="none"/>
        </w:rPr>
        <w:t>2018），建设项目生产工艺中有废水产生，但作为回水利用，不排放到外环境的，按三级B评价，</w:t>
      </w:r>
      <w:r>
        <w:rPr>
          <w:sz w:val="24"/>
          <w:szCs w:val="24"/>
          <w:highlight w:val="none"/>
        </w:rPr>
        <w:t>只进行</w:t>
      </w:r>
      <w:r>
        <w:rPr>
          <w:rFonts w:hint="eastAsia"/>
          <w:sz w:val="24"/>
          <w:szCs w:val="24"/>
          <w:highlight w:val="none"/>
        </w:rPr>
        <w:t>依托水处理设施环境可行性分析</w:t>
      </w:r>
      <w:bookmarkEnd w:id="135"/>
      <w:bookmarkStart w:id="137" w:name="_Toc357061484"/>
      <w:bookmarkStart w:id="138" w:name="_Toc404609332"/>
      <w:bookmarkStart w:id="139" w:name="_Toc368057994"/>
      <w:bookmarkStart w:id="140" w:name="_Toc454481483"/>
      <w:bookmarkStart w:id="141" w:name="_Toc454814691"/>
      <w:bookmarkStart w:id="142" w:name="_Toc356290152"/>
      <w:r>
        <w:rPr>
          <w:rFonts w:hint="eastAsia"/>
          <w:sz w:val="24"/>
          <w:szCs w:val="24"/>
          <w:highlight w:val="none"/>
        </w:rPr>
        <w:t>。</w:t>
      </w:r>
      <w:bookmarkEnd w:id="136"/>
    </w:p>
    <w:p>
      <w:pPr>
        <w:pStyle w:val="3"/>
        <w:numPr>
          <w:ilvl w:val="3"/>
          <w:numId w:val="1"/>
        </w:numPr>
        <w:ind w:left="709" w:hanging="709"/>
        <w:rPr>
          <w:rFonts w:eastAsia="宋体"/>
          <w:b/>
          <w:highlight w:val="none"/>
        </w:rPr>
      </w:pPr>
      <w:r>
        <w:rPr>
          <w:rFonts w:eastAsia="宋体"/>
          <w:b/>
          <w:highlight w:val="none"/>
        </w:rPr>
        <w:t>地下水</w:t>
      </w:r>
      <w:bookmarkEnd w:id="137"/>
      <w:bookmarkEnd w:id="138"/>
      <w:bookmarkEnd w:id="139"/>
      <w:bookmarkEnd w:id="140"/>
      <w:bookmarkEnd w:id="141"/>
      <w:bookmarkEnd w:id="142"/>
    </w:p>
    <w:p>
      <w:pPr>
        <w:ind w:firstLine="480"/>
        <w:jc w:val="both"/>
        <w:rPr>
          <w:sz w:val="24"/>
          <w:szCs w:val="24"/>
          <w:highlight w:val="none"/>
        </w:rPr>
      </w:pPr>
      <w:r>
        <w:rPr>
          <w:sz w:val="24"/>
          <w:szCs w:val="24"/>
          <w:highlight w:val="none"/>
        </w:rPr>
        <w:t>根据《环境影响评价技术导则地下水环境》（HJ610-2016），评价等级划分见表2.</w:t>
      </w:r>
      <w:r>
        <w:rPr>
          <w:rFonts w:hint="eastAsia"/>
          <w:sz w:val="24"/>
          <w:szCs w:val="24"/>
          <w:highlight w:val="none"/>
        </w:rPr>
        <w:t>5</w:t>
      </w:r>
      <w:r>
        <w:rPr>
          <w:sz w:val="24"/>
          <w:szCs w:val="24"/>
          <w:highlight w:val="none"/>
        </w:rPr>
        <w:t>-</w:t>
      </w:r>
      <w:r>
        <w:rPr>
          <w:rFonts w:hint="eastAsia"/>
          <w:sz w:val="24"/>
          <w:szCs w:val="24"/>
          <w:highlight w:val="none"/>
        </w:rPr>
        <w:t>7</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5</w:t>
      </w:r>
      <w:r>
        <w:rPr>
          <w:rFonts w:eastAsia="黑体"/>
          <w:kern w:val="2"/>
          <w:sz w:val="21"/>
          <w:szCs w:val="21"/>
          <w:highlight w:val="none"/>
        </w:rPr>
        <w:t>-</w:t>
      </w:r>
      <w:r>
        <w:rPr>
          <w:rFonts w:hint="eastAsia" w:eastAsia="黑体"/>
          <w:kern w:val="2"/>
          <w:sz w:val="21"/>
          <w:szCs w:val="21"/>
          <w:highlight w:val="none"/>
        </w:rPr>
        <w:t xml:space="preserve">7 </w:t>
      </w:r>
      <w:r>
        <w:rPr>
          <w:rFonts w:eastAsia="黑体"/>
          <w:kern w:val="2"/>
          <w:sz w:val="21"/>
          <w:szCs w:val="21"/>
          <w:highlight w:val="none"/>
        </w:rPr>
        <w:t>地下水环境影响评价等级划分情况</w:t>
      </w:r>
    </w:p>
    <w:tbl>
      <w:tblPr>
        <w:tblStyle w:val="48"/>
        <w:tblW w:w="8522"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2235"/>
        <w:gridCol w:w="2058"/>
        <w:gridCol w:w="2114"/>
        <w:gridCol w:w="2115"/>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2235" w:type="dxa"/>
            <w:tcBorders>
              <w:tl2br w:val="single" w:color="auto" w:sz="8" w:space="0"/>
            </w:tcBorders>
            <w:vAlign w:val="center"/>
          </w:tcPr>
          <w:p>
            <w:pPr>
              <w:spacing w:line="240" w:lineRule="auto"/>
              <w:ind w:firstLine="0" w:firstLineChars="0"/>
              <w:jc w:val="right"/>
              <w:textAlignment w:val="auto"/>
              <w:rPr>
                <w:sz w:val="21"/>
                <w:szCs w:val="21"/>
                <w:highlight w:val="none"/>
              </w:rPr>
            </w:pPr>
            <w:r>
              <w:rPr>
                <w:sz w:val="21"/>
                <w:szCs w:val="21"/>
                <w:highlight w:val="none"/>
              </w:rPr>
              <w:t>项目类别</w:t>
            </w:r>
          </w:p>
          <w:p>
            <w:pPr>
              <w:wordWrap w:val="0"/>
              <w:spacing w:line="240" w:lineRule="auto"/>
              <w:ind w:right="420" w:firstLine="0" w:firstLineChars="0"/>
              <w:rPr>
                <w:sz w:val="21"/>
                <w:szCs w:val="21"/>
                <w:highlight w:val="none"/>
              </w:rPr>
            </w:pPr>
            <w:r>
              <w:rPr>
                <w:sz w:val="21"/>
                <w:szCs w:val="21"/>
                <w:highlight w:val="none"/>
              </w:rPr>
              <w:t>环境敏感程度</w:t>
            </w:r>
          </w:p>
        </w:tc>
        <w:tc>
          <w:tcPr>
            <w:tcW w:w="2058" w:type="dxa"/>
            <w:vAlign w:val="center"/>
          </w:tcPr>
          <w:p>
            <w:pPr>
              <w:spacing w:line="240" w:lineRule="auto"/>
              <w:ind w:firstLine="0" w:firstLineChars="0"/>
              <w:jc w:val="center"/>
              <w:rPr>
                <w:sz w:val="21"/>
                <w:szCs w:val="21"/>
                <w:highlight w:val="none"/>
              </w:rPr>
            </w:pPr>
            <w:r>
              <w:rPr>
                <w:sz w:val="21"/>
                <w:szCs w:val="21"/>
                <w:highlight w:val="none"/>
              </w:rPr>
              <w:t>Ⅰ类项目</w:t>
            </w:r>
          </w:p>
        </w:tc>
        <w:tc>
          <w:tcPr>
            <w:tcW w:w="2114" w:type="dxa"/>
            <w:vAlign w:val="center"/>
          </w:tcPr>
          <w:p>
            <w:pPr>
              <w:spacing w:line="240" w:lineRule="auto"/>
              <w:ind w:firstLine="0" w:firstLineChars="0"/>
              <w:jc w:val="center"/>
              <w:rPr>
                <w:sz w:val="21"/>
                <w:szCs w:val="21"/>
                <w:highlight w:val="none"/>
              </w:rPr>
            </w:pPr>
            <w:r>
              <w:rPr>
                <w:sz w:val="21"/>
                <w:szCs w:val="21"/>
                <w:highlight w:val="none"/>
              </w:rPr>
              <w:t>Ⅱ类项目</w:t>
            </w:r>
          </w:p>
        </w:tc>
        <w:tc>
          <w:tcPr>
            <w:tcW w:w="2115" w:type="dxa"/>
            <w:vAlign w:val="center"/>
          </w:tcPr>
          <w:p>
            <w:pPr>
              <w:spacing w:line="240" w:lineRule="auto"/>
              <w:ind w:firstLine="0" w:firstLineChars="0"/>
              <w:jc w:val="center"/>
              <w:rPr>
                <w:sz w:val="21"/>
                <w:szCs w:val="21"/>
                <w:highlight w:val="none"/>
              </w:rPr>
            </w:pPr>
            <w:r>
              <w:rPr>
                <w:sz w:val="21"/>
                <w:szCs w:val="21"/>
                <w:highlight w:val="none"/>
              </w:rPr>
              <w:t>Ⅲ类项目</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2235" w:type="dxa"/>
            <w:vAlign w:val="center"/>
          </w:tcPr>
          <w:p>
            <w:pPr>
              <w:spacing w:line="240" w:lineRule="auto"/>
              <w:ind w:firstLine="0" w:firstLineChars="0"/>
              <w:jc w:val="center"/>
              <w:rPr>
                <w:sz w:val="21"/>
                <w:szCs w:val="21"/>
                <w:highlight w:val="none"/>
              </w:rPr>
            </w:pPr>
            <w:r>
              <w:rPr>
                <w:sz w:val="21"/>
                <w:szCs w:val="21"/>
                <w:highlight w:val="none"/>
              </w:rPr>
              <w:t>敏感</w:t>
            </w:r>
          </w:p>
        </w:tc>
        <w:tc>
          <w:tcPr>
            <w:tcW w:w="2058" w:type="dxa"/>
            <w:vAlign w:val="center"/>
          </w:tcPr>
          <w:p>
            <w:pPr>
              <w:spacing w:line="240" w:lineRule="auto"/>
              <w:ind w:firstLine="0" w:firstLineChars="0"/>
              <w:jc w:val="center"/>
              <w:rPr>
                <w:sz w:val="21"/>
                <w:szCs w:val="21"/>
                <w:highlight w:val="none"/>
              </w:rPr>
            </w:pPr>
            <w:r>
              <w:rPr>
                <w:sz w:val="21"/>
                <w:szCs w:val="21"/>
                <w:highlight w:val="none"/>
              </w:rPr>
              <w:t>一</w:t>
            </w:r>
          </w:p>
        </w:tc>
        <w:tc>
          <w:tcPr>
            <w:tcW w:w="2114" w:type="dxa"/>
            <w:vAlign w:val="center"/>
          </w:tcPr>
          <w:p>
            <w:pPr>
              <w:spacing w:line="240" w:lineRule="auto"/>
              <w:ind w:firstLine="0" w:firstLineChars="0"/>
              <w:jc w:val="center"/>
              <w:rPr>
                <w:sz w:val="21"/>
                <w:szCs w:val="21"/>
                <w:highlight w:val="none"/>
              </w:rPr>
            </w:pPr>
            <w:r>
              <w:rPr>
                <w:sz w:val="21"/>
                <w:szCs w:val="21"/>
                <w:highlight w:val="none"/>
              </w:rPr>
              <w:t>一</w:t>
            </w:r>
          </w:p>
        </w:tc>
        <w:tc>
          <w:tcPr>
            <w:tcW w:w="2115" w:type="dxa"/>
            <w:vAlign w:val="center"/>
          </w:tcPr>
          <w:p>
            <w:pPr>
              <w:spacing w:line="240" w:lineRule="auto"/>
              <w:ind w:firstLine="0" w:firstLineChars="0"/>
              <w:jc w:val="center"/>
              <w:rPr>
                <w:sz w:val="21"/>
                <w:szCs w:val="21"/>
                <w:highlight w:val="none"/>
              </w:rPr>
            </w:pPr>
            <w:r>
              <w:rPr>
                <w:sz w:val="21"/>
                <w:szCs w:val="21"/>
                <w:highlight w:val="none"/>
              </w:rPr>
              <w:t>二</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0" w:hRule="atLeast"/>
          <w:jc w:val="center"/>
        </w:trPr>
        <w:tc>
          <w:tcPr>
            <w:tcW w:w="2235" w:type="dxa"/>
            <w:vAlign w:val="center"/>
          </w:tcPr>
          <w:p>
            <w:pPr>
              <w:spacing w:line="240" w:lineRule="auto"/>
              <w:ind w:firstLine="0" w:firstLineChars="0"/>
              <w:jc w:val="center"/>
              <w:rPr>
                <w:sz w:val="21"/>
                <w:szCs w:val="21"/>
                <w:highlight w:val="none"/>
              </w:rPr>
            </w:pPr>
            <w:r>
              <w:rPr>
                <w:sz w:val="21"/>
                <w:szCs w:val="21"/>
                <w:highlight w:val="none"/>
              </w:rPr>
              <w:t>较敏感</w:t>
            </w:r>
          </w:p>
        </w:tc>
        <w:tc>
          <w:tcPr>
            <w:tcW w:w="2058" w:type="dxa"/>
            <w:vAlign w:val="center"/>
          </w:tcPr>
          <w:p>
            <w:pPr>
              <w:spacing w:line="240" w:lineRule="auto"/>
              <w:ind w:firstLine="0" w:firstLineChars="0"/>
              <w:jc w:val="center"/>
              <w:rPr>
                <w:sz w:val="21"/>
                <w:szCs w:val="21"/>
                <w:highlight w:val="none"/>
              </w:rPr>
            </w:pPr>
            <w:r>
              <w:rPr>
                <w:sz w:val="21"/>
                <w:szCs w:val="21"/>
                <w:highlight w:val="none"/>
              </w:rPr>
              <w:t>一</w:t>
            </w:r>
          </w:p>
        </w:tc>
        <w:tc>
          <w:tcPr>
            <w:tcW w:w="2114" w:type="dxa"/>
            <w:vAlign w:val="center"/>
          </w:tcPr>
          <w:p>
            <w:pPr>
              <w:spacing w:line="240" w:lineRule="auto"/>
              <w:ind w:firstLine="0" w:firstLineChars="0"/>
              <w:jc w:val="center"/>
              <w:rPr>
                <w:sz w:val="21"/>
                <w:szCs w:val="21"/>
                <w:highlight w:val="none"/>
              </w:rPr>
            </w:pPr>
            <w:r>
              <w:rPr>
                <w:sz w:val="21"/>
                <w:szCs w:val="21"/>
                <w:highlight w:val="none"/>
              </w:rPr>
              <w:t>二</w:t>
            </w:r>
          </w:p>
        </w:tc>
        <w:tc>
          <w:tcPr>
            <w:tcW w:w="2115" w:type="dxa"/>
            <w:vAlign w:val="center"/>
          </w:tcPr>
          <w:p>
            <w:pPr>
              <w:spacing w:line="240" w:lineRule="auto"/>
              <w:ind w:firstLine="0" w:firstLineChars="0"/>
              <w:jc w:val="center"/>
              <w:rPr>
                <w:sz w:val="21"/>
                <w:szCs w:val="21"/>
                <w:highlight w:val="none"/>
              </w:rPr>
            </w:pPr>
            <w:r>
              <w:rPr>
                <w:sz w:val="21"/>
                <w:szCs w:val="21"/>
                <w:highlight w:val="none"/>
              </w:rPr>
              <w:t>三</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0" w:hRule="atLeast"/>
          <w:jc w:val="center"/>
        </w:trPr>
        <w:tc>
          <w:tcPr>
            <w:tcW w:w="2235" w:type="dxa"/>
            <w:vAlign w:val="center"/>
          </w:tcPr>
          <w:p>
            <w:pPr>
              <w:spacing w:line="240" w:lineRule="auto"/>
              <w:ind w:firstLine="0" w:firstLineChars="0"/>
              <w:jc w:val="center"/>
              <w:rPr>
                <w:sz w:val="21"/>
                <w:szCs w:val="21"/>
                <w:highlight w:val="none"/>
              </w:rPr>
            </w:pPr>
            <w:r>
              <w:rPr>
                <w:sz w:val="21"/>
                <w:szCs w:val="21"/>
                <w:highlight w:val="none"/>
              </w:rPr>
              <w:t>不敏感</w:t>
            </w:r>
          </w:p>
        </w:tc>
        <w:tc>
          <w:tcPr>
            <w:tcW w:w="2058" w:type="dxa"/>
            <w:vAlign w:val="center"/>
          </w:tcPr>
          <w:p>
            <w:pPr>
              <w:spacing w:line="240" w:lineRule="auto"/>
              <w:ind w:firstLine="0" w:firstLineChars="0"/>
              <w:jc w:val="center"/>
              <w:rPr>
                <w:sz w:val="21"/>
                <w:szCs w:val="21"/>
                <w:highlight w:val="none"/>
              </w:rPr>
            </w:pPr>
            <w:r>
              <w:rPr>
                <w:sz w:val="21"/>
                <w:szCs w:val="21"/>
                <w:highlight w:val="none"/>
              </w:rPr>
              <w:t>二</w:t>
            </w:r>
          </w:p>
        </w:tc>
        <w:tc>
          <w:tcPr>
            <w:tcW w:w="2114" w:type="dxa"/>
            <w:vAlign w:val="center"/>
          </w:tcPr>
          <w:p>
            <w:pPr>
              <w:spacing w:line="240" w:lineRule="auto"/>
              <w:ind w:firstLine="0" w:firstLineChars="0"/>
              <w:jc w:val="center"/>
              <w:rPr>
                <w:sz w:val="21"/>
                <w:szCs w:val="21"/>
                <w:highlight w:val="none"/>
              </w:rPr>
            </w:pPr>
            <w:r>
              <w:rPr>
                <w:sz w:val="21"/>
                <w:szCs w:val="21"/>
                <w:highlight w:val="none"/>
              </w:rPr>
              <w:t>三</w:t>
            </w:r>
          </w:p>
        </w:tc>
        <w:tc>
          <w:tcPr>
            <w:tcW w:w="2115" w:type="dxa"/>
            <w:vAlign w:val="center"/>
          </w:tcPr>
          <w:p>
            <w:pPr>
              <w:spacing w:line="240" w:lineRule="auto"/>
              <w:ind w:firstLine="0" w:firstLineChars="0"/>
              <w:jc w:val="center"/>
              <w:rPr>
                <w:sz w:val="21"/>
                <w:szCs w:val="21"/>
                <w:highlight w:val="none"/>
              </w:rPr>
            </w:pPr>
            <w:r>
              <w:rPr>
                <w:sz w:val="21"/>
                <w:szCs w:val="21"/>
                <w:highlight w:val="none"/>
              </w:rPr>
              <w:t>三</w:t>
            </w:r>
          </w:p>
        </w:tc>
      </w:tr>
    </w:tbl>
    <w:p>
      <w:pPr>
        <w:snapToGrid w:val="0"/>
        <w:spacing w:line="460" w:lineRule="exact"/>
        <w:ind w:firstLine="480"/>
        <w:rPr>
          <w:sz w:val="24"/>
          <w:szCs w:val="24"/>
          <w:highlight w:val="none"/>
        </w:rPr>
      </w:pPr>
      <w:r>
        <w:rPr>
          <w:sz w:val="24"/>
          <w:szCs w:val="24"/>
          <w:highlight w:val="none"/>
        </w:rPr>
        <w:t>本项目属于黑色金属采选行业中选矿厂，为地下水环境影响评价II类项目。</w:t>
      </w:r>
      <w:bookmarkStart w:id="143" w:name="_Hlk3212597"/>
      <w:bookmarkStart w:id="144" w:name="_Hlk532027672"/>
    </w:p>
    <w:p>
      <w:pPr>
        <w:ind w:firstLine="480"/>
        <w:rPr>
          <w:sz w:val="24"/>
          <w:szCs w:val="24"/>
          <w:highlight w:val="none"/>
        </w:rPr>
      </w:pPr>
      <w:r>
        <w:rPr>
          <w:rFonts w:hint="eastAsia"/>
          <w:sz w:val="24"/>
          <w:szCs w:val="24"/>
          <w:highlight w:val="none"/>
        </w:rPr>
        <w:t>地下水环境敏感程度</w:t>
      </w:r>
      <w:r>
        <w:rPr>
          <w:sz w:val="24"/>
          <w:szCs w:val="24"/>
          <w:highlight w:val="none"/>
        </w:rPr>
        <w:t>见表2.</w:t>
      </w:r>
      <w:r>
        <w:rPr>
          <w:rFonts w:hint="eastAsia"/>
          <w:sz w:val="24"/>
          <w:szCs w:val="24"/>
          <w:highlight w:val="none"/>
        </w:rPr>
        <w:t>5</w:t>
      </w:r>
      <w:r>
        <w:rPr>
          <w:sz w:val="24"/>
          <w:szCs w:val="24"/>
          <w:highlight w:val="none"/>
        </w:rPr>
        <w:t>-</w:t>
      </w:r>
      <w:r>
        <w:rPr>
          <w:rFonts w:hint="eastAsia"/>
          <w:sz w:val="24"/>
          <w:szCs w:val="24"/>
          <w:highlight w:val="none"/>
        </w:rPr>
        <w:t>8</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5</w:t>
      </w:r>
      <w:r>
        <w:rPr>
          <w:rFonts w:eastAsia="黑体"/>
          <w:kern w:val="2"/>
          <w:sz w:val="21"/>
          <w:szCs w:val="21"/>
          <w:highlight w:val="none"/>
        </w:rPr>
        <w:t>-</w:t>
      </w:r>
      <w:r>
        <w:rPr>
          <w:rFonts w:hint="eastAsia" w:eastAsia="黑体"/>
          <w:kern w:val="2"/>
          <w:sz w:val="21"/>
          <w:szCs w:val="21"/>
          <w:highlight w:val="none"/>
        </w:rPr>
        <w:t>8</w:t>
      </w:r>
      <w:r>
        <w:rPr>
          <w:rFonts w:eastAsia="黑体"/>
          <w:kern w:val="2"/>
          <w:sz w:val="21"/>
          <w:szCs w:val="21"/>
          <w:highlight w:val="none"/>
        </w:rPr>
        <w:t xml:space="preserve">  </w:t>
      </w:r>
      <w:r>
        <w:rPr>
          <w:rFonts w:hint="eastAsia" w:eastAsia="黑体"/>
          <w:kern w:val="2"/>
          <w:sz w:val="21"/>
          <w:szCs w:val="21"/>
          <w:highlight w:val="none"/>
        </w:rPr>
        <w:t>地下水环境敏感程度分级表</w:t>
      </w:r>
    </w:p>
    <w:tbl>
      <w:tblPr>
        <w:tblStyle w:val="4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060"/>
        <w:gridCol w:w="73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5000" w:type="pct"/>
            <w:gridSpan w:val="2"/>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地下水环境敏感程度分级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634"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敏感</w:t>
            </w:r>
          </w:p>
          <w:p>
            <w:pPr>
              <w:spacing w:line="240" w:lineRule="auto"/>
              <w:ind w:firstLine="0" w:firstLineChars="0"/>
              <w:jc w:val="center"/>
              <w:rPr>
                <w:sz w:val="21"/>
                <w:szCs w:val="21"/>
                <w:highlight w:val="none"/>
              </w:rPr>
            </w:pPr>
            <w:r>
              <w:rPr>
                <w:sz w:val="21"/>
                <w:szCs w:val="21"/>
                <w:highlight w:val="none"/>
              </w:rPr>
              <w:t>程度</w:t>
            </w:r>
          </w:p>
        </w:tc>
        <w:tc>
          <w:tcPr>
            <w:tcW w:w="4366"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地下水环境敏感特征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634"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敏感</w:t>
            </w:r>
          </w:p>
        </w:tc>
        <w:tc>
          <w:tcPr>
            <w:tcW w:w="4366"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634"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较敏感</w:t>
            </w:r>
          </w:p>
        </w:tc>
        <w:tc>
          <w:tcPr>
            <w:tcW w:w="4366"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634"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不敏感</w:t>
            </w:r>
          </w:p>
        </w:tc>
        <w:tc>
          <w:tcPr>
            <w:tcW w:w="4366"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上述地区之外的其它地区。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5000" w:type="pct"/>
            <w:gridSpan w:val="2"/>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注：a“环境敏感区”是指《建设项目环境影响评价分类管理名录》中所界定的涉及地下水的环境敏感区。</w:t>
            </w:r>
          </w:p>
        </w:tc>
      </w:tr>
    </w:tbl>
    <w:p>
      <w:pPr>
        <w:ind w:firstLine="480"/>
        <w:jc w:val="both"/>
        <w:rPr>
          <w:sz w:val="24"/>
          <w:szCs w:val="24"/>
          <w:highlight w:val="none"/>
        </w:rPr>
      </w:pPr>
      <w:r>
        <w:rPr>
          <w:rFonts w:hint="eastAsia"/>
          <w:sz w:val="24"/>
          <w:highlight w:val="none"/>
        </w:rPr>
        <w:t>根据现场勘查，本项目距离最近的城镇集中供水水源地—遵化市堡子店水源地准保护区边界约为3.3km，不在其保护范围内；项目周边村庄存在分散式饮用水井，因此确定本项目地下水环境敏感程度为“较敏感”。因此，本项目地下水评价等级为二级</w:t>
      </w:r>
      <w:bookmarkEnd w:id="143"/>
      <w:bookmarkEnd w:id="144"/>
      <w:r>
        <w:rPr>
          <w:sz w:val="24"/>
          <w:szCs w:val="24"/>
          <w:highlight w:val="none"/>
        </w:rPr>
        <w:t>，具体划分见表2.</w:t>
      </w:r>
      <w:r>
        <w:rPr>
          <w:rFonts w:hint="eastAsia"/>
          <w:sz w:val="24"/>
          <w:szCs w:val="24"/>
          <w:highlight w:val="none"/>
        </w:rPr>
        <w:t>5</w:t>
      </w:r>
      <w:r>
        <w:rPr>
          <w:sz w:val="24"/>
          <w:szCs w:val="24"/>
          <w:highlight w:val="none"/>
        </w:rPr>
        <w:t>-</w:t>
      </w:r>
      <w:r>
        <w:rPr>
          <w:rFonts w:hint="eastAsia"/>
          <w:sz w:val="24"/>
          <w:szCs w:val="24"/>
          <w:highlight w:val="none"/>
        </w:rPr>
        <w:t>9</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 xml:space="preserve">5-9  </w:t>
      </w:r>
      <w:r>
        <w:rPr>
          <w:rFonts w:eastAsia="黑体"/>
          <w:kern w:val="2"/>
          <w:sz w:val="21"/>
          <w:szCs w:val="21"/>
          <w:highlight w:val="none"/>
        </w:rPr>
        <w:t>地下水环境影响评价等级划分情况</w:t>
      </w:r>
    </w:p>
    <w:tbl>
      <w:tblPr>
        <w:tblStyle w:val="48"/>
        <w:tblW w:w="871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5"/>
        <w:gridCol w:w="1173"/>
        <w:gridCol w:w="4868"/>
        <w:gridCol w:w="1420"/>
        <w:gridCol w:w="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495" w:type="dxa"/>
            <w:vAlign w:val="center"/>
          </w:tcPr>
          <w:p>
            <w:pPr>
              <w:spacing w:line="240" w:lineRule="auto"/>
              <w:ind w:firstLine="0" w:firstLineChars="0"/>
              <w:jc w:val="center"/>
              <w:rPr>
                <w:sz w:val="21"/>
                <w:szCs w:val="21"/>
                <w:highlight w:val="none"/>
              </w:rPr>
            </w:pPr>
            <w:r>
              <w:rPr>
                <w:sz w:val="21"/>
                <w:szCs w:val="21"/>
                <w:highlight w:val="none"/>
              </w:rPr>
              <w:t>序号</w:t>
            </w:r>
          </w:p>
        </w:tc>
        <w:tc>
          <w:tcPr>
            <w:tcW w:w="1173" w:type="dxa"/>
            <w:vAlign w:val="center"/>
          </w:tcPr>
          <w:p>
            <w:pPr>
              <w:spacing w:line="240" w:lineRule="auto"/>
              <w:ind w:firstLine="0" w:firstLineChars="0"/>
              <w:jc w:val="center"/>
              <w:rPr>
                <w:sz w:val="21"/>
                <w:szCs w:val="21"/>
                <w:highlight w:val="none"/>
              </w:rPr>
            </w:pPr>
            <w:r>
              <w:rPr>
                <w:sz w:val="21"/>
                <w:szCs w:val="21"/>
                <w:highlight w:val="none"/>
              </w:rPr>
              <w:t>指标</w:t>
            </w:r>
          </w:p>
        </w:tc>
        <w:tc>
          <w:tcPr>
            <w:tcW w:w="4868" w:type="dxa"/>
            <w:vAlign w:val="center"/>
          </w:tcPr>
          <w:p>
            <w:pPr>
              <w:spacing w:line="240" w:lineRule="auto"/>
              <w:ind w:firstLine="0" w:firstLineChars="0"/>
              <w:jc w:val="center"/>
              <w:rPr>
                <w:sz w:val="21"/>
                <w:szCs w:val="21"/>
                <w:highlight w:val="none"/>
              </w:rPr>
            </w:pPr>
            <w:r>
              <w:rPr>
                <w:sz w:val="21"/>
                <w:szCs w:val="21"/>
                <w:highlight w:val="none"/>
              </w:rPr>
              <w:t>性能（特征）</w:t>
            </w:r>
          </w:p>
        </w:tc>
        <w:tc>
          <w:tcPr>
            <w:tcW w:w="1420" w:type="dxa"/>
            <w:vAlign w:val="center"/>
          </w:tcPr>
          <w:p>
            <w:pPr>
              <w:spacing w:line="240" w:lineRule="auto"/>
              <w:ind w:firstLine="0" w:firstLineChars="0"/>
              <w:jc w:val="center"/>
              <w:rPr>
                <w:sz w:val="21"/>
                <w:szCs w:val="21"/>
                <w:highlight w:val="none"/>
              </w:rPr>
            </w:pPr>
            <w:r>
              <w:rPr>
                <w:sz w:val="21"/>
                <w:szCs w:val="21"/>
                <w:highlight w:val="none"/>
              </w:rPr>
              <w:t>级别</w:t>
            </w:r>
          </w:p>
        </w:tc>
        <w:tc>
          <w:tcPr>
            <w:tcW w:w="757" w:type="dxa"/>
            <w:vAlign w:val="center"/>
          </w:tcPr>
          <w:p>
            <w:pPr>
              <w:spacing w:line="240" w:lineRule="auto"/>
              <w:ind w:firstLine="0" w:firstLineChars="0"/>
              <w:jc w:val="center"/>
              <w:rPr>
                <w:sz w:val="21"/>
                <w:szCs w:val="21"/>
                <w:highlight w:val="none"/>
              </w:rPr>
            </w:pPr>
            <w:r>
              <w:rPr>
                <w:sz w:val="21"/>
                <w:szCs w:val="21"/>
                <w:highlight w:val="none"/>
              </w:rPr>
              <w:t>评价</w:t>
            </w:r>
          </w:p>
          <w:p>
            <w:pPr>
              <w:spacing w:line="240" w:lineRule="auto"/>
              <w:ind w:firstLine="0" w:firstLineChars="0"/>
              <w:jc w:val="center"/>
              <w:rPr>
                <w:sz w:val="21"/>
                <w:szCs w:val="21"/>
                <w:highlight w:val="none"/>
              </w:rPr>
            </w:pPr>
            <w:r>
              <w:rPr>
                <w:sz w:val="21"/>
                <w:szCs w:val="21"/>
                <w:highlight w:val="none"/>
              </w:rPr>
              <w:t>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5" w:type="dxa"/>
            <w:vAlign w:val="center"/>
          </w:tcPr>
          <w:p>
            <w:pPr>
              <w:spacing w:line="240" w:lineRule="auto"/>
              <w:ind w:firstLine="0" w:firstLineChars="0"/>
              <w:jc w:val="center"/>
              <w:rPr>
                <w:sz w:val="21"/>
                <w:szCs w:val="21"/>
                <w:highlight w:val="none"/>
              </w:rPr>
            </w:pPr>
            <w:r>
              <w:rPr>
                <w:sz w:val="21"/>
                <w:szCs w:val="21"/>
                <w:highlight w:val="none"/>
              </w:rPr>
              <w:t>1</w:t>
            </w:r>
          </w:p>
        </w:tc>
        <w:tc>
          <w:tcPr>
            <w:tcW w:w="1173" w:type="dxa"/>
            <w:vAlign w:val="center"/>
          </w:tcPr>
          <w:p>
            <w:pPr>
              <w:spacing w:line="240" w:lineRule="auto"/>
              <w:ind w:firstLine="0" w:firstLineChars="0"/>
              <w:jc w:val="center"/>
              <w:rPr>
                <w:sz w:val="21"/>
                <w:szCs w:val="21"/>
                <w:highlight w:val="none"/>
              </w:rPr>
            </w:pPr>
            <w:r>
              <w:rPr>
                <w:sz w:val="21"/>
                <w:szCs w:val="21"/>
                <w:highlight w:val="none"/>
              </w:rPr>
              <w:t>项目类别</w:t>
            </w:r>
          </w:p>
        </w:tc>
        <w:tc>
          <w:tcPr>
            <w:tcW w:w="4868" w:type="dxa"/>
            <w:vAlign w:val="center"/>
          </w:tcPr>
          <w:p>
            <w:pPr>
              <w:spacing w:line="240" w:lineRule="auto"/>
              <w:ind w:firstLine="0" w:firstLineChars="0"/>
              <w:jc w:val="center"/>
              <w:rPr>
                <w:sz w:val="21"/>
                <w:szCs w:val="21"/>
                <w:highlight w:val="none"/>
              </w:rPr>
            </w:pPr>
            <w:r>
              <w:rPr>
                <w:sz w:val="21"/>
                <w:szCs w:val="21"/>
                <w:highlight w:val="none"/>
              </w:rPr>
              <w:t>黑色金属采选中选矿厂</w:t>
            </w:r>
          </w:p>
        </w:tc>
        <w:tc>
          <w:tcPr>
            <w:tcW w:w="1420" w:type="dxa"/>
            <w:vAlign w:val="center"/>
          </w:tcPr>
          <w:p>
            <w:pPr>
              <w:spacing w:line="240" w:lineRule="auto"/>
              <w:ind w:firstLine="0" w:firstLineChars="0"/>
              <w:jc w:val="center"/>
              <w:rPr>
                <w:sz w:val="21"/>
                <w:szCs w:val="21"/>
                <w:highlight w:val="none"/>
              </w:rPr>
            </w:pPr>
            <w:r>
              <w:rPr>
                <w:sz w:val="21"/>
                <w:szCs w:val="21"/>
                <w:highlight w:val="none"/>
              </w:rPr>
              <w:t>Ⅱ类项目</w:t>
            </w:r>
          </w:p>
        </w:tc>
        <w:tc>
          <w:tcPr>
            <w:tcW w:w="757" w:type="dxa"/>
            <w:vMerge w:val="restart"/>
            <w:vAlign w:val="center"/>
          </w:tcPr>
          <w:p>
            <w:pPr>
              <w:spacing w:line="240" w:lineRule="auto"/>
              <w:ind w:firstLine="0" w:firstLineChars="0"/>
              <w:jc w:val="center"/>
              <w:rPr>
                <w:sz w:val="21"/>
                <w:szCs w:val="21"/>
                <w:highlight w:val="none"/>
              </w:rPr>
            </w:pPr>
            <w:r>
              <w:rPr>
                <w:sz w:val="21"/>
                <w:szCs w:val="21"/>
                <w:highlight w:val="none"/>
              </w:rPr>
              <w:t>二</w:t>
            </w:r>
          </w:p>
          <w:p>
            <w:pPr>
              <w:spacing w:line="240" w:lineRule="auto"/>
              <w:ind w:firstLine="0" w:firstLineChars="0"/>
              <w:jc w:val="center"/>
              <w:rPr>
                <w:sz w:val="21"/>
                <w:szCs w:val="21"/>
                <w:highlight w:val="none"/>
              </w:rPr>
            </w:pPr>
            <w:r>
              <w:rPr>
                <w:sz w:val="21"/>
                <w:szCs w:val="21"/>
                <w:highlight w:val="none"/>
              </w:rPr>
              <w:t>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580" w:hRule="atLeast"/>
          <w:jc w:val="center"/>
        </w:trPr>
        <w:tc>
          <w:tcPr>
            <w:tcW w:w="495" w:type="dxa"/>
            <w:vAlign w:val="center"/>
          </w:tcPr>
          <w:p>
            <w:pPr>
              <w:spacing w:line="240" w:lineRule="auto"/>
              <w:ind w:firstLine="0" w:firstLineChars="0"/>
              <w:jc w:val="center"/>
              <w:rPr>
                <w:sz w:val="21"/>
                <w:szCs w:val="21"/>
                <w:highlight w:val="none"/>
              </w:rPr>
            </w:pPr>
            <w:r>
              <w:rPr>
                <w:sz w:val="21"/>
                <w:szCs w:val="21"/>
                <w:highlight w:val="none"/>
              </w:rPr>
              <w:t>2</w:t>
            </w:r>
          </w:p>
        </w:tc>
        <w:tc>
          <w:tcPr>
            <w:tcW w:w="1173" w:type="dxa"/>
            <w:vAlign w:val="center"/>
          </w:tcPr>
          <w:p>
            <w:pPr>
              <w:spacing w:line="240" w:lineRule="auto"/>
              <w:ind w:firstLine="0" w:firstLineChars="0"/>
              <w:jc w:val="center"/>
              <w:rPr>
                <w:sz w:val="21"/>
                <w:szCs w:val="21"/>
                <w:highlight w:val="none"/>
              </w:rPr>
            </w:pPr>
            <w:r>
              <w:rPr>
                <w:sz w:val="21"/>
                <w:szCs w:val="21"/>
                <w:highlight w:val="none"/>
              </w:rPr>
              <w:t>地下水环境敏感程度</w:t>
            </w:r>
          </w:p>
        </w:tc>
        <w:tc>
          <w:tcPr>
            <w:tcW w:w="4868" w:type="dxa"/>
            <w:vAlign w:val="center"/>
          </w:tcPr>
          <w:p>
            <w:pPr>
              <w:spacing w:line="240" w:lineRule="auto"/>
              <w:ind w:firstLine="0" w:firstLineChars="0"/>
              <w:jc w:val="center"/>
              <w:rPr>
                <w:sz w:val="21"/>
                <w:szCs w:val="21"/>
                <w:highlight w:val="none"/>
              </w:rPr>
            </w:pPr>
            <w:r>
              <w:rPr>
                <w:rFonts w:hint="eastAsia"/>
                <w:sz w:val="21"/>
                <w:szCs w:val="21"/>
                <w:highlight w:val="none"/>
              </w:rPr>
              <w:t>评价区附近范围内村庄存在集中式的饮用水井，项目位于未划定准保护区的集中式饮用水水源，其保护区以外的补给径流区</w:t>
            </w:r>
          </w:p>
        </w:tc>
        <w:tc>
          <w:tcPr>
            <w:tcW w:w="1420" w:type="dxa"/>
            <w:vAlign w:val="center"/>
          </w:tcPr>
          <w:p>
            <w:pPr>
              <w:spacing w:line="240" w:lineRule="auto"/>
              <w:ind w:firstLine="0" w:firstLineChars="0"/>
              <w:jc w:val="center"/>
              <w:rPr>
                <w:sz w:val="21"/>
                <w:szCs w:val="21"/>
                <w:highlight w:val="none"/>
              </w:rPr>
            </w:pPr>
            <w:r>
              <w:rPr>
                <w:sz w:val="21"/>
                <w:szCs w:val="21"/>
                <w:highlight w:val="none"/>
              </w:rPr>
              <w:t>较敏感</w:t>
            </w:r>
          </w:p>
        </w:tc>
        <w:tc>
          <w:tcPr>
            <w:tcW w:w="757" w:type="dxa"/>
            <w:vMerge w:val="continue"/>
            <w:vAlign w:val="center"/>
          </w:tcPr>
          <w:p>
            <w:pPr>
              <w:spacing w:line="240" w:lineRule="auto"/>
              <w:ind w:firstLine="420"/>
              <w:jc w:val="center"/>
              <w:rPr>
                <w:sz w:val="21"/>
                <w:szCs w:val="21"/>
                <w:highlight w:val="none"/>
              </w:rPr>
            </w:pPr>
          </w:p>
        </w:tc>
      </w:tr>
    </w:tbl>
    <w:p>
      <w:pPr>
        <w:pStyle w:val="3"/>
        <w:numPr>
          <w:ilvl w:val="3"/>
          <w:numId w:val="1"/>
        </w:numPr>
        <w:ind w:left="709" w:hanging="709"/>
        <w:rPr>
          <w:rFonts w:eastAsia="宋体"/>
          <w:b/>
          <w:highlight w:val="none"/>
        </w:rPr>
      </w:pPr>
      <w:bookmarkStart w:id="145" w:name="_Toc454814692"/>
      <w:bookmarkStart w:id="146" w:name="_Toc404609333"/>
      <w:bookmarkStart w:id="147" w:name="_Toc368057995"/>
      <w:bookmarkStart w:id="148" w:name="_Toc289702407"/>
      <w:bookmarkStart w:id="149" w:name="_Toc357061485"/>
      <w:bookmarkStart w:id="150" w:name="_Toc454481484"/>
      <w:bookmarkStart w:id="151" w:name="_Toc356290153"/>
      <w:bookmarkStart w:id="152" w:name="_Toc289699131"/>
      <w:bookmarkStart w:id="153" w:name="_Toc323717215"/>
      <w:bookmarkStart w:id="154" w:name="_Toc291143876"/>
      <w:bookmarkStart w:id="155" w:name="_Toc323716396"/>
      <w:bookmarkStart w:id="156" w:name="_Toc296673007"/>
      <w:bookmarkStart w:id="157" w:name="_Toc289702798"/>
      <w:r>
        <w:rPr>
          <w:rFonts w:eastAsia="宋体"/>
          <w:b/>
          <w:highlight w:val="none"/>
        </w:rPr>
        <w:t>声环境</w:t>
      </w:r>
      <w:bookmarkEnd w:id="145"/>
      <w:bookmarkEnd w:id="146"/>
      <w:bookmarkEnd w:id="147"/>
      <w:bookmarkEnd w:id="148"/>
      <w:bookmarkEnd w:id="149"/>
      <w:bookmarkEnd w:id="150"/>
      <w:bookmarkEnd w:id="151"/>
      <w:bookmarkEnd w:id="152"/>
      <w:bookmarkEnd w:id="153"/>
      <w:bookmarkEnd w:id="154"/>
      <w:bookmarkEnd w:id="155"/>
      <w:bookmarkEnd w:id="156"/>
      <w:bookmarkEnd w:id="157"/>
    </w:p>
    <w:p>
      <w:pPr>
        <w:ind w:firstLine="480"/>
        <w:jc w:val="both"/>
        <w:rPr>
          <w:sz w:val="24"/>
          <w:szCs w:val="24"/>
          <w:highlight w:val="none"/>
        </w:rPr>
      </w:pPr>
      <w:bookmarkStart w:id="158" w:name="_Hlk532027910"/>
      <w:bookmarkStart w:id="159" w:name="_Toc357061486"/>
      <w:bookmarkStart w:id="160" w:name="_Toc323716397"/>
      <w:bookmarkStart w:id="161" w:name="_Toc368057996"/>
      <w:bookmarkStart w:id="162" w:name="_Toc323717216"/>
      <w:bookmarkStart w:id="163" w:name="_Toc356290154"/>
      <w:bookmarkStart w:id="164" w:name="_Toc404609334"/>
      <w:r>
        <w:rPr>
          <w:sz w:val="24"/>
          <w:szCs w:val="24"/>
          <w:highlight w:val="none"/>
        </w:rPr>
        <w:t>根据《环境影响评价技术导则声环境》（HJ2.4-20</w:t>
      </w:r>
      <w:r>
        <w:rPr>
          <w:rFonts w:hint="eastAsia"/>
          <w:sz w:val="24"/>
          <w:szCs w:val="24"/>
          <w:highlight w:val="none"/>
          <w:lang w:val="en-US" w:eastAsia="zh-CN"/>
        </w:rPr>
        <w:t>21</w:t>
      </w:r>
      <w:r>
        <w:rPr>
          <w:sz w:val="24"/>
          <w:szCs w:val="24"/>
          <w:highlight w:val="none"/>
        </w:rPr>
        <w:t>）中的规定：“建设项目所处的声环境功能区为GB3096规定的1类、2类地区，或建设项目建设前后评价范围内敏感目标噪声级增高量达3dB(A)～5dB(A)（含5dB(A)），或受噪声影响人口数量增加较多时，按二级评价。”</w:t>
      </w:r>
    </w:p>
    <w:p>
      <w:pPr>
        <w:ind w:firstLine="480"/>
        <w:jc w:val="both"/>
        <w:rPr>
          <w:sz w:val="24"/>
          <w:szCs w:val="24"/>
          <w:highlight w:val="none"/>
        </w:rPr>
      </w:pPr>
      <w:r>
        <w:rPr>
          <w:sz w:val="24"/>
          <w:szCs w:val="24"/>
          <w:highlight w:val="none"/>
        </w:rPr>
        <w:t>本项目所在区域属于GB3096-2008规定的2类声环境功能区，项目建设前后评价范围内敏感目标噪声级增加量小于3dB（A）且受噪声影响的人口数量基本不增加，确定本项目声环境影响评价等级为二级。</w:t>
      </w:r>
      <w:bookmarkEnd w:id="158"/>
    </w:p>
    <w:p>
      <w:pPr>
        <w:pStyle w:val="3"/>
        <w:numPr>
          <w:ilvl w:val="3"/>
          <w:numId w:val="1"/>
        </w:numPr>
        <w:ind w:left="709" w:hanging="709"/>
        <w:rPr>
          <w:rFonts w:eastAsia="宋体"/>
          <w:b/>
          <w:highlight w:val="none"/>
        </w:rPr>
      </w:pPr>
      <w:r>
        <w:rPr>
          <w:rFonts w:hint="eastAsia" w:eastAsia="宋体"/>
          <w:b/>
          <w:highlight w:val="none"/>
        </w:rPr>
        <w:t>土壤环境</w:t>
      </w:r>
    </w:p>
    <w:p>
      <w:pPr>
        <w:pStyle w:val="288"/>
        <w:spacing w:line="360" w:lineRule="auto"/>
        <w:rPr>
          <w:highlight w:val="none"/>
        </w:rPr>
      </w:pPr>
      <w:r>
        <w:rPr>
          <w:rFonts w:hint="eastAsia"/>
          <w:highlight w:val="none"/>
        </w:rPr>
        <w:t>依据《环境影响评价技术导则 土壤环境》（HJ964-2018）评价等级划分的规定，建设项目土壤环境影响评价工作等级的划分应依据建设项目影响类型、行业分类、项目占地规模及土壤环境敏感程度分级进行判定。</w:t>
      </w:r>
    </w:p>
    <w:p>
      <w:pPr>
        <w:pStyle w:val="288"/>
        <w:spacing w:line="360" w:lineRule="auto"/>
        <w:ind w:firstLine="240" w:firstLineChars="100"/>
        <w:rPr>
          <w:highlight w:val="none"/>
        </w:rPr>
      </w:pPr>
      <w:r>
        <w:rPr>
          <w:rFonts w:hint="eastAsia"/>
          <w:highlight w:val="none"/>
        </w:rPr>
        <w:t xml:space="preserve"> (1)项目类别</w:t>
      </w:r>
    </w:p>
    <w:p>
      <w:pPr>
        <w:pStyle w:val="288"/>
        <w:spacing w:line="360" w:lineRule="auto"/>
        <w:rPr>
          <w:highlight w:val="none"/>
        </w:rPr>
      </w:pPr>
      <w:r>
        <w:rPr>
          <w:rFonts w:hint="eastAsia"/>
          <w:highlight w:val="none"/>
        </w:rPr>
        <w:t>根据《环境影响评价技术导则·土壤环境（试行）》(HJ964-2018)附录A—土壤环境影响评价项目类别表，确定本项目土壤环境影响评价项目类别为I</w:t>
      </w:r>
      <w:r>
        <w:rPr>
          <w:highlight w:val="none"/>
        </w:rPr>
        <w:t>II</w:t>
      </w:r>
      <w:r>
        <w:rPr>
          <w:rFonts w:hint="eastAsia"/>
          <w:highlight w:val="none"/>
        </w:rPr>
        <w:t>类（“采矿业”中的“其他”类别）。</w:t>
      </w:r>
    </w:p>
    <w:p>
      <w:pPr>
        <w:pStyle w:val="288"/>
        <w:spacing w:line="360" w:lineRule="auto"/>
        <w:ind w:firstLine="240" w:firstLineChars="100"/>
        <w:rPr>
          <w:highlight w:val="none"/>
        </w:rPr>
      </w:pPr>
      <w:r>
        <w:rPr>
          <w:rFonts w:hint="eastAsia"/>
          <w:highlight w:val="none"/>
        </w:rPr>
        <w:t>（2）建设项目土壤环境影响类型与影响途径识别</w:t>
      </w:r>
    </w:p>
    <w:p>
      <w:pPr>
        <w:pStyle w:val="288"/>
        <w:spacing w:line="360" w:lineRule="auto"/>
        <w:rPr>
          <w:highlight w:val="none"/>
        </w:rPr>
      </w:pPr>
      <w:r>
        <w:rPr>
          <w:rFonts w:hint="eastAsia"/>
          <w:highlight w:val="none"/>
        </w:rPr>
        <w:t>依据《建设项目环境影响评价技术导则·总纲》(HJ2.1-2016)中对建设项目污染影响和生态影响的相关要求，结合本项目的工程分析内容，确定本项目土壤环境影响类型为“污染影响型”。</w:t>
      </w:r>
    </w:p>
    <w:p>
      <w:pPr>
        <w:pStyle w:val="288"/>
        <w:spacing w:line="360" w:lineRule="auto"/>
        <w:ind w:firstLine="210" w:firstLineChars="100"/>
        <w:jc w:val="center"/>
        <w:rPr>
          <w:rFonts w:ascii="黑体" w:hAnsi="黑体" w:eastAsia="黑体"/>
          <w:sz w:val="21"/>
          <w:highlight w:val="none"/>
        </w:rPr>
      </w:pPr>
      <w:r>
        <w:rPr>
          <w:rFonts w:hint="eastAsia" w:ascii="黑体" w:hAnsi="黑体" w:eastAsia="黑体"/>
          <w:sz w:val="21"/>
          <w:highlight w:val="none"/>
        </w:rPr>
        <w:t>表2.5-10  建设项目土壤环境影响类型与影响途径表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1147"/>
        <w:gridCol w:w="1134"/>
        <w:gridCol w:w="1134"/>
        <w:gridCol w:w="992"/>
        <w:gridCol w:w="851"/>
        <w:gridCol w:w="708"/>
        <w:gridCol w:w="851"/>
        <w:gridCol w:w="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6" w:type="dxa"/>
            <w:vMerge w:val="restart"/>
            <w:vAlign w:val="center"/>
          </w:tcPr>
          <w:p>
            <w:pPr>
              <w:pStyle w:val="313"/>
              <w:rPr>
                <w:highlight w:val="none"/>
                <w:lang w:val="en-US"/>
              </w:rPr>
            </w:pPr>
            <w:r>
              <w:rPr>
                <w:highlight w:val="none"/>
                <w:lang w:val="en-US"/>
              </w:rPr>
              <w:t>不同时段</w:t>
            </w:r>
          </w:p>
        </w:tc>
        <w:tc>
          <w:tcPr>
            <w:tcW w:w="4407" w:type="dxa"/>
            <w:gridSpan w:val="4"/>
            <w:vAlign w:val="center"/>
          </w:tcPr>
          <w:p>
            <w:pPr>
              <w:pStyle w:val="313"/>
              <w:rPr>
                <w:highlight w:val="none"/>
                <w:lang w:val="en-US"/>
              </w:rPr>
            </w:pPr>
            <w:r>
              <w:rPr>
                <w:highlight w:val="none"/>
                <w:lang w:val="en-US"/>
              </w:rPr>
              <w:t>污染影响型</w:t>
            </w:r>
          </w:p>
        </w:tc>
        <w:tc>
          <w:tcPr>
            <w:tcW w:w="3169" w:type="dxa"/>
            <w:gridSpan w:val="4"/>
            <w:vAlign w:val="center"/>
          </w:tcPr>
          <w:p>
            <w:pPr>
              <w:pStyle w:val="313"/>
              <w:rPr>
                <w:highlight w:val="none"/>
                <w:lang w:val="en-US"/>
              </w:rPr>
            </w:pPr>
            <w:r>
              <w:rPr>
                <w:highlight w:val="none"/>
                <w:lang w:val="en-US"/>
              </w:rPr>
              <w:t>生态影响型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6" w:type="dxa"/>
            <w:vMerge w:val="continue"/>
            <w:vAlign w:val="center"/>
          </w:tcPr>
          <w:p>
            <w:pPr>
              <w:pStyle w:val="313"/>
              <w:rPr>
                <w:highlight w:val="none"/>
                <w:lang w:val="en-US"/>
              </w:rPr>
            </w:pPr>
          </w:p>
        </w:tc>
        <w:tc>
          <w:tcPr>
            <w:tcW w:w="1147" w:type="dxa"/>
            <w:vAlign w:val="center"/>
          </w:tcPr>
          <w:p>
            <w:pPr>
              <w:pStyle w:val="313"/>
              <w:rPr>
                <w:highlight w:val="none"/>
                <w:lang w:val="en-US"/>
              </w:rPr>
            </w:pPr>
            <w:r>
              <w:rPr>
                <w:highlight w:val="none"/>
                <w:lang w:val="en-US"/>
              </w:rPr>
              <w:t>大气沉降</w:t>
            </w:r>
          </w:p>
        </w:tc>
        <w:tc>
          <w:tcPr>
            <w:tcW w:w="1134" w:type="dxa"/>
            <w:vAlign w:val="center"/>
          </w:tcPr>
          <w:p>
            <w:pPr>
              <w:pStyle w:val="313"/>
              <w:rPr>
                <w:highlight w:val="none"/>
                <w:lang w:val="en-US"/>
              </w:rPr>
            </w:pPr>
            <w:r>
              <w:rPr>
                <w:highlight w:val="none"/>
                <w:lang w:val="en-US"/>
              </w:rPr>
              <w:t>地面漫流</w:t>
            </w:r>
          </w:p>
        </w:tc>
        <w:tc>
          <w:tcPr>
            <w:tcW w:w="1134" w:type="dxa"/>
            <w:vAlign w:val="center"/>
          </w:tcPr>
          <w:p>
            <w:pPr>
              <w:pStyle w:val="313"/>
              <w:rPr>
                <w:highlight w:val="none"/>
                <w:lang w:val="en-US"/>
              </w:rPr>
            </w:pPr>
            <w:r>
              <w:rPr>
                <w:highlight w:val="none"/>
                <w:lang w:val="en-US"/>
              </w:rPr>
              <w:t>垂直入渗</w:t>
            </w:r>
          </w:p>
        </w:tc>
        <w:tc>
          <w:tcPr>
            <w:tcW w:w="992" w:type="dxa"/>
            <w:vAlign w:val="center"/>
          </w:tcPr>
          <w:p>
            <w:pPr>
              <w:pStyle w:val="313"/>
              <w:rPr>
                <w:highlight w:val="none"/>
                <w:lang w:val="en-US"/>
              </w:rPr>
            </w:pPr>
            <w:r>
              <w:rPr>
                <w:highlight w:val="none"/>
                <w:lang w:val="en-US"/>
              </w:rPr>
              <w:t>其他</w:t>
            </w:r>
          </w:p>
        </w:tc>
        <w:tc>
          <w:tcPr>
            <w:tcW w:w="851" w:type="dxa"/>
            <w:vAlign w:val="center"/>
          </w:tcPr>
          <w:p>
            <w:pPr>
              <w:pStyle w:val="313"/>
              <w:rPr>
                <w:highlight w:val="none"/>
                <w:lang w:val="en-US"/>
              </w:rPr>
            </w:pPr>
            <w:r>
              <w:rPr>
                <w:highlight w:val="none"/>
                <w:lang w:val="en-US"/>
              </w:rPr>
              <w:t>盐化</w:t>
            </w:r>
          </w:p>
        </w:tc>
        <w:tc>
          <w:tcPr>
            <w:tcW w:w="708" w:type="dxa"/>
            <w:vAlign w:val="center"/>
          </w:tcPr>
          <w:p>
            <w:pPr>
              <w:pStyle w:val="313"/>
              <w:rPr>
                <w:highlight w:val="none"/>
                <w:lang w:val="en-US"/>
              </w:rPr>
            </w:pPr>
            <w:r>
              <w:rPr>
                <w:highlight w:val="none"/>
                <w:lang w:val="en-US"/>
              </w:rPr>
              <w:t>碱化</w:t>
            </w:r>
          </w:p>
        </w:tc>
        <w:tc>
          <w:tcPr>
            <w:tcW w:w="851" w:type="dxa"/>
            <w:vAlign w:val="center"/>
          </w:tcPr>
          <w:p>
            <w:pPr>
              <w:pStyle w:val="313"/>
              <w:rPr>
                <w:highlight w:val="none"/>
                <w:lang w:val="en-US"/>
              </w:rPr>
            </w:pPr>
            <w:r>
              <w:rPr>
                <w:highlight w:val="none"/>
                <w:lang w:val="en-US"/>
              </w:rPr>
              <w:t>酸化</w:t>
            </w:r>
          </w:p>
        </w:tc>
        <w:tc>
          <w:tcPr>
            <w:tcW w:w="759" w:type="dxa"/>
            <w:vAlign w:val="center"/>
          </w:tcPr>
          <w:p>
            <w:pPr>
              <w:pStyle w:val="313"/>
              <w:rPr>
                <w:highlight w:val="none"/>
                <w:lang w:val="en-US"/>
              </w:rPr>
            </w:pPr>
            <w:r>
              <w:rPr>
                <w:highlight w:val="none"/>
                <w:lang w:val="en-US"/>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6" w:type="dxa"/>
            <w:vAlign w:val="center"/>
          </w:tcPr>
          <w:p>
            <w:pPr>
              <w:pStyle w:val="313"/>
              <w:rPr>
                <w:highlight w:val="none"/>
                <w:lang w:val="en-US"/>
              </w:rPr>
            </w:pPr>
            <w:r>
              <w:rPr>
                <w:highlight w:val="none"/>
                <w:lang w:val="en-US"/>
              </w:rPr>
              <w:t>建设期</w:t>
            </w:r>
          </w:p>
        </w:tc>
        <w:tc>
          <w:tcPr>
            <w:tcW w:w="1147"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992"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08"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59" w:type="dxa"/>
            <w:vAlign w:val="center"/>
          </w:tcPr>
          <w:p>
            <w:pPr>
              <w:pStyle w:val="313"/>
              <w:rPr>
                <w:highlight w:val="none"/>
                <w:lang w:val="en-US"/>
              </w:rPr>
            </w:pPr>
            <w:r>
              <w:rPr>
                <w:rFonts w:hint="eastAsia"/>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6" w:type="dxa"/>
            <w:vAlign w:val="center"/>
          </w:tcPr>
          <w:p>
            <w:pPr>
              <w:pStyle w:val="313"/>
              <w:rPr>
                <w:highlight w:val="none"/>
                <w:lang w:val="en-US"/>
              </w:rPr>
            </w:pPr>
            <w:r>
              <w:rPr>
                <w:highlight w:val="none"/>
                <w:lang w:val="en-US"/>
              </w:rPr>
              <w:t>运营期</w:t>
            </w:r>
          </w:p>
        </w:tc>
        <w:tc>
          <w:tcPr>
            <w:tcW w:w="1147"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992"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08"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59" w:type="dxa"/>
            <w:vAlign w:val="center"/>
          </w:tcPr>
          <w:p>
            <w:pPr>
              <w:pStyle w:val="313"/>
              <w:rPr>
                <w:highlight w:val="none"/>
                <w:lang w:val="en-US"/>
              </w:rPr>
            </w:pPr>
            <w:r>
              <w:rPr>
                <w:rFonts w:hint="eastAsia"/>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vAlign w:val="center"/>
          </w:tcPr>
          <w:p>
            <w:pPr>
              <w:pStyle w:val="313"/>
              <w:rPr>
                <w:highlight w:val="none"/>
                <w:lang w:val="en-US"/>
              </w:rPr>
            </w:pPr>
            <w:r>
              <w:rPr>
                <w:highlight w:val="none"/>
                <w:lang w:val="en-US"/>
              </w:rPr>
              <w:t>服务期满后</w:t>
            </w:r>
          </w:p>
        </w:tc>
        <w:tc>
          <w:tcPr>
            <w:tcW w:w="1147"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992"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08"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59" w:type="dxa"/>
            <w:vAlign w:val="center"/>
          </w:tcPr>
          <w:p>
            <w:pPr>
              <w:pStyle w:val="313"/>
              <w:rPr>
                <w:highlight w:val="none"/>
                <w:lang w:val="en-US"/>
              </w:rPr>
            </w:pPr>
            <w:r>
              <w:rPr>
                <w:rFonts w:hint="eastAsia"/>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2" w:type="dxa"/>
            <w:gridSpan w:val="9"/>
            <w:vAlign w:val="center"/>
          </w:tcPr>
          <w:p>
            <w:pPr>
              <w:pStyle w:val="313"/>
              <w:jc w:val="left"/>
              <w:rPr>
                <w:highlight w:val="none"/>
                <w:lang w:val="en-US"/>
              </w:rPr>
            </w:pPr>
            <w:r>
              <w:rPr>
                <w:highlight w:val="none"/>
                <w:lang w:val="en-US"/>
              </w:rPr>
              <w:t>注</w:t>
            </w:r>
            <w:r>
              <w:rPr>
                <w:rFonts w:hint="eastAsia"/>
                <w:highlight w:val="none"/>
                <w:lang w:val="en-US"/>
              </w:rPr>
              <w:t>：</w:t>
            </w:r>
            <w:r>
              <w:rPr>
                <w:highlight w:val="none"/>
                <w:lang w:val="en-US"/>
              </w:rPr>
              <w:t>在可能产生的土壤环境影响类型处打</w:t>
            </w:r>
            <w:r>
              <w:rPr>
                <w:rFonts w:hint="eastAsia"/>
                <w:highlight w:val="none"/>
                <w:lang w:val="en-US"/>
              </w:rPr>
              <w:t>“√”，列表未涵盖的可自行设计</w:t>
            </w:r>
          </w:p>
        </w:tc>
      </w:tr>
    </w:tbl>
    <w:p>
      <w:pPr>
        <w:autoSpaceDE w:val="0"/>
        <w:autoSpaceDN w:val="0"/>
        <w:spacing w:line="240" w:lineRule="auto"/>
        <w:ind w:firstLine="420"/>
        <w:textAlignment w:val="auto"/>
        <w:rPr>
          <w:rFonts w:eastAsia="黑体"/>
          <w:bCs/>
          <w:kern w:val="2"/>
          <w:sz w:val="21"/>
          <w:szCs w:val="21"/>
          <w:highlight w:val="none"/>
        </w:rPr>
      </w:pPr>
    </w:p>
    <w:p>
      <w:pPr>
        <w:spacing w:line="240" w:lineRule="auto"/>
        <w:ind w:firstLineChars="0"/>
        <w:jc w:val="center"/>
        <w:textAlignment w:val="auto"/>
        <w:rPr>
          <w:rFonts w:eastAsia="黑体"/>
          <w:kern w:val="2"/>
          <w:sz w:val="21"/>
          <w:szCs w:val="21"/>
          <w:highlight w:val="none"/>
        </w:rPr>
      </w:pPr>
      <w:r>
        <w:rPr>
          <w:rFonts w:hint="eastAsia" w:eastAsia="黑体"/>
          <w:kern w:val="2"/>
          <w:sz w:val="21"/>
          <w:szCs w:val="21"/>
          <w:highlight w:val="none"/>
        </w:rPr>
        <w:t xml:space="preserve">表2. 5–11 </w:t>
      </w:r>
      <w:r>
        <w:rPr>
          <w:rFonts w:eastAsia="黑体"/>
          <w:kern w:val="2"/>
          <w:sz w:val="21"/>
          <w:szCs w:val="21"/>
          <w:highlight w:val="none"/>
        </w:rPr>
        <w:t xml:space="preserve"> </w:t>
      </w:r>
      <w:r>
        <w:rPr>
          <w:rFonts w:hint="eastAsia" w:eastAsia="黑体"/>
          <w:kern w:val="2"/>
          <w:sz w:val="21"/>
          <w:szCs w:val="21"/>
          <w:highlight w:val="none"/>
        </w:rPr>
        <w:t>项目土壤环境影响源及影响因子识别一览表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419"/>
        <w:gridCol w:w="1419"/>
        <w:gridCol w:w="1419"/>
        <w:gridCol w:w="1419"/>
        <w:gridCol w:w="14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465" w:type="dxa"/>
            <w:shd w:val="clear" w:color="auto" w:fill="auto"/>
            <w:vAlign w:val="center"/>
          </w:tcPr>
          <w:p>
            <w:pPr>
              <w:pStyle w:val="313"/>
              <w:rPr>
                <w:highlight w:val="none"/>
              </w:rPr>
            </w:pPr>
            <w:r>
              <w:rPr>
                <w:rFonts w:hint="eastAsia"/>
                <w:highlight w:val="none"/>
              </w:rPr>
              <w:t>污染源</w:t>
            </w:r>
          </w:p>
        </w:tc>
        <w:tc>
          <w:tcPr>
            <w:tcW w:w="1466" w:type="dxa"/>
            <w:shd w:val="clear" w:color="auto" w:fill="auto"/>
            <w:vAlign w:val="center"/>
          </w:tcPr>
          <w:p>
            <w:pPr>
              <w:pStyle w:val="313"/>
              <w:rPr>
                <w:highlight w:val="none"/>
              </w:rPr>
            </w:pPr>
            <w:r>
              <w:rPr>
                <w:rFonts w:hint="eastAsia"/>
                <w:highlight w:val="none"/>
              </w:rPr>
              <w:t>工艺流程/节点</w:t>
            </w:r>
          </w:p>
        </w:tc>
        <w:tc>
          <w:tcPr>
            <w:tcW w:w="1466" w:type="dxa"/>
            <w:shd w:val="clear" w:color="auto" w:fill="auto"/>
            <w:vAlign w:val="center"/>
          </w:tcPr>
          <w:p>
            <w:pPr>
              <w:pStyle w:val="313"/>
              <w:rPr>
                <w:highlight w:val="none"/>
              </w:rPr>
            </w:pPr>
            <w:r>
              <w:rPr>
                <w:rFonts w:hint="eastAsia"/>
                <w:highlight w:val="none"/>
              </w:rPr>
              <w:t>污染途径</w:t>
            </w:r>
          </w:p>
        </w:tc>
        <w:tc>
          <w:tcPr>
            <w:tcW w:w="1466" w:type="dxa"/>
            <w:shd w:val="clear" w:color="auto" w:fill="auto"/>
            <w:vAlign w:val="center"/>
          </w:tcPr>
          <w:p>
            <w:pPr>
              <w:pStyle w:val="313"/>
              <w:rPr>
                <w:highlight w:val="none"/>
              </w:rPr>
            </w:pPr>
            <w:r>
              <w:rPr>
                <w:rFonts w:hint="eastAsia"/>
                <w:highlight w:val="none"/>
              </w:rPr>
              <w:t>全部污染物指标</w:t>
            </w:r>
          </w:p>
        </w:tc>
        <w:tc>
          <w:tcPr>
            <w:tcW w:w="1466" w:type="dxa"/>
            <w:shd w:val="clear" w:color="auto" w:fill="auto"/>
            <w:vAlign w:val="center"/>
          </w:tcPr>
          <w:p>
            <w:pPr>
              <w:pStyle w:val="313"/>
              <w:rPr>
                <w:highlight w:val="none"/>
              </w:rPr>
            </w:pPr>
            <w:r>
              <w:rPr>
                <w:rFonts w:hint="eastAsia"/>
                <w:highlight w:val="none"/>
              </w:rPr>
              <w:t>特征因子</w:t>
            </w:r>
          </w:p>
        </w:tc>
        <w:tc>
          <w:tcPr>
            <w:tcW w:w="1466" w:type="dxa"/>
            <w:shd w:val="clear" w:color="auto" w:fill="auto"/>
            <w:vAlign w:val="center"/>
          </w:tcPr>
          <w:p>
            <w:pPr>
              <w:pStyle w:val="313"/>
              <w:rPr>
                <w:highlight w:val="none"/>
              </w:rPr>
            </w:pPr>
            <w:r>
              <w:rPr>
                <w:rFonts w:hint="eastAsia"/>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破碎筛分生产线</w:t>
            </w:r>
          </w:p>
        </w:tc>
        <w:tc>
          <w:tcPr>
            <w:tcW w:w="1466" w:type="dxa"/>
            <w:shd w:val="clear" w:color="auto" w:fill="auto"/>
            <w:vAlign w:val="center"/>
          </w:tcPr>
          <w:p>
            <w:pPr>
              <w:pStyle w:val="313"/>
              <w:rPr>
                <w:highlight w:val="none"/>
              </w:rPr>
            </w:pPr>
            <w:r>
              <w:rPr>
                <w:rFonts w:hint="eastAsia"/>
                <w:highlight w:val="none"/>
              </w:rPr>
              <w:t>破碎粉尘</w:t>
            </w:r>
          </w:p>
        </w:tc>
        <w:tc>
          <w:tcPr>
            <w:tcW w:w="1466" w:type="dxa"/>
            <w:shd w:val="clear" w:color="auto" w:fill="auto"/>
            <w:vAlign w:val="center"/>
          </w:tcPr>
          <w:p>
            <w:pPr>
              <w:pStyle w:val="313"/>
              <w:rPr>
                <w:highlight w:val="none"/>
              </w:rPr>
            </w:pPr>
            <w:r>
              <w:rPr>
                <w:rFonts w:hint="eastAsia"/>
                <w:highlight w:val="none"/>
              </w:rPr>
              <w:t>大气沉降</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w:t>
            </w:r>
            <w:r>
              <w:rPr>
                <w:highlight w:val="none"/>
              </w:rPr>
              <w:t>-</w:t>
            </w:r>
          </w:p>
        </w:tc>
        <w:tc>
          <w:tcPr>
            <w:tcW w:w="1466" w:type="dxa"/>
            <w:shd w:val="clear" w:color="auto" w:fill="auto"/>
            <w:vAlign w:val="center"/>
          </w:tcPr>
          <w:p>
            <w:pPr>
              <w:pStyle w:val="313"/>
              <w:rPr>
                <w:highlight w:val="none"/>
              </w:rPr>
            </w:pPr>
            <w:r>
              <w:rPr>
                <w:rFonts w:hint="eastAsia"/>
                <w:highlight w:val="none"/>
              </w:rPr>
              <w:t>周围敏感目标主要耕地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浓密池</w:t>
            </w:r>
          </w:p>
        </w:tc>
        <w:tc>
          <w:tcPr>
            <w:tcW w:w="1466" w:type="dxa"/>
            <w:shd w:val="clear" w:color="auto" w:fill="auto"/>
            <w:vAlign w:val="center"/>
          </w:tcPr>
          <w:p>
            <w:pPr>
              <w:pStyle w:val="313"/>
              <w:rPr>
                <w:highlight w:val="none"/>
              </w:rPr>
            </w:pPr>
            <w:r>
              <w:rPr>
                <w:rFonts w:hint="eastAsia"/>
                <w:highlight w:val="none"/>
              </w:rPr>
              <w:t>水处理</w:t>
            </w:r>
          </w:p>
        </w:tc>
        <w:tc>
          <w:tcPr>
            <w:tcW w:w="1466" w:type="dxa"/>
            <w:shd w:val="clear" w:color="auto" w:fill="auto"/>
            <w:vAlign w:val="center"/>
          </w:tcPr>
          <w:p>
            <w:pPr>
              <w:pStyle w:val="313"/>
              <w:rPr>
                <w:highlight w:val="none"/>
              </w:rPr>
            </w:pPr>
            <w:r>
              <w:rPr>
                <w:rFonts w:hint="eastAsia"/>
                <w:highlight w:val="none"/>
              </w:rPr>
              <w:t>垂直入渗</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间断、事故</w:t>
            </w:r>
          </w:p>
        </w:tc>
      </w:tr>
    </w:tbl>
    <w:p>
      <w:pPr>
        <w:pStyle w:val="288"/>
        <w:spacing w:line="360" w:lineRule="auto"/>
        <w:rPr>
          <w:highlight w:val="none"/>
        </w:rPr>
      </w:pPr>
      <w:r>
        <w:rPr>
          <w:rFonts w:hint="eastAsia"/>
          <w:highlight w:val="none"/>
        </w:rPr>
        <w:t>(3)占地规模</w:t>
      </w:r>
    </w:p>
    <w:p>
      <w:pPr>
        <w:pStyle w:val="288"/>
        <w:spacing w:line="360" w:lineRule="auto"/>
        <w:rPr>
          <w:highlight w:val="none"/>
        </w:rPr>
      </w:pPr>
      <w:r>
        <w:rPr>
          <w:rFonts w:hint="eastAsia"/>
          <w:highlight w:val="none"/>
        </w:rPr>
        <w:t>本项目永久占地规模＜5hm</w:t>
      </w:r>
      <w:r>
        <w:rPr>
          <w:rFonts w:hint="eastAsia"/>
          <w:highlight w:val="none"/>
          <w:vertAlign w:val="superscript"/>
        </w:rPr>
        <w:t>2</w:t>
      </w:r>
      <w:r>
        <w:rPr>
          <w:rFonts w:hint="eastAsia"/>
          <w:highlight w:val="none"/>
        </w:rPr>
        <w:t>，属于小型规模。</w:t>
      </w:r>
    </w:p>
    <w:p>
      <w:pPr>
        <w:pStyle w:val="288"/>
        <w:spacing w:line="360" w:lineRule="auto"/>
        <w:rPr>
          <w:highlight w:val="none"/>
        </w:rPr>
      </w:pPr>
      <w:r>
        <w:rPr>
          <w:rFonts w:hint="eastAsia"/>
          <w:highlight w:val="none"/>
        </w:rPr>
        <w:t>(4)土壤环境敏感程度</w:t>
      </w:r>
    </w:p>
    <w:p>
      <w:pPr>
        <w:pStyle w:val="288"/>
        <w:spacing w:line="360" w:lineRule="auto"/>
        <w:rPr>
          <w:highlight w:val="none"/>
        </w:rPr>
      </w:pPr>
      <w:r>
        <w:rPr>
          <w:rFonts w:hint="eastAsia"/>
          <w:highlight w:val="none"/>
        </w:rPr>
        <w:t xml:space="preserve">建设项目所在地周边的土壤环境敏感程度可分为敏感、较敏感、不敏感三级，判别依据见表 </w:t>
      </w:r>
      <w:r>
        <w:rPr>
          <w:highlight w:val="none"/>
        </w:rPr>
        <w:t>2.</w:t>
      </w:r>
      <w:r>
        <w:rPr>
          <w:rFonts w:hint="eastAsia"/>
          <w:highlight w:val="none"/>
        </w:rPr>
        <w:t>5</w:t>
      </w:r>
      <w:r>
        <w:rPr>
          <w:highlight w:val="none"/>
        </w:rPr>
        <w:t>-1</w:t>
      </w:r>
      <w:r>
        <w:rPr>
          <w:rFonts w:hint="eastAsia"/>
          <w:highlight w:val="none"/>
        </w:rPr>
        <w:t>2。</w:t>
      </w:r>
    </w:p>
    <w:p>
      <w:pPr>
        <w:spacing w:line="240" w:lineRule="auto"/>
        <w:ind w:firstLineChars="0"/>
        <w:jc w:val="center"/>
        <w:textAlignment w:val="auto"/>
        <w:rPr>
          <w:rFonts w:eastAsia="黑体"/>
          <w:kern w:val="2"/>
          <w:sz w:val="21"/>
          <w:szCs w:val="21"/>
          <w:highlight w:val="none"/>
        </w:rPr>
      </w:pPr>
      <w:bookmarkStart w:id="165" w:name="_Ref14098024"/>
      <w:r>
        <w:rPr>
          <w:rFonts w:hint="eastAsia" w:eastAsia="黑体"/>
          <w:kern w:val="2"/>
          <w:sz w:val="21"/>
          <w:szCs w:val="21"/>
          <w:highlight w:val="none"/>
        </w:rPr>
        <w:t xml:space="preserve">表 </w:t>
      </w:r>
      <w:bookmarkEnd w:id="165"/>
      <w:r>
        <w:rPr>
          <w:rFonts w:eastAsia="黑体"/>
          <w:kern w:val="2"/>
          <w:sz w:val="21"/>
          <w:szCs w:val="21"/>
          <w:highlight w:val="none"/>
        </w:rPr>
        <w:t>2.</w:t>
      </w:r>
      <w:r>
        <w:rPr>
          <w:rFonts w:hint="eastAsia" w:eastAsia="黑体"/>
          <w:kern w:val="2"/>
          <w:sz w:val="21"/>
          <w:szCs w:val="21"/>
          <w:highlight w:val="none"/>
        </w:rPr>
        <w:t>5</w:t>
      </w:r>
      <w:r>
        <w:rPr>
          <w:rFonts w:eastAsia="黑体"/>
          <w:kern w:val="2"/>
          <w:sz w:val="21"/>
          <w:szCs w:val="21"/>
          <w:highlight w:val="none"/>
        </w:rPr>
        <w:t>-1</w:t>
      </w:r>
      <w:r>
        <w:rPr>
          <w:rFonts w:hint="eastAsia" w:eastAsia="黑体"/>
          <w:kern w:val="2"/>
          <w:sz w:val="21"/>
          <w:szCs w:val="21"/>
          <w:highlight w:val="none"/>
        </w:rPr>
        <w:t>2</w:t>
      </w:r>
      <w:r>
        <w:rPr>
          <w:rFonts w:eastAsia="黑体"/>
          <w:kern w:val="2"/>
          <w:sz w:val="21"/>
          <w:szCs w:val="21"/>
          <w:highlight w:val="none"/>
        </w:rPr>
        <w:t xml:space="preserve">  </w:t>
      </w:r>
      <w:r>
        <w:rPr>
          <w:rFonts w:hint="eastAsia" w:eastAsia="黑体"/>
          <w:kern w:val="2"/>
          <w:sz w:val="21"/>
          <w:szCs w:val="21"/>
          <w:highlight w:val="none"/>
        </w:rPr>
        <w:t>污染影响型敏感程度分级表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6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tcPr>
          <w:p>
            <w:pPr>
              <w:pStyle w:val="313"/>
              <w:rPr>
                <w:highlight w:val="none"/>
                <w:lang w:val="en-US"/>
              </w:rPr>
            </w:pPr>
            <w:r>
              <w:rPr>
                <w:rFonts w:hint="eastAsia"/>
                <w:highlight w:val="none"/>
                <w:lang w:val="en-US"/>
              </w:rPr>
              <w:t>敏感程度</w:t>
            </w:r>
          </w:p>
        </w:tc>
        <w:tc>
          <w:tcPr>
            <w:tcW w:w="6883" w:type="dxa"/>
            <w:shd w:val="clear" w:color="auto" w:fill="auto"/>
          </w:tcPr>
          <w:p>
            <w:pPr>
              <w:pStyle w:val="313"/>
              <w:rPr>
                <w:highlight w:val="none"/>
                <w:lang w:val="en-US"/>
              </w:rPr>
            </w:pPr>
            <w:r>
              <w:rPr>
                <w:rFonts w:hint="eastAsia"/>
                <w:highlight w:val="none"/>
                <w:lang w:val="en-US"/>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vAlign w:val="center"/>
          </w:tcPr>
          <w:p>
            <w:pPr>
              <w:pStyle w:val="313"/>
              <w:rPr>
                <w:highlight w:val="none"/>
                <w:lang w:val="en-US"/>
              </w:rPr>
            </w:pPr>
            <w:r>
              <w:rPr>
                <w:rFonts w:hint="eastAsia"/>
                <w:highlight w:val="none"/>
                <w:lang w:val="en-US"/>
              </w:rPr>
              <w:t>敏感</w:t>
            </w:r>
          </w:p>
        </w:tc>
        <w:tc>
          <w:tcPr>
            <w:tcW w:w="6883" w:type="dxa"/>
            <w:shd w:val="clear" w:color="auto" w:fill="auto"/>
          </w:tcPr>
          <w:p>
            <w:pPr>
              <w:pStyle w:val="313"/>
              <w:rPr>
                <w:highlight w:val="none"/>
                <w:lang w:val="en-US"/>
              </w:rPr>
            </w:pPr>
            <w:r>
              <w:rPr>
                <w:rFonts w:hint="eastAsia"/>
                <w:highlight w:val="none"/>
                <w:lang w:val="en-US"/>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tcPr>
          <w:p>
            <w:pPr>
              <w:pStyle w:val="313"/>
              <w:rPr>
                <w:highlight w:val="none"/>
                <w:lang w:val="en-US"/>
              </w:rPr>
            </w:pPr>
            <w:r>
              <w:rPr>
                <w:rFonts w:hint="eastAsia"/>
                <w:highlight w:val="none"/>
                <w:lang w:val="en-US"/>
              </w:rPr>
              <w:t>较敏感</w:t>
            </w:r>
          </w:p>
        </w:tc>
        <w:tc>
          <w:tcPr>
            <w:tcW w:w="6883" w:type="dxa"/>
            <w:shd w:val="clear" w:color="auto" w:fill="auto"/>
          </w:tcPr>
          <w:p>
            <w:pPr>
              <w:pStyle w:val="313"/>
              <w:rPr>
                <w:highlight w:val="none"/>
                <w:lang w:val="en-US"/>
              </w:rPr>
            </w:pPr>
            <w:r>
              <w:rPr>
                <w:rFonts w:hint="eastAsia"/>
                <w:highlight w:val="none"/>
                <w:lang w:val="en-US"/>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tcPr>
          <w:p>
            <w:pPr>
              <w:pStyle w:val="313"/>
              <w:rPr>
                <w:highlight w:val="none"/>
                <w:lang w:val="en-US"/>
              </w:rPr>
            </w:pPr>
            <w:r>
              <w:rPr>
                <w:rFonts w:hint="eastAsia"/>
                <w:highlight w:val="none"/>
                <w:lang w:val="en-US"/>
              </w:rPr>
              <w:t>不敏感</w:t>
            </w:r>
          </w:p>
        </w:tc>
        <w:tc>
          <w:tcPr>
            <w:tcW w:w="6883" w:type="dxa"/>
            <w:shd w:val="clear" w:color="auto" w:fill="auto"/>
          </w:tcPr>
          <w:p>
            <w:pPr>
              <w:pStyle w:val="313"/>
              <w:rPr>
                <w:highlight w:val="none"/>
                <w:lang w:val="en-US"/>
              </w:rPr>
            </w:pPr>
            <w:r>
              <w:rPr>
                <w:rFonts w:hint="eastAsia"/>
                <w:highlight w:val="none"/>
                <w:lang w:val="en-US"/>
              </w:rPr>
              <w:t>其他情况</w:t>
            </w:r>
          </w:p>
        </w:tc>
      </w:tr>
    </w:tbl>
    <w:p>
      <w:pPr>
        <w:pStyle w:val="288"/>
        <w:spacing w:line="360" w:lineRule="auto"/>
        <w:rPr>
          <w:highlight w:val="none"/>
        </w:rPr>
      </w:pPr>
      <w:r>
        <w:rPr>
          <w:rFonts w:hint="eastAsia"/>
          <w:highlight w:val="none"/>
        </w:rPr>
        <w:t>项目南北厂区周边均存在耕地等土壤环境敏感目标，因此，本项目土壤环境敏感程度分级为敏感。</w:t>
      </w:r>
    </w:p>
    <w:p>
      <w:pPr>
        <w:pStyle w:val="288"/>
        <w:spacing w:line="360" w:lineRule="auto"/>
        <w:rPr>
          <w:highlight w:val="none"/>
        </w:rPr>
      </w:pPr>
      <w:r>
        <w:rPr>
          <w:highlight w:val="none"/>
        </w:rPr>
        <w:t>(</w:t>
      </w:r>
      <w:r>
        <w:rPr>
          <w:rFonts w:hint="eastAsia"/>
          <w:highlight w:val="none"/>
        </w:rPr>
        <w:t>5)评价工作等级划分依据</w:t>
      </w:r>
    </w:p>
    <w:p>
      <w:pPr>
        <w:pStyle w:val="288"/>
        <w:spacing w:line="360" w:lineRule="auto"/>
        <w:rPr>
          <w:highlight w:val="none"/>
        </w:rPr>
      </w:pPr>
      <w:r>
        <w:rPr>
          <w:rFonts w:hint="eastAsia"/>
          <w:highlight w:val="none"/>
        </w:rPr>
        <w:t>根据《环境影响评价技术导则·土壤环境（试行）》</w:t>
      </w:r>
      <w:r>
        <w:rPr>
          <w:highlight w:val="none"/>
        </w:rPr>
        <w:t>(HJ964-2018)</w:t>
      </w:r>
      <w:r>
        <w:rPr>
          <w:rFonts w:hint="eastAsia"/>
          <w:highlight w:val="none"/>
        </w:rPr>
        <w:t>，土壤环境影响评价工作等级划分见表 2.5-13。</w:t>
      </w:r>
    </w:p>
    <w:p>
      <w:pPr>
        <w:spacing w:line="240" w:lineRule="auto"/>
        <w:ind w:firstLineChars="0"/>
        <w:jc w:val="center"/>
        <w:textAlignment w:val="auto"/>
        <w:rPr>
          <w:rFonts w:eastAsia="黑体"/>
          <w:kern w:val="2"/>
          <w:sz w:val="21"/>
          <w:szCs w:val="21"/>
          <w:highlight w:val="none"/>
        </w:rPr>
      </w:pPr>
      <w:bookmarkStart w:id="166" w:name="_Ref14766141"/>
      <w:r>
        <w:rPr>
          <w:rFonts w:hint="eastAsia" w:eastAsia="黑体"/>
          <w:kern w:val="2"/>
          <w:sz w:val="21"/>
          <w:szCs w:val="21"/>
          <w:highlight w:val="none"/>
        </w:rPr>
        <w:t xml:space="preserve">表 </w:t>
      </w:r>
      <w:bookmarkEnd w:id="166"/>
      <w:r>
        <w:rPr>
          <w:rFonts w:eastAsia="黑体"/>
          <w:kern w:val="2"/>
          <w:sz w:val="21"/>
          <w:szCs w:val="21"/>
          <w:highlight w:val="none"/>
        </w:rPr>
        <w:t>2.</w:t>
      </w:r>
      <w:r>
        <w:rPr>
          <w:rFonts w:hint="eastAsia" w:eastAsia="黑体"/>
          <w:kern w:val="2"/>
          <w:sz w:val="21"/>
          <w:szCs w:val="21"/>
          <w:highlight w:val="none"/>
        </w:rPr>
        <w:t>5</w:t>
      </w:r>
      <w:r>
        <w:rPr>
          <w:rFonts w:eastAsia="黑体"/>
          <w:kern w:val="2"/>
          <w:sz w:val="21"/>
          <w:szCs w:val="21"/>
          <w:highlight w:val="none"/>
        </w:rPr>
        <w:t>-</w:t>
      </w:r>
      <w:r>
        <w:rPr>
          <w:rFonts w:hint="eastAsia" w:eastAsia="黑体"/>
          <w:kern w:val="2"/>
          <w:sz w:val="21"/>
          <w:szCs w:val="21"/>
          <w:highlight w:val="none"/>
        </w:rPr>
        <w:t>13</w:t>
      </w:r>
      <w:r>
        <w:rPr>
          <w:rFonts w:eastAsia="黑体"/>
          <w:kern w:val="2"/>
          <w:sz w:val="21"/>
          <w:szCs w:val="21"/>
          <w:highlight w:val="none"/>
        </w:rPr>
        <w:t xml:space="preserve">  </w:t>
      </w:r>
      <w:r>
        <w:rPr>
          <w:rFonts w:hint="eastAsia" w:eastAsia="黑体"/>
          <w:kern w:val="2"/>
          <w:sz w:val="21"/>
          <w:szCs w:val="21"/>
          <w:highlight w:val="none"/>
        </w:rPr>
        <w:t>污染影响型评价工作等级划分表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7"/>
        <w:gridCol w:w="709"/>
        <w:gridCol w:w="708"/>
        <w:gridCol w:w="567"/>
        <w:gridCol w:w="567"/>
        <w:gridCol w:w="709"/>
        <w:gridCol w:w="709"/>
        <w:gridCol w:w="567"/>
        <w:gridCol w:w="567"/>
        <w:gridCol w:w="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547" w:type="dxa"/>
            <w:vMerge w:val="restart"/>
            <w:shd w:val="clear" w:color="auto" w:fill="auto"/>
            <w:tcMar>
              <w:left w:w="0" w:type="dxa"/>
              <w:right w:w="0" w:type="dxa"/>
            </w:tcMar>
            <w:vAlign w:val="center"/>
          </w:tcPr>
          <w:p>
            <w:pPr>
              <w:pStyle w:val="313"/>
              <w:rPr>
                <w:highlight w:val="none"/>
                <w:lang w:val="en-US"/>
              </w:rPr>
            </w:pPr>
            <w:r>
              <w:rPr>
                <w:highlight w:val="none"/>
                <w:lang w:val="en-US"/>
              </w:rPr>
              <w:pict>
                <v:line id="直接连接符 241" o:spid="_x0000_s2017" o:spt="20" style="position:absolute;left:0pt;flip:x y;margin-left:26.3pt;margin-top:-0.65pt;height:39.75pt;width:98.9pt;z-index:251707392;mso-width-relative:page;mso-height-relative:page;" coordsize="21600,21600" o:gfxdata="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B7a6vYAAAACAEAAA8AAAAAAAAAAQAgAAAAIgAA&#10;AGRycy9kb3ducmV2LnhtbFBLAQIUABQAAAAIAIdO4kA6VOqQCAIAAPADAAAOAAAAAAAAAAEAIAAA&#10;ACcBAABkcnMvZTJvRG9jLnhtbFBLBQYAAAAABgAGAFkBAAChBQAAAAA=&#10;">
                  <v:path arrowok="t"/>
                  <v:fill focussize="0,0"/>
                  <v:stroke weight="0.5pt" joinstyle="miter"/>
                  <v:imagedata o:title=""/>
                  <o:lock v:ext="edit"/>
                </v:line>
              </w:pict>
            </w:r>
            <w:r>
              <w:rPr>
                <w:rFonts w:hint="eastAsia"/>
                <w:highlight w:val="none"/>
                <w:lang w:val="en-US"/>
              </w:rPr>
              <w:t xml:space="preserve"> </w:t>
            </w:r>
            <w:r>
              <w:rPr>
                <w:highlight w:val="none"/>
                <w:lang w:val="en-US"/>
              </w:rPr>
              <w:t xml:space="preserve">          </w:t>
            </w:r>
            <w:r>
              <w:rPr>
                <w:rFonts w:hint="eastAsia"/>
                <w:highlight w:val="none"/>
                <w:lang w:val="en-US"/>
              </w:rPr>
              <w:t>占地规模</w:t>
            </w:r>
          </w:p>
          <w:p>
            <w:pPr>
              <w:pStyle w:val="313"/>
              <w:rPr>
                <w:highlight w:val="none"/>
                <w:lang w:val="en-US"/>
              </w:rPr>
            </w:pPr>
            <w:r>
              <w:rPr>
                <w:highlight w:val="none"/>
                <w:lang w:val="en-US"/>
              </w:rPr>
              <w:pict>
                <v:line id="直接连接符 240" o:spid="_x0000_s2018" o:spt="20" style="position:absolute;left:0pt;flip:x y;margin-left:1.3pt;margin-top:7.85pt;height:19.05pt;width:125.45pt;z-index:251708416;mso-width-relative:page;mso-height-relative:page;" coordsize="21600,21600" o:gfxdata="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W+8m1gAAAAcBAAAPAAAAAAAAAAEAIAAAACIAAABk&#10;cnMvZG93bnJldi54bWxQSwECFAAUAAAACACHTuJAI+irYQgCAADwAwAADgAAAAAAAAABACAAAAAl&#10;AQAAZHJzL2Uyb0RvYy54bWxQSwUGAAAAAAYABgBZAQAAnwUAAAAA&#10;">
                  <v:path arrowok="t"/>
                  <v:fill focussize="0,0"/>
                  <v:stroke weight="0.5pt" joinstyle="miter"/>
                  <v:imagedata o:title=""/>
                  <o:lock v:ext="edit"/>
                </v:line>
              </w:pict>
            </w:r>
            <w:r>
              <w:rPr>
                <w:rFonts w:hint="eastAsia"/>
                <w:highlight w:val="none"/>
                <w:lang w:val="en-US"/>
              </w:rPr>
              <w:t>评价工作等级</w:t>
            </w:r>
          </w:p>
          <w:p>
            <w:pPr>
              <w:pStyle w:val="313"/>
              <w:jc w:val="left"/>
              <w:rPr>
                <w:highlight w:val="none"/>
                <w:lang w:val="en-US"/>
              </w:rPr>
            </w:pPr>
            <w:r>
              <w:rPr>
                <w:rFonts w:hint="eastAsia"/>
                <w:highlight w:val="none"/>
                <w:lang w:val="en-US"/>
              </w:rPr>
              <w:t>敏感程度</w:t>
            </w:r>
          </w:p>
        </w:tc>
        <w:tc>
          <w:tcPr>
            <w:tcW w:w="1984" w:type="dxa"/>
            <w:gridSpan w:val="3"/>
            <w:shd w:val="clear" w:color="auto" w:fill="auto"/>
            <w:tcMar>
              <w:left w:w="0" w:type="dxa"/>
              <w:right w:w="0" w:type="dxa"/>
            </w:tcMar>
            <w:vAlign w:val="center"/>
          </w:tcPr>
          <w:p>
            <w:pPr>
              <w:pStyle w:val="313"/>
              <w:rPr>
                <w:highlight w:val="none"/>
                <w:lang w:val="en-US"/>
              </w:rPr>
            </w:pPr>
            <w:r>
              <w:rPr>
                <w:rFonts w:hint="eastAsia"/>
                <w:highlight w:val="none"/>
                <w:lang w:val="en-US"/>
              </w:rPr>
              <w:t>Ⅰ类</w:t>
            </w:r>
          </w:p>
        </w:tc>
        <w:tc>
          <w:tcPr>
            <w:tcW w:w="1985" w:type="dxa"/>
            <w:gridSpan w:val="3"/>
            <w:shd w:val="clear" w:color="auto" w:fill="auto"/>
            <w:tcMar>
              <w:left w:w="0" w:type="dxa"/>
              <w:right w:w="0" w:type="dxa"/>
            </w:tcMar>
            <w:vAlign w:val="center"/>
          </w:tcPr>
          <w:p>
            <w:pPr>
              <w:pStyle w:val="313"/>
              <w:rPr>
                <w:highlight w:val="none"/>
                <w:lang w:val="en-US"/>
              </w:rPr>
            </w:pPr>
            <w:r>
              <w:rPr>
                <w:rFonts w:hint="eastAsia"/>
                <w:highlight w:val="none"/>
                <w:lang w:val="en-US"/>
              </w:rPr>
              <w:t>Ⅱ类</w:t>
            </w:r>
          </w:p>
        </w:tc>
        <w:tc>
          <w:tcPr>
            <w:tcW w:w="1780" w:type="dxa"/>
            <w:gridSpan w:val="3"/>
            <w:shd w:val="clear" w:color="auto" w:fill="auto"/>
            <w:tcMar>
              <w:left w:w="0" w:type="dxa"/>
              <w:right w:w="0" w:type="dxa"/>
            </w:tcMar>
            <w:vAlign w:val="center"/>
          </w:tcPr>
          <w:p>
            <w:pPr>
              <w:pStyle w:val="313"/>
              <w:rPr>
                <w:highlight w:val="none"/>
                <w:lang w:val="en-US"/>
              </w:rPr>
            </w:pPr>
            <w:r>
              <w:rPr>
                <w:rFonts w:hint="eastAsia"/>
                <w:highlight w:val="none"/>
                <w:lang w:val="en-US"/>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vMerge w:val="continue"/>
            <w:shd w:val="clear" w:color="auto" w:fill="auto"/>
            <w:tcMar>
              <w:left w:w="0" w:type="dxa"/>
              <w:right w:w="0" w:type="dxa"/>
            </w:tcMar>
            <w:vAlign w:val="center"/>
          </w:tcPr>
          <w:p>
            <w:pPr>
              <w:pStyle w:val="313"/>
              <w:rPr>
                <w:highlight w:val="none"/>
                <w:lang w:val="en-US"/>
              </w:rPr>
            </w:pP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大</w:t>
            </w:r>
          </w:p>
        </w:tc>
        <w:tc>
          <w:tcPr>
            <w:tcW w:w="708" w:type="dxa"/>
            <w:shd w:val="clear" w:color="auto" w:fill="auto"/>
            <w:tcMar>
              <w:left w:w="0" w:type="dxa"/>
              <w:right w:w="0" w:type="dxa"/>
            </w:tcMar>
            <w:vAlign w:val="center"/>
          </w:tcPr>
          <w:p>
            <w:pPr>
              <w:pStyle w:val="313"/>
              <w:rPr>
                <w:highlight w:val="none"/>
                <w:lang w:val="en-US"/>
              </w:rPr>
            </w:pPr>
            <w:r>
              <w:rPr>
                <w:rFonts w:hint="eastAsia"/>
                <w:highlight w:val="none"/>
                <w:lang w:val="en-US"/>
              </w:rPr>
              <w:t>中</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小</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中</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小</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中</w:t>
            </w:r>
          </w:p>
        </w:tc>
        <w:tc>
          <w:tcPr>
            <w:tcW w:w="646" w:type="dxa"/>
            <w:shd w:val="clear" w:color="auto" w:fill="auto"/>
            <w:tcMar>
              <w:left w:w="0" w:type="dxa"/>
              <w:right w:w="0" w:type="dxa"/>
            </w:tcMar>
            <w:vAlign w:val="center"/>
          </w:tcPr>
          <w:p>
            <w:pPr>
              <w:pStyle w:val="313"/>
              <w:rPr>
                <w:highlight w:val="none"/>
                <w:lang w:val="en-US"/>
              </w:rPr>
            </w:pPr>
            <w:r>
              <w:rPr>
                <w:rFonts w:hint="eastAsia"/>
                <w:highlight w:val="none"/>
                <w:lang w:val="en-US"/>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shd w:val="clear" w:color="auto" w:fill="auto"/>
            <w:tcMar>
              <w:left w:w="0" w:type="dxa"/>
              <w:right w:w="0" w:type="dxa"/>
            </w:tcMar>
            <w:vAlign w:val="center"/>
          </w:tcPr>
          <w:p>
            <w:pPr>
              <w:pStyle w:val="313"/>
              <w:rPr>
                <w:highlight w:val="none"/>
                <w:lang w:val="en-US"/>
              </w:rPr>
            </w:pPr>
            <w:r>
              <w:rPr>
                <w:rFonts w:hint="eastAsia"/>
                <w:highlight w:val="none"/>
                <w:lang w:val="en-US"/>
              </w:rPr>
              <w:t>敏感</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708"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646" w:type="dxa"/>
            <w:shd w:val="clear" w:color="auto" w:fill="auto"/>
            <w:tcMar>
              <w:left w:w="0" w:type="dxa"/>
              <w:right w:w="0" w:type="dxa"/>
            </w:tcMar>
            <w:vAlign w:val="center"/>
          </w:tcPr>
          <w:p>
            <w:pPr>
              <w:pStyle w:val="313"/>
              <w:rPr>
                <w:b/>
                <w:bCs/>
                <w:highlight w:val="none"/>
                <w:lang w:val="en-US"/>
              </w:rPr>
            </w:pPr>
            <w:r>
              <w:rPr>
                <w:rFonts w:hint="eastAsia"/>
                <w:b/>
                <w:bCs/>
                <w:highlight w:val="none"/>
                <w:lang w:val="en-US"/>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shd w:val="clear" w:color="auto" w:fill="auto"/>
            <w:tcMar>
              <w:left w:w="0" w:type="dxa"/>
              <w:right w:w="0" w:type="dxa"/>
            </w:tcMar>
            <w:vAlign w:val="center"/>
          </w:tcPr>
          <w:p>
            <w:pPr>
              <w:pStyle w:val="313"/>
              <w:rPr>
                <w:highlight w:val="none"/>
                <w:lang w:val="en-US"/>
              </w:rPr>
            </w:pPr>
            <w:r>
              <w:rPr>
                <w:rFonts w:hint="eastAsia"/>
                <w:highlight w:val="none"/>
                <w:lang w:val="en-US"/>
              </w:rPr>
              <w:t>较敏感</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708"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646" w:type="dxa"/>
            <w:shd w:val="clear" w:color="auto" w:fill="auto"/>
            <w:tcMar>
              <w:left w:w="0" w:type="dxa"/>
              <w:right w:w="0" w:type="dxa"/>
            </w:tcMar>
            <w:vAlign w:val="center"/>
          </w:tcPr>
          <w:p>
            <w:pPr>
              <w:pStyle w:val="313"/>
              <w:rPr>
                <w:highlight w:val="none"/>
                <w:lang w:val="en-US"/>
              </w:rPr>
            </w:pPr>
            <w:r>
              <w:rPr>
                <w:rFonts w:hint="eastAsia"/>
                <w:highlight w:val="none"/>
                <w:lang w:val="en-US"/>
              </w:rPr>
              <w:t>-</w:t>
            </w:r>
            <w:r>
              <w:rPr>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shd w:val="clear" w:color="auto" w:fill="auto"/>
            <w:tcMar>
              <w:left w:w="0" w:type="dxa"/>
              <w:right w:w="0" w:type="dxa"/>
            </w:tcMar>
            <w:vAlign w:val="center"/>
          </w:tcPr>
          <w:p>
            <w:pPr>
              <w:pStyle w:val="313"/>
              <w:rPr>
                <w:highlight w:val="none"/>
                <w:lang w:val="en-US"/>
              </w:rPr>
            </w:pPr>
            <w:r>
              <w:rPr>
                <w:rFonts w:hint="eastAsia"/>
                <w:highlight w:val="none"/>
                <w:lang w:val="en-US"/>
              </w:rPr>
              <w:t>不敏感</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708"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w:t>
            </w:r>
            <w:r>
              <w:rPr>
                <w:highlight w:val="none"/>
                <w:lang w:val="en-US"/>
              </w:rPr>
              <w:t>-</w:t>
            </w:r>
          </w:p>
        </w:tc>
        <w:tc>
          <w:tcPr>
            <w:tcW w:w="646" w:type="dxa"/>
            <w:shd w:val="clear" w:color="auto" w:fill="auto"/>
            <w:tcMar>
              <w:left w:w="0" w:type="dxa"/>
              <w:right w:w="0" w:type="dxa"/>
            </w:tcMar>
            <w:vAlign w:val="center"/>
          </w:tcPr>
          <w:p>
            <w:pPr>
              <w:pStyle w:val="313"/>
              <w:rPr>
                <w:highlight w:val="none"/>
                <w:lang w:val="en-US"/>
              </w:rPr>
            </w:pPr>
            <w:r>
              <w:rPr>
                <w:rFonts w:hint="eastAsia"/>
                <w:highlight w:val="none"/>
                <w:lang w:val="en-US"/>
              </w:rPr>
              <w:t>-</w:t>
            </w:r>
            <w:r>
              <w:rPr>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10"/>
            <w:shd w:val="clear" w:color="auto" w:fill="auto"/>
            <w:tcMar>
              <w:left w:w="0" w:type="dxa"/>
              <w:right w:w="0" w:type="dxa"/>
            </w:tcMar>
            <w:vAlign w:val="center"/>
          </w:tcPr>
          <w:p>
            <w:pPr>
              <w:pStyle w:val="313"/>
              <w:jc w:val="left"/>
              <w:rPr>
                <w:highlight w:val="none"/>
                <w:lang w:val="en-US"/>
              </w:rPr>
            </w:pPr>
            <w:r>
              <w:rPr>
                <w:rFonts w:hint="eastAsia"/>
                <w:highlight w:val="none"/>
                <w:lang w:val="en-US"/>
              </w:rPr>
              <w:t>注：“-</w:t>
            </w:r>
            <w:r>
              <w:rPr>
                <w:highlight w:val="none"/>
                <w:lang w:val="en-US"/>
              </w:rPr>
              <w:t>-</w:t>
            </w:r>
            <w:r>
              <w:rPr>
                <w:rFonts w:hint="eastAsia"/>
                <w:highlight w:val="none"/>
                <w:lang w:val="en-US"/>
              </w:rPr>
              <w:t>”表示可不开展土壤环境影响评价工作。</w:t>
            </w:r>
          </w:p>
        </w:tc>
      </w:tr>
    </w:tbl>
    <w:p>
      <w:pPr>
        <w:pStyle w:val="288"/>
        <w:spacing w:line="360" w:lineRule="auto"/>
        <w:rPr>
          <w:highlight w:val="none"/>
        </w:rPr>
      </w:pPr>
      <w:r>
        <w:rPr>
          <w:rFonts w:hint="eastAsia"/>
          <w:highlight w:val="none"/>
        </w:rPr>
        <w:t>综合以上分析，根据《环境影响评价技术导则·</w:t>
      </w:r>
      <w:r>
        <w:rPr>
          <w:highlight w:val="none"/>
        </w:rPr>
        <w:t xml:space="preserve"> </w:t>
      </w:r>
      <w:r>
        <w:rPr>
          <w:rFonts w:hint="eastAsia"/>
          <w:highlight w:val="none"/>
        </w:rPr>
        <w:t>土壤环境（试行）》</w:t>
      </w:r>
      <w:r>
        <w:rPr>
          <w:highlight w:val="none"/>
        </w:rPr>
        <w:t>(HJ964-2018)</w:t>
      </w:r>
      <w:r>
        <w:rPr>
          <w:rFonts w:hint="eastAsia"/>
          <w:highlight w:val="none"/>
        </w:rPr>
        <w:t>土壤环境影响评价工作等级划分原则，确定本项目土壤环境影响评价工作等级为三级。</w:t>
      </w:r>
    </w:p>
    <w:p>
      <w:pPr>
        <w:pStyle w:val="3"/>
        <w:numPr>
          <w:ilvl w:val="3"/>
          <w:numId w:val="1"/>
        </w:numPr>
        <w:ind w:left="709" w:hanging="709"/>
        <w:rPr>
          <w:rFonts w:eastAsia="宋体"/>
          <w:b/>
          <w:highlight w:val="none"/>
        </w:rPr>
      </w:pPr>
      <w:bookmarkStart w:id="167" w:name="_Toc454814693"/>
      <w:bookmarkStart w:id="168" w:name="_Toc454481485"/>
      <w:r>
        <w:rPr>
          <w:rFonts w:eastAsia="宋体"/>
          <w:b/>
          <w:highlight w:val="none"/>
        </w:rPr>
        <w:t>生态环境</w:t>
      </w:r>
      <w:bookmarkEnd w:id="159"/>
      <w:bookmarkEnd w:id="160"/>
      <w:bookmarkEnd w:id="161"/>
      <w:bookmarkEnd w:id="162"/>
      <w:bookmarkEnd w:id="163"/>
      <w:bookmarkEnd w:id="164"/>
      <w:bookmarkEnd w:id="167"/>
      <w:bookmarkEnd w:id="168"/>
    </w:p>
    <w:p>
      <w:pPr>
        <w:ind w:firstLine="480"/>
        <w:jc w:val="both"/>
        <w:rPr>
          <w:sz w:val="24"/>
          <w:szCs w:val="24"/>
          <w:highlight w:val="none"/>
        </w:rPr>
      </w:pPr>
      <w:bookmarkStart w:id="169" w:name="_Hlk532027944"/>
      <w:bookmarkStart w:id="170" w:name="_Toc18896"/>
      <w:bookmarkStart w:id="171" w:name="_Toc521591747"/>
      <w:r>
        <w:rPr>
          <w:rFonts w:hint="eastAsia"/>
          <w:sz w:val="24"/>
          <w:szCs w:val="24"/>
          <w:highlight w:val="none"/>
        </w:rPr>
        <w:t>本项目</w:t>
      </w:r>
      <w:r>
        <w:rPr>
          <w:rFonts w:hint="eastAsia"/>
          <w:sz w:val="24"/>
          <w:szCs w:val="24"/>
          <w:highlight w:val="none"/>
          <w:lang w:val="en-US" w:eastAsia="zh-CN"/>
        </w:rPr>
        <w:t>在现有厂区内进行建设</w:t>
      </w:r>
      <w:r>
        <w:rPr>
          <w:rFonts w:hint="eastAsia"/>
          <w:sz w:val="24"/>
          <w:szCs w:val="24"/>
          <w:highlight w:val="none"/>
        </w:rPr>
        <w:t>，项目在原选矿厂厂界范围内进行建设，不新增占地；</w:t>
      </w:r>
      <w:r>
        <w:rPr>
          <w:sz w:val="24"/>
          <w:szCs w:val="24"/>
          <w:highlight w:val="none"/>
        </w:rPr>
        <w:t>根据《环境影响评价导则生态影响》（HJ 19-20</w:t>
      </w:r>
      <w:r>
        <w:rPr>
          <w:rFonts w:hint="eastAsia"/>
          <w:sz w:val="24"/>
          <w:szCs w:val="24"/>
          <w:highlight w:val="none"/>
          <w:lang w:val="en-US" w:eastAsia="zh-CN"/>
        </w:rPr>
        <w:t>22</w:t>
      </w:r>
      <w:r>
        <w:rPr>
          <w:sz w:val="24"/>
          <w:szCs w:val="24"/>
          <w:highlight w:val="none"/>
        </w:rPr>
        <w:t>）要求</w:t>
      </w:r>
      <w:r>
        <w:rPr>
          <w:rFonts w:hint="eastAsia"/>
          <w:sz w:val="24"/>
          <w:szCs w:val="24"/>
          <w:highlight w:val="none"/>
        </w:rPr>
        <w:t>，</w:t>
      </w:r>
      <w:r>
        <w:rPr>
          <w:sz w:val="24"/>
          <w:szCs w:val="24"/>
          <w:highlight w:val="none"/>
        </w:rPr>
        <w:t>本项目</w:t>
      </w:r>
      <w:r>
        <w:rPr>
          <w:rFonts w:hint="eastAsia"/>
          <w:sz w:val="24"/>
          <w:szCs w:val="24"/>
          <w:highlight w:val="none"/>
        </w:rPr>
        <w:t>仅进行生态影响</w:t>
      </w:r>
      <w:r>
        <w:rPr>
          <w:rFonts w:hint="eastAsia"/>
          <w:sz w:val="24"/>
          <w:szCs w:val="24"/>
          <w:highlight w:val="none"/>
          <w:lang w:val="en-US" w:eastAsia="zh-CN"/>
        </w:rPr>
        <w:t>简单</w:t>
      </w:r>
      <w:r>
        <w:rPr>
          <w:rFonts w:hint="eastAsia"/>
          <w:sz w:val="24"/>
          <w:szCs w:val="24"/>
          <w:highlight w:val="none"/>
        </w:rPr>
        <w:t>分析</w:t>
      </w:r>
      <w:r>
        <w:rPr>
          <w:sz w:val="24"/>
          <w:szCs w:val="24"/>
          <w:highlight w:val="none"/>
        </w:rPr>
        <w:t>。</w:t>
      </w:r>
      <w:bookmarkEnd w:id="169"/>
    </w:p>
    <w:p>
      <w:pPr>
        <w:pStyle w:val="3"/>
        <w:numPr>
          <w:ilvl w:val="3"/>
          <w:numId w:val="1"/>
        </w:numPr>
        <w:ind w:left="709" w:hanging="709"/>
        <w:rPr>
          <w:b/>
          <w:highlight w:val="none"/>
        </w:rPr>
      </w:pPr>
      <w:bookmarkStart w:id="172" w:name="_Hlk3794267"/>
      <w:r>
        <w:rPr>
          <w:rFonts w:hint="eastAsia" w:eastAsia="宋体"/>
          <w:b/>
          <w:highlight w:val="none"/>
        </w:rPr>
        <w:t>环境风险</w:t>
      </w:r>
    </w:p>
    <w:p>
      <w:pPr>
        <w:ind w:firstLine="480"/>
        <w:jc w:val="both"/>
        <w:rPr>
          <w:sz w:val="24"/>
          <w:szCs w:val="24"/>
          <w:highlight w:val="none"/>
        </w:rPr>
      </w:pPr>
      <w:bookmarkStart w:id="173" w:name="_Hlk3826722"/>
      <w:r>
        <w:rPr>
          <w:rFonts w:hint="eastAsia"/>
          <w:sz w:val="24"/>
          <w:szCs w:val="24"/>
          <w:highlight w:val="none"/>
        </w:rPr>
        <w:t>本项目涉及的主要危险物质为废矿物油，属“附录B.2 健康危险急性毒性物质（类别2、类别3）”，其临界量为50t，根据《建设项目环境风险评价评价技术导则》（HJ169-2018）附录C，本项目危险物质最大储存量为0.</w:t>
      </w:r>
      <w:r>
        <w:rPr>
          <w:sz w:val="24"/>
          <w:szCs w:val="24"/>
          <w:highlight w:val="none"/>
        </w:rPr>
        <w:t>3</w:t>
      </w:r>
      <w:r>
        <w:rPr>
          <w:rFonts w:hint="eastAsia"/>
          <w:sz w:val="24"/>
          <w:szCs w:val="24"/>
          <w:highlight w:val="none"/>
        </w:rPr>
        <w:t>t，其数量与临界量比值Q为0.006，Q小于1，环境风险潜势为Ⅰ，可开展简单分析。</w:t>
      </w:r>
      <w:bookmarkEnd w:id="173"/>
    </w:p>
    <w:bookmarkEnd w:id="172"/>
    <w:p>
      <w:pPr>
        <w:pStyle w:val="6"/>
        <w:numPr>
          <w:ilvl w:val="2"/>
          <w:numId w:val="1"/>
        </w:numPr>
        <w:spacing w:before="0" w:after="0"/>
        <w:ind w:left="567"/>
        <w:rPr>
          <w:szCs w:val="28"/>
          <w:highlight w:val="none"/>
        </w:rPr>
      </w:pPr>
      <w:r>
        <w:rPr>
          <w:szCs w:val="28"/>
          <w:highlight w:val="none"/>
        </w:rPr>
        <w:t>评价范围</w:t>
      </w:r>
      <w:bookmarkEnd w:id="170"/>
      <w:bookmarkEnd w:id="171"/>
    </w:p>
    <w:p>
      <w:pPr>
        <w:pStyle w:val="3"/>
        <w:numPr>
          <w:ilvl w:val="3"/>
          <w:numId w:val="1"/>
        </w:numPr>
        <w:ind w:left="709" w:hanging="709"/>
        <w:rPr>
          <w:rFonts w:eastAsia="宋体"/>
          <w:b/>
          <w:highlight w:val="none"/>
        </w:rPr>
      </w:pPr>
      <w:r>
        <w:rPr>
          <w:rFonts w:eastAsia="宋体"/>
          <w:b/>
          <w:highlight w:val="none"/>
        </w:rPr>
        <w:t>环境空气</w:t>
      </w:r>
    </w:p>
    <w:p>
      <w:pPr>
        <w:ind w:firstLine="480"/>
        <w:jc w:val="both"/>
        <w:rPr>
          <w:sz w:val="24"/>
          <w:szCs w:val="24"/>
          <w:highlight w:val="none"/>
        </w:rPr>
      </w:pPr>
      <w:bookmarkStart w:id="174" w:name="_Hlk532028025"/>
      <w:r>
        <w:rPr>
          <w:sz w:val="24"/>
          <w:szCs w:val="24"/>
          <w:highlight w:val="none"/>
        </w:rPr>
        <w:t>根据《环境影响评价技术导则大气环境》（HJ2.2-</w:t>
      </w:r>
      <w:r>
        <w:rPr>
          <w:rFonts w:hint="eastAsia"/>
          <w:sz w:val="24"/>
          <w:szCs w:val="24"/>
          <w:highlight w:val="none"/>
        </w:rPr>
        <w:t>2018</w:t>
      </w:r>
      <w:r>
        <w:rPr>
          <w:sz w:val="24"/>
          <w:szCs w:val="24"/>
          <w:highlight w:val="none"/>
        </w:rPr>
        <w:t>）对不同评价级别工作的要求，确定本次环境空气影响评价范围以选矿厂为中心，</w:t>
      </w:r>
      <w:r>
        <w:rPr>
          <w:rFonts w:hint="eastAsia"/>
          <w:sz w:val="24"/>
          <w:szCs w:val="24"/>
          <w:highlight w:val="none"/>
        </w:rPr>
        <w:t>边长</w:t>
      </w:r>
      <w:r>
        <w:rPr>
          <w:sz w:val="24"/>
          <w:szCs w:val="24"/>
          <w:highlight w:val="none"/>
        </w:rPr>
        <w:t>为</w:t>
      </w:r>
      <w:r>
        <w:rPr>
          <w:rFonts w:hint="eastAsia"/>
          <w:sz w:val="24"/>
          <w:szCs w:val="24"/>
          <w:highlight w:val="none"/>
        </w:rPr>
        <w:t>5</w:t>
      </w:r>
      <w:r>
        <w:rPr>
          <w:sz w:val="24"/>
          <w:szCs w:val="24"/>
          <w:highlight w:val="none"/>
        </w:rPr>
        <w:t>km的</w:t>
      </w:r>
      <w:r>
        <w:rPr>
          <w:rFonts w:hint="eastAsia"/>
          <w:sz w:val="24"/>
          <w:szCs w:val="24"/>
          <w:highlight w:val="none"/>
        </w:rPr>
        <w:t>矩</w:t>
      </w:r>
      <w:r>
        <w:rPr>
          <w:sz w:val="24"/>
          <w:szCs w:val="24"/>
          <w:highlight w:val="none"/>
        </w:rPr>
        <w:t>形区域。</w:t>
      </w:r>
      <w:bookmarkEnd w:id="174"/>
    </w:p>
    <w:p>
      <w:pPr>
        <w:pStyle w:val="3"/>
        <w:numPr>
          <w:ilvl w:val="3"/>
          <w:numId w:val="1"/>
        </w:numPr>
        <w:ind w:left="709" w:hanging="709"/>
        <w:rPr>
          <w:rFonts w:eastAsia="宋体"/>
          <w:b/>
          <w:highlight w:val="none"/>
        </w:rPr>
      </w:pPr>
      <w:bookmarkStart w:id="175" w:name="_Toc454481489"/>
      <w:bookmarkStart w:id="176" w:name="_Toc357061490"/>
      <w:bookmarkStart w:id="177" w:name="_Toc404609338"/>
      <w:bookmarkStart w:id="178" w:name="_Toc368058000"/>
      <w:bookmarkStart w:id="179" w:name="_Toc356290158"/>
      <w:bookmarkStart w:id="180" w:name="_Toc454814697"/>
      <w:bookmarkStart w:id="181" w:name="_Toc289699137"/>
      <w:bookmarkStart w:id="182" w:name="_Toc291143882"/>
      <w:bookmarkStart w:id="183" w:name="_Toc289702413"/>
      <w:bookmarkStart w:id="184" w:name="_Toc323716401"/>
      <w:bookmarkStart w:id="185" w:name="_Toc323717220"/>
      <w:bookmarkStart w:id="186" w:name="_Toc289702804"/>
      <w:bookmarkStart w:id="187" w:name="_Toc296673013"/>
      <w:r>
        <w:rPr>
          <w:rFonts w:hint="eastAsia" w:eastAsia="宋体"/>
          <w:b/>
          <w:highlight w:val="none"/>
        </w:rPr>
        <w:t>地表水</w:t>
      </w:r>
    </w:p>
    <w:p>
      <w:pPr>
        <w:ind w:firstLine="480"/>
        <w:rPr>
          <w:highlight w:val="none"/>
        </w:rPr>
      </w:pPr>
      <w:bookmarkStart w:id="188" w:name="_Hlk794599"/>
      <w:r>
        <w:rPr>
          <w:rFonts w:hint="eastAsia"/>
          <w:sz w:val="24"/>
          <w:szCs w:val="24"/>
          <w:highlight w:val="none"/>
        </w:rPr>
        <w:t>根据</w:t>
      </w:r>
      <w:r>
        <w:rPr>
          <w:sz w:val="24"/>
          <w:szCs w:val="24"/>
          <w:highlight w:val="none"/>
        </w:rPr>
        <w:t>《环境影响评价技术导则地</w:t>
      </w:r>
      <w:r>
        <w:rPr>
          <w:rFonts w:hint="eastAsia"/>
          <w:sz w:val="24"/>
          <w:szCs w:val="24"/>
          <w:highlight w:val="none"/>
        </w:rPr>
        <w:t>表</w:t>
      </w:r>
      <w:r>
        <w:rPr>
          <w:sz w:val="24"/>
          <w:szCs w:val="24"/>
          <w:highlight w:val="none"/>
        </w:rPr>
        <w:t>水环境》</w:t>
      </w:r>
      <w:r>
        <w:rPr>
          <w:rFonts w:hint="eastAsia"/>
          <w:sz w:val="24"/>
          <w:szCs w:val="24"/>
          <w:highlight w:val="none"/>
        </w:rPr>
        <w:t>（</w:t>
      </w:r>
      <w:r>
        <w:rPr>
          <w:sz w:val="24"/>
          <w:szCs w:val="24"/>
          <w:highlight w:val="none"/>
        </w:rPr>
        <w:t>HJ2.3-</w:t>
      </w:r>
      <w:r>
        <w:rPr>
          <w:rFonts w:hint="eastAsia"/>
          <w:sz w:val="24"/>
          <w:szCs w:val="24"/>
          <w:highlight w:val="none"/>
        </w:rPr>
        <w:t>2018），本项目地表水环境影响评价等级为三级B评价，不涉及地表水环境风险，评价范围为依托水处理设施环境可行性分析。</w:t>
      </w:r>
      <w:bookmarkEnd w:id="188"/>
    </w:p>
    <w:p>
      <w:pPr>
        <w:pStyle w:val="3"/>
        <w:numPr>
          <w:ilvl w:val="3"/>
          <w:numId w:val="1"/>
        </w:numPr>
        <w:ind w:left="709" w:hanging="709"/>
        <w:rPr>
          <w:rFonts w:eastAsia="宋体"/>
          <w:b/>
          <w:highlight w:val="none"/>
        </w:rPr>
      </w:pPr>
      <w:r>
        <w:rPr>
          <w:rFonts w:eastAsia="宋体"/>
          <w:b/>
          <w:highlight w:val="none"/>
        </w:rPr>
        <w:t>地下水</w:t>
      </w:r>
      <w:bookmarkEnd w:id="175"/>
      <w:bookmarkEnd w:id="176"/>
      <w:bookmarkEnd w:id="177"/>
      <w:bookmarkEnd w:id="178"/>
      <w:bookmarkEnd w:id="179"/>
      <w:bookmarkEnd w:id="180"/>
    </w:p>
    <w:p>
      <w:pPr>
        <w:ind w:firstLine="480"/>
        <w:rPr>
          <w:sz w:val="24"/>
          <w:szCs w:val="24"/>
          <w:highlight w:val="none"/>
        </w:rPr>
      </w:pPr>
      <w:bookmarkStart w:id="189" w:name="_Toc454481490"/>
      <w:bookmarkStart w:id="190" w:name="_Toc368058001"/>
      <w:bookmarkStart w:id="191" w:name="_Toc356290159"/>
      <w:bookmarkStart w:id="192" w:name="_Toc454814698"/>
      <w:bookmarkStart w:id="193" w:name="_Toc404609339"/>
      <w:bookmarkStart w:id="194" w:name="_Toc357061491"/>
      <w:r>
        <w:rPr>
          <w:sz w:val="24"/>
          <w:szCs w:val="24"/>
          <w:highlight w:val="none"/>
        </w:rPr>
        <w:t>根据本区地质及水文地质条件，同时考虑拟建项目对地下水环境影响范围及影响程度，以及评价区内地下水敏感点的分布和数量等，</w:t>
      </w:r>
      <w:r>
        <w:rPr>
          <w:rFonts w:hint="eastAsia"/>
          <w:sz w:val="24"/>
          <w:szCs w:val="24"/>
          <w:highlight w:val="none"/>
          <w:lang w:eastAsia="zh-CN"/>
        </w:rPr>
        <w:t>根据自定义法</w:t>
      </w:r>
      <w:r>
        <w:rPr>
          <w:sz w:val="24"/>
          <w:szCs w:val="24"/>
          <w:highlight w:val="none"/>
        </w:rPr>
        <w:t>最终确定评价范围如下：</w:t>
      </w:r>
      <w:r>
        <w:rPr>
          <w:rFonts w:hint="eastAsia"/>
          <w:sz w:val="24"/>
          <w:szCs w:val="24"/>
          <w:highlight w:val="none"/>
        </w:rPr>
        <w:t>西</w:t>
      </w:r>
      <w:r>
        <w:rPr>
          <w:sz w:val="24"/>
          <w:szCs w:val="24"/>
          <w:highlight w:val="none"/>
        </w:rPr>
        <w:t>部和北部边界垂直地下水等水位线，概化成零流量边界；</w:t>
      </w:r>
      <w:r>
        <w:rPr>
          <w:rFonts w:hint="eastAsia"/>
          <w:sz w:val="24"/>
          <w:szCs w:val="24"/>
          <w:highlight w:val="none"/>
        </w:rPr>
        <w:t>东</w:t>
      </w:r>
      <w:r>
        <w:rPr>
          <w:sz w:val="24"/>
          <w:szCs w:val="24"/>
          <w:highlight w:val="none"/>
        </w:rPr>
        <w:t>部和</w:t>
      </w:r>
      <w:r>
        <w:rPr>
          <w:rFonts w:hint="eastAsia"/>
          <w:sz w:val="24"/>
          <w:szCs w:val="24"/>
          <w:highlight w:val="none"/>
        </w:rPr>
        <w:t>南</w:t>
      </w:r>
      <w:r>
        <w:rPr>
          <w:sz w:val="24"/>
          <w:szCs w:val="24"/>
          <w:highlight w:val="none"/>
        </w:rPr>
        <w:t>部边界为</w:t>
      </w:r>
      <w:r>
        <w:rPr>
          <w:rFonts w:hint="eastAsia"/>
          <w:sz w:val="24"/>
          <w:szCs w:val="24"/>
          <w:highlight w:val="none"/>
        </w:rPr>
        <w:t>河流</w:t>
      </w:r>
      <w:r>
        <w:rPr>
          <w:sz w:val="24"/>
          <w:szCs w:val="24"/>
          <w:highlight w:val="none"/>
        </w:rPr>
        <w:t>边界，评价区总面积约为</w:t>
      </w:r>
      <w:r>
        <w:rPr>
          <w:rFonts w:hint="eastAsia"/>
          <w:sz w:val="24"/>
          <w:szCs w:val="24"/>
          <w:highlight w:val="none"/>
        </w:rPr>
        <w:t>9</w:t>
      </w:r>
      <w:r>
        <w:rPr>
          <w:sz w:val="24"/>
          <w:szCs w:val="24"/>
          <w:highlight w:val="none"/>
        </w:rPr>
        <w:t>km</w:t>
      </w:r>
      <w:r>
        <w:rPr>
          <w:sz w:val="24"/>
          <w:szCs w:val="24"/>
          <w:highlight w:val="none"/>
          <w:vertAlign w:val="superscript"/>
        </w:rPr>
        <w:t>2</w:t>
      </w:r>
      <w:r>
        <w:rPr>
          <w:sz w:val="24"/>
          <w:szCs w:val="24"/>
          <w:highlight w:val="none"/>
        </w:rPr>
        <w:t>，满足地下水导则规定的评价区面积要求。具体评价范围见图2.</w:t>
      </w:r>
      <w:r>
        <w:rPr>
          <w:rFonts w:hint="eastAsia"/>
          <w:sz w:val="24"/>
          <w:szCs w:val="24"/>
          <w:highlight w:val="none"/>
        </w:rPr>
        <w:t>5</w:t>
      </w:r>
      <w:r>
        <w:rPr>
          <w:sz w:val="24"/>
          <w:szCs w:val="24"/>
          <w:highlight w:val="none"/>
        </w:rPr>
        <w:t>-1。</w:t>
      </w:r>
    </w:p>
    <w:p>
      <w:pPr>
        <w:widowControl/>
        <w:ind w:firstLine="0" w:firstLineChars="0"/>
        <w:jc w:val="center"/>
        <w:rPr>
          <w:highlight w:val="none"/>
        </w:rPr>
      </w:pPr>
      <w:r>
        <w:rPr>
          <w:highlight w:val="none"/>
        </w:rPr>
        <w:pict>
          <v:shape id="_x0000_s1998" o:spid="_x0000_s1998" o:spt="202" type="#_x0000_t202" style="position:absolute;left:0pt;margin-left:325.1pt;margin-top:57.95pt;height:41.1pt;width:77.35pt;rotation:2490368f;z-index:251694080;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北岭河</w:t>
                  </w:r>
                </w:p>
              </w:txbxContent>
            </v:textbox>
          </v:shape>
        </w:pict>
      </w:r>
      <w:r>
        <w:rPr>
          <w:highlight w:val="none"/>
        </w:rPr>
        <w:pict>
          <v:shape id="_x0000_s1996" o:spid="_x0000_s1996" o:spt="202" type="#_x0000_t202" style="position:absolute;left:0pt;margin-left:189.2pt;margin-top:104.65pt;height:41.1pt;width:49.75pt;rotation:2490368f;z-index:251692032;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下</w:t>
                  </w:r>
                </w:p>
              </w:txbxContent>
            </v:textbox>
          </v:shape>
        </w:pict>
      </w:r>
      <w:r>
        <w:rPr>
          <w:highlight w:val="none"/>
        </w:rPr>
        <w:pict>
          <v:shape id="_x0000_s1993" o:spid="_x0000_s1993" o:spt="202" type="#_x0000_t202" style="position:absolute;left:0pt;margin-left:178.5pt;margin-top:87.55pt;height:41.1pt;width:77.35pt;rotation:2490368f;z-index:251682816;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地</w:t>
                  </w:r>
                </w:p>
              </w:txbxContent>
            </v:textbox>
          </v:shape>
        </w:pict>
      </w:r>
      <w:r>
        <w:rPr>
          <w:highlight w:val="none"/>
        </w:rPr>
        <w:pict>
          <v:shape id="_x0000_s1997" o:spid="_x0000_s1997" o:spt="202" type="#_x0000_t202" style="position:absolute;left:0pt;margin-left:199.8pt;margin-top:115.6pt;height:41.1pt;width:54.65pt;rotation:2490368f;z-index:251693056;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水</w:t>
                  </w:r>
                </w:p>
              </w:txbxContent>
            </v:textbox>
          </v:shape>
        </w:pict>
      </w:r>
      <w:r>
        <w:rPr>
          <w:highlight w:val="none"/>
        </w:rPr>
        <w:pict>
          <v:shape id="_x0000_s1994" o:spid="_x0000_s1994" o:spt="202" type="#_x0000_t202" style="position:absolute;left:0pt;margin-left:205.55pt;margin-top:130.4pt;height:41.1pt;width:47.3pt;rotation:2490368f;z-index:251689984;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流</w:t>
                  </w:r>
                </w:p>
              </w:txbxContent>
            </v:textbox>
          </v:shape>
        </w:pict>
      </w:r>
      <w:r>
        <w:rPr>
          <w:highlight w:val="none"/>
        </w:rPr>
        <w:pict>
          <v:shape id="_x0000_s1995" o:spid="_x0000_s1995" o:spt="202" type="#_x0000_t202" style="position:absolute;left:0pt;margin-left:217.25pt;margin-top:148.05pt;height:41.1pt;width:50pt;rotation:2490368f;z-index:251691008;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向</w:t>
                  </w:r>
                </w:p>
              </w:txbxContent>
            </v:textbox>
          </v:shape>
        </w:pict>
      </w:r>
      <w:r>
        <w:rPr>
          <w:highlight w:val="none"/>
        </w:rPr>
        <w:pict>
          <v:line id="_x0000_s1992" o:spid="_x0000_s1992" o:spt="20" style="position:absolute;left:0pt;margin-left:203.65pt;margin-top:96.85pt;height:88.4pt;width:55.35pt;z-index:251681792;mso-width-relative:page;mso-height-relative:page;" filled="t" stroked="t" coordsize="21600,21600">
            <v:path arrowok="t"/>
            <v:fill on="t" focussize="0,0"/>
            <v:stroke weight="1.75pt" color="#FF0000" endarrow="classic" endarrowwidth="wide" endarrowlength="long"/>
            <v:imagedata o:title=""/>
            <o:lock v:ext="edit"/>
          </v:line>
        </w:pict>
      </w:r>
      <w:r>
        <w:rPr>
          <w:highlight w:val="none"/>
        </w:rPr>
        <w:pict>
          <v:shape id="_x0000_s1991" o:spid="_x0000_s1991" style="position:absolute;left:0pt;margin-left:44.7pt;margin-top:12.9pt;height:246.45pt;width:238.4pt;z-index:251677696;mso-width-relative:page;mso-height-relative:page;" filled="f" stroked="t" coordsize="4768,4929" path="m1197,4929l0,2197,4215,250,4768,0e">
            <v:path arrowok="t"/>
            <v:fill on="f" focussize="0,0"/>
            <v:stroke weight="1.75pt" color="#00B0F0"/>
            <v:imagedata o:title=""/>
            <o:lock v:ext="edit"/>
          </v:shape>
        </w:pict>
      </w:r>
      <w:r>
        <w:rPr>
          <w:highlight w:val="none"/>
        </w:rPr>
        <w:pict>
          <v:shape id="_x0000_s1989" o:spid="_x0000_s1989" style="position:absolute;left:0pt;margin-left:284pt;margin-top:12pt;height:267.9pt;width:121.25pt;z-index:251674624;mso-width-relative:page;mso-height-relative:page;" filled="f" stroked="t" coordsize="2425,5358" path="m0,0c139,67,361,165,625,322c889,479,989,487,1196,733c1403,979,1439,1261,1661,1554c1883,1847,2154,1979,2304,2197c2454,2415,2429,2497,2411,2643c2393,2789,2243,2833,2214,2929c2185,3025,2250,2982,2268,3125c2286,3268,2379,3457,2304,3643c2229,3829,1932,3911,1893,4054c1854,4197,2197,4397,2268,4483c2313,4581,2089,4691,2107,4733c2125,4775,1866,5364,1875,5358e">
            <v:path arrowok="t"/>
            <v:fill on="f" focussize="0,0"/>
            <v:stroke weight="1.75pt" color="#00B0F0"/>
            <v:imagedata o:title=""/>
            <o:lock v:ext="edit"/>
          </v:shape>
        </w:pict>
      </w:r>
      <w:r>
        <w:rPr>
          <w:highlight w:val="none"/>
        </w:rPr>
        <w:pict>
          <v:shape id="_x0000_s1988" o:spid="_x0000_s1988" style="position:absolute;left:0pt;margin-left:102.75pt;margin-top:243pt;height:36.2pt;width:275pt;z-index:251672576;mso-width-relative:page;mso-height-relative:page;" filled="f" stroked="t" coordsize="5500,724" path="m0,309c303,227,217,202,446,95c675,-12,589,-16,768,23c947,62,1196,179,1339,290c1482,401,1389,495,1482,577c1575,659,1647,773,1804,702c1961,631,2097,338,2268,220c2439,102,2479,145,2661,113c2843,81,2840,16,3179,59c3518,102,5043,581,5500,702e">
            <v:path arrowok="t"/>
            <v:fill on="f" focussize="0,0"/>
            <v:stroke weight="1.75pt" color="#00B0F0"/>
            <v:imagedata o:title=""/>
            <o:lock v:ext="edit"/>
          </v:shape>
        </w:pict>
      </w:r>
      <w:r>
        <w:rPr>
          <w:highlight w:val="none"/>
        </w:rPr>
        <w:pict>
          <v:shape id="_x0000_s1986" o:spid="_x0000_s1986" o:spt="12" type="#_x0000_t12" style="position:absolute;left:0pt;margin-left:167.95pt;margin-top:130.8pt;height:9.85pt;width:8.9pt;z-index:251673600;mso-width-relative:page;mso-height-relative:page;" fillcolor="#FF0000" filled="t" coordsize="21600,21600">
            <v:path/>
            <v:fill on="t" focussize="0,0"/>
            <v:stroke joinstyle="miter"/>
            <v:imagedata o:title=""/>
            <o:lock v:ext="edit"/>
          </v:shape>
        </w:pict>
      </w:r>
      <w:r>
        <w:rPr>
          <w:highlight w:val="none"/>
        </w:rPr>
        <w:pict>
          <v:shape id="_x0000_s1987" o:spid="_x0000_s1987" o:spt="12" type="#_x0000_t12" style="position:absolute;left:0pt;margin-left:158.5pt;margin-top:142.8pt;height:9.85pt;width:8.9pt;z-index:251688960;mso-width-relative:page;mso-height-relative:page;" fillcolor="#FF0000" filled="t" coordsize="21600,21600">
            <v:path/>
            <v:fill on="t" focussize="0,0"/>
            <v:stroke joinstyle="miter"/>
            <v:imagedata o:title=""/>
            <o:lock v:ext="edit"/>
          </v:shape>
        </w:pict>
      </w:r>
      <w:r>
        <w:rPr>
          <w:highlight w:val="none"/>
        </w:rPr>
        <w:drawing>
          <wp:inline distT="0" distB="0" distL="114300" distR="114300">
            <wp:extent cx="5267960" cy="3680460"/>
            <wp:effectExtent l="15875" t="15875" r="31115" b="18415"/>
            <wp:docPr id="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7"/>
                    <pic:cNvPicPr>
                      <a:picLocks noChangeAspect="1"/>
                    </pic:cNvPicPr>
                  </pic:nvPicPr>
                  <pic:blipFill>
                    <a:blip r:embed="rId19"/>
                    <a:stretch>
                      <a:fillRect/>
                    </a:stretch>
                  </pic:blipFill>
                  <pic:spPr>
                    <a:xfrm>
                      <a:off x="0" y="0"/>
                      <a:ext cx="5267960" cy="3680460"/>
                    </a:xfrm>
                    <a:prstGeom prst="rect">
                      <a:avLst/>
                    </a:prstGeom>
                    <a:noFill/>
                    <a:ln w="15875" cmpd="sng">
                      <a:solidFill>
                        <a:schemeClr val="tx1"/>
                      </a:solidFill>
                      <a:prstDash val="solid"/>
                    </a:ln>
                  </pic:spPr>
                </pic:pic>
              </a:graphicData>
            </a:graphic>
          </wp:inline>
        </w:drawing>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图2.</w:t>
      </w:r>
      <w:r>
        <w:rPr>
          <w:rFonts w:hint="eastAsia" w:eastAsia="黑体"/>
          <w:kern w:val="2"/>
          <w:sz w:val="21"/>
          <w:szCs w:val="21"/>
          <w:highlight w:val="none"/>
        </w:rPr>
        <w:t>5</w:t>
      </w:r>
      <w:r>
        <w:rPr>
          <w:rFonts w:eastAsia="黑体"/>
          <w:kern w:val="2"/>
          <w:sz w:val="21"/>
          <w:szCs w:val="21"/>
          <w:highlight w:val="none"/>
        </w:rPr>
        <w:t>-1评价区范围示意图</w:t>
      </w:r>
    </w:p>
    <w:p>
      <w:pPr>
        <w:pStyle w:val="3"/>
        <w:numPr>
          <w:ilvl w:val="3"/>
          <w:numId w:val="1"/>
        </w:numPr>
        <w:ind w:left="709" w:hanging="709"/>
        <w:rPr>
          <w:rFonts w:eastAsia="宋体"/>
          <w:b/>
          <w:highlight w:val="none"/>
        </w:rPr>
      </w:pPr>
      <w:r>
        <w:rPr>
          <w:rFonts w:eastAsia="宋体"/>
          <w:b/>
          <w:highlight w:val="none"/>
        </w:rPr>
        <w:t>声环境</w:t>
      </w:r>
      <w:bookmarkEnd w:id="181"/>
      <w:bookmarkEnd w:id="182"/>
      <w:bookmarkEnd w:id="183"/>
      <w:bookmarkEnd w:id="184"/>
      <w:bookmarkEnd w:id="185"/>
      <w:bookmarkEnd w:id="186"/>
      <w:bookmarkEnd w:id="187"/>
      <w:bookmarkEnd w:id="189"/>
      <w:bookmarkEnd w:id="190"/>
      <w:bookmarkEnd w:id="191"/>
      <w:bookmarkEnd w:id="192"/>
      <w:bookmarkEnd w:id="193"/>
      <w:bookmarkEnd w:id="194"/>
    </w:p>
    <w:p>
      <w:pPr>
        <w:ind w:firstLine="480"/>
        <w:jc w:val="both"/>
        <w:rPr>
          <w:sz w:val="24"/>
          <w:szCs w:val="24"/>
          <w:highlight w:val="none"/>
        </w:rPr>
      </w:pPr>
      <w:r>
        <w:rPr>
          <w:sz w:val="24"/>
          <w:szCs w:val="24"/>
          <w:highlight w:val="none"/>
        </w:rPr>
        <w:t>根据《环境影响评价技术导则声环境》（HJ2.4-2009）中评价范围的相关规定，本次声环境评价范围为选矿厂厂界外200m范围。</w:t>
      </w:r>
    </w:p>
    <w:p>
      <w:pPr>
        <w:pStyle w:val="3"/>
        <w:numPr>
          <w:ilvl w:val="3"/>
          <w:numId w:val="1"/>
        </w:numPr>
        <w:ind w:left="709" w:hanging="709"/>
        <w:rPr>
          <w:rFonts w:eastAsia="宋体"/>
          <w:b/>
          <w:highlight w:val="none"/>
        </w:rPr>
      </w:pPr>
      <w:r>
        <w:rPr>
          <w:rFonts w:hint="eastAsia" w:eastAsia="宋体"/>
          <w:b/>
          <w:highlight w:val="none"/>
        </w:rPr>
        <w:t>土壤环境</w:t>
      </w:r>
    </w:p>
    <w:p>
      <w:pPr>
        <w:ind w:firstLine="480"/>
        <w:jc w:val="both"/>
        <w:rPr>
          <w:sz w:val="24"/>
          <w:szCs w:val="24"/>
          <w:highlight w:val="none"/>
        </w:rPr>
      </w:pPr>
      <w:r>
        <w:rPr>
          <w:rFonts w:hint="eastAsia"/>
          <w:sz w:val="24"/>
          <w:szCs w:val="24"/>
          <w:highlight w:val="none"/>
        </w:rPr>
        <w:t>根据《环境影响评价技术导则• 土壤环境（试行）》(HJ964-2018)中评价范围的相关规定，本次土壤环境评价范围为选矿厂占地范围及厂界外0.05m范围内。</w:t>
      </w:r>
    </w:p>
    <w:p>
      <w:pPr>
        <w:pStyle w:val="3"/>
        <w:numPr>
          <w:ilvl w:val="3"/>
          <w:numId w:val="1"/>
        </w:numPr>
        <w:ind w:left="709" w:hanging="709"/>
        <w:rPr>
          <w:rFonts w:eastAsia="宋体"/>
          <w:b/>
          <w:highlight w:val="none"/>
        </w:rPr>
      </w:pPr>
      <w:bookmarkStart w:id="195" w:name="_Toc289699139"/>
      <w:bookmarkStart w:id="196" w:name="_Toc356290161"/>
      <w:bookmarkStart w:id="197" w:name="_Toc323716403"/>
      <w:bookmarkStart w:id="198" w:name="_Toc291143884"/>
      <w:bookmarkStart w:id="199" w:name="_Toc454481492"/>
      <w:bookmarkStart w:id="200" w:name="_Toc368058003"/>
      <w:bookmarkStart w:id="201" w:name="_Toc289702415"/>
      <w:bookmarkStart w:id="202" w:name="_Toc289702806"/>
      <w:bookmarkStart w:id="203" w:name="_Toc357061493"/>
      <w:bookmarkStart w:id="204" w:name="_Toc296673015"/>
      <w:bookmarkStart w:id="205" w:name="_Toc323717222"/>
      <w:bookmarkStart w:id="206" w:name="_Toc404609341"/>
      <w:bookmarkStart w:id="207" w:name="_Toc454814700"/>
      <w:r>
        <w:rPr>
          <w:rFonts w:eastAsia="宋体"/>
          <w:b/>
          <w:highlight w:val="none"/>
        </w:rPr>
        <w:t>生态环境</w:t>
      </w:r>
      <w:bookmarkEnd w:id="195"/>
      <w:bookmarkEnd w:id="196"/>
      <w:bookmarkEnd w:id="197"/>
      <w:bookmarkEnd w:id="198"/>
      <w:bookmarkEnd w:id="199"/>
      <w:bookmarkEnd w:id="200"/>
      <w:bookmarkEnd w:id="201"/>
      <w:bookmarkEnd w:id="202"/>
      <w:bookmarkEnd w:id="203"/>
      <w:bookmarkEnd w:id="204"/>
      <w:bookmarkEnd w:id="205"/>
      <w:bookmarkEnd w:id="206"/>
      <w:bookmarkEnd w:id="207"/>
    </w:p>
    <w:p>
      <w:pPr>
        <w:ind w:firstLine="480"/>
        <w:jc w:val="both"/>
        <w:rPr>
          <w:sz w:val="24"/>
          <w:szCs w:val="24"/>
          <w:highlight w:val="none"/>
        </w:rPr>
      </w:pPr>
      <w:bookmarkStart w:id="208" w:name="_Hlk532028133"/>
      <w:r>
        <w:rPr>
          <w:sz w:val="24"/>
          <w:szCs w:val="24"/>
          <w:highlight w:val="none"/>
        </w:rPr>
        <w:t>根据《环境影响评价技术导则生态环境》（HJ19-2011）评价工作范围的规定，结合本工程的特点、项目所处的地理位置及当地的自然、社会环境条件，确定项目生态影响分析的范围为项目厂区。</w:t>
      </w:r>
      <w:bookmarkEnd w:id="208"/>
    </w:p>
    <w:p>
      <w:pPr>
        <w:ind w:firstLine="480"/>
        <w:jc w:val="both"/>
        <w:rPr>
          <w:sz w:val="24"/>
          <w:szCs w:val="24"/>
          <w:highlight w:val="none"/>
        </w:rPr>
      </w:pPr>
      <w:r>
        <w:rPr>
          <w:sz w:val="24"/>
          <w:szCs w:val="24"/>
          <w:highlight w:val="none"/>
        </w:rPr>
        <w:t>各环境要素评价等级及评价范围一览表如表2.</w:t>
      </w:r>
      <w:r>
        <w:rPr>
          <w:rFonts w:hint="eastAsia"/>
          <w:sz w:val="24"/>
          <w:szCs w:val="24"/>
          <w:highlight w:val="none"/>
        </w:rPr>
        <w:t>5</w:t>
      </w:r>
      <w:r>
        <w:rPr>
          <w:sz w:val="24"/>
          <w:szCs w:val="24"/>
          <w:highlight w:val="none"/>
        </w:rPr>
        <w:t>-</w:t>
      </w:r>
      <w:r>
        <w:rPr>
          <w:rFonts w:hint="eastAsia"/>
          <w:sz w:val="24"/>
          <w:szCs w:val="24"/>
          <w:highlight w:val="none"/>
        </w:rPr>
        <w:t>14</w:t>
      </w:r>
      <w:r>
        <w:rPr>
          <w:sz w:val="24"/>
          <w:szCs w:val="24"/>
          <w:highlight w:val="none"/>
        </w:rPr>
        <w:t>。</w:t>
      </w:r>
    </w:p>
    <w:p>
      <w:pPr>
        <w:autoSpaceDE w:val="0"/>
        <w:autoSpaceDN w:val="0"/>
        <w:spacing w:line="240" w:lineRule="auto"/>
        <w:ind w:firstLine="420" w:firstLineChars="0"/>
        <w:jc w:val="center"/>
        <w:textAlignment w:val="auto"/>
        <w:rPr>
          <w:rFonts w:eastAsia="黑体"/>
          <w:sz w:val="21"/>
          <w:szCs w:val="24"/>
          <w:highlight w:val="none"/>
        </w:rPr>
      </w:pPr>
      <w:r>
        <w:rPr>
          <w:rFonts w:eastAsia="黑体"/>
          <w:sz w:val="21"/>
          <w:szCs w:val="24"/>
          <w:highlight w:val="none"/>
        </w:rPr>
        <w:t>表2.</w:t>
      </w:r>
      <w:r>
        <w:rPr>
          <w:rFonts w:hint="eastAsia" w:eastAsia="黑体"/>
          <w:sz w:val="21"/>
          <w:szCs w:val="24"/>
          <w:highlight w:val="none"/>
        </w:rPr>
        <w:t>5</w:t>
      </w:r>
      <w:r>
        <w:rPr>
          <w:rFonts w:eastAsia="黑体"/>
          <w:sz w:val="21"/>
          <w:szCs w:val="24"/>
          <w:highlight w:val="none"/>
        </w:rPr>
        <w:t>-</w:t>
      </w:r>
      <w:r>
        <w:rPr>
          <w:rFonts w:hint="eastAsia" w:eastAsia="黑体"/>
          <w:sz w:val="21"/>
          <w:szCs w:val="24"/>
          <w:highlight w:val="none"/>
        </w:rPr>
        <w:t>14</w:t>
      </w:r>
      <w:r>
        <w:rPr>
          <w:rFonts w:eastAsia="黑体"/>
          <w:sz w:val="21"/>
          <w:szCs w:val="24"/>
          <w:highlight w:val="none"/>
        </w:rPr>
        <w:t xml:space="preserve">    各环境要素评价等级及评价范围一览表</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356"/>
        <w:gridCol w:w="1144"/>
        <w:gridCol w:w="51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77" w:type="dxa"/>
            <w:vAlign w:val="center"/>
          </w:tcPr>
          <w:p>
            <w:pPr>
              <w:spacing w:line="240" w:lineRule="auto"/>
              <w:ind w:firstLine="0" w:firstLineChars="0"/>
              <w:jc w:val="center"/>
              <w:rPr>
                <w:kern w:val="24"/>
                <w:sz w:val="21"/>
                <w:szCs w:val="21"/>
                <w:highlight w:val="none"/>
              </w:rPr>
            </w:pPr>
            <w:r>
              <w:rPr>
                <w:kern w:val="24"/>
                <w:sz w:val="21"/>
                <w:szCs w:val="21"/>
                <w:highlight w:val="none"/>
              </w:rPr>
              <w:t>序号</w:t>
            </w:r>
          </w:p>
        </w:tc>
        <w:tc>
          <w:tcPr>
            <w:tcW w:w="1356" w:type="dxa"/>
            <w:vAlign w:val="center"/>
          </w:tcPr>
          <w:p>
            <w:pPr>
              <w:spacing w:line="240" w:lineRule="auto"/>
              <w:ind w:firstLine="0" w:firstLineChars="0"/>
              <w:jc w:val="center"/>
              <w:rPr>
                <w:kern w:val="24"/>
                <w:sz w:val="21"/>
                <w:szCs w:val="21"/>
                <w:highlight w:val="none"/>
              </w:rPr>
            </w:pPr>
            <w:r>
              <w:rPr>
                <w:kern w:val="24"/>
                <w:sz w:val="21"/>
                <w:szCs w:val="21"/>
                <w:highlight w:val="none"/>
              </w:rPr>
              <w:t>环境要素</w:t>
            </w:r>
          </w:p>
        </w:tc>
        <w:tc>
          <w:tcPr>
            <w:tcW w:w="1144" w:type="dxa"/>
            <w:vAlign w:val="center"/>
          </w:tcPr>
          <w:p>
            <w:pPr>
              <w:spacing w:line="240" w:lineRule="auto"/>
              <w:ind w:firstLine="0" w:firstLineChars="0"/>
              <w:jc w:val="center"/>
              <w:rPr>
                <w:kern w:val="24"/>
                <w:sz w:val="21"/>
                <w:szCs w:val="21"/>
                <w:highlight w:val="none"/>
              </w:rPr>
            </w:pPr>
            <w:r>
              <w:rPr>
                <w:kern w:val="24"/>
                <w:sz w:val="21"/>
                <w:szCs w:val="21"/>
                <w:highlight w:val="none"/>
              </w:rPr>
              <w:t>评价等级</w:t>
            </w:r>
          </w:p>
        </w:tc>
        <w:tc>
          <w:tcPr>
            <w:tcW w:w="5151" w:type="dxa"/>
            <w:vAlign w:val="center"/>
          </w:tcPr>
          <w:p>
            <w:pPr>
              <w:spacing w:line="240" w:lineRule="auto"/>
              <w:ind w:firstLine="0" w:firstLineChars="0"/>
              <w:jc w:val="center"/>
              <w:rPr>
                <w:kern w:val="24"/>
                <w:sz w:val="21"/>
                <w:szCs w:val="21"/>
                <w:highlight w:val="none"/>
              </w:rPr>
            </w:pPr>
            <w:r>
              <w:rPr>
                <w:kern w:val="24"/>
                <w:sz w:val="21"/>
                <w:szCs w:val="21"/>
                <w:highlight w:val="none"/>
              </w:rPr>
              <w:t>评价范围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kern w:val="24"/>
                <w:sz w:val="21"/>
                <w:szCs w:val="21"/>
                <w:highlight w:val="none"/>
              </w:rPr>
            </w:pPr>
            <w:r>
              <w:rPr>
                <w:kern w:val="24"/>
                <w:sz w:val="21"/>
                <w:szCs w:val="21"/>
                <w:highlight w:val="none"/>
              </w:rPr>
              <w:t>1</w:t>
            </w:r>
          </w:p>
        </w:tc>
        <w:tc>
          <w:tcPr>
            <w:tcW w:w="1356" w:type="dxa"/>
            <w:vAlign w:val="center"/>
          </w:tcPr>
          <w:p>
            <w:pPr>
              <w:spacing w:line="240" w:lineRule="auto"/>
              <w:ind w:firstLine="0" w:firstLineChars="0"/>
              <w:jc w:val="center"/>
              <w:rPr>
                <w:kern w:val="24"/>
                <w:sz w:val="21"/>
                <w:szCs w:val="21"/>
                <w:highlight w:val="none"/>
              </w:rPr>
            </w:pPr>
            <w:r>
              <w:rPr>
                <w:kern w:val="24"/>
                <w:sz w:val="21"/>
                <w:szCs w:val="21"/>
                <w:highlight w:val="none"/>
              </w:rPr>
              <w:t>大气环境</w:t>
            </w:r>
          </w:p>
        </w:tc>
        <w:tc>
          <w:tcPr>
            <w:tcW w:w="1144"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二</w:t>
            </w:r>
            <w:r>
              <w:rPr>
                <w:kern w:val="24"/>
                <w:sz w:val="21"/>
                <w:szCs w:val="21"/>
                <w:highlight w:val="none"/>
              </w:rPr>
              <w:t>级</w:t>
            </w:r>
          </w:p>
        </w:tc>
        <w:tc>
          <w:tcPr>
            <w:tcW w:w="5151" w:type="dxa"/>
            <w:vAlign w:val="center"/>
          </w:tcPr>
          <w:p>
            <w:pPr>
              <w:spacing w:line="240" w:lineRule="auto"/>
              <w:ind w:firstLine="0" w:firstLineChars="0"/>
              <w:jc w:val="center"/>
              <w:rPr>
                <w:kern w:val="24"/>
                <w:sz w:val="21"/>
                <w:szCs w:val="21"/>
                <w:highlight w:val="none"/>
              </w:rPr>
            </w:pPr>
            <w:r>
              <w:rPr>
                <w:kern w:val="24"/>
                <w:sz w:val="21"/>
                <w:szCs w:val="21"/>
                <w:highlight w:val="none"/>
              </w:rPr>
              <w:t>以</w:t>
            </w:r>
            <w:r>
              <w:rPr>
                <w:rFonts w:hint="eastAsia"/>
                <w:kern w:val="24"/>
                <w:sz w:val="21"/>
                <w:szCs w:val="21"/>
                <w:highlight w:val="none"/>
              </w:rPr>
              <w:t>厂址</w:t>
            </w:r>
            <w:r>
              <w:rPr>
                <w:kern w:val="24"/>
                <w:sz w:val="21"/>
                <w:szCs w:val="21"/>
                <w:highlight w:val="none"/>
              </w:rPr>
              <w:t>为中心，</w:t>
            </w:r>
            <w:r>
              <w:rPr>
                <w:rFonts w:hint="eastAsia"/>
                <w:kern w:val="24"/>
                <w:sz w:val="21"/>
                <w:szCs w:val="21"/>
                <w:highlight w:val="none"/>
              </w:rPr>
              <w:t>边长</w:t>
            </w:r>
            <w:r>
              <w:rPr>
                <w:kern w:val="24"/>
                <w:sz w:val="21"/>
                <w:szCs w:val="21"/>
                <w:highlight w:val="none"/>
              </w:rPr>
              <w:t>为</w:t>
            </w:r>
            <w:r>
              <w:rPr>
                <w:rFonts w:hint="eastAsia"/>
                <w:kern w:val="24"/>
                <w:sz w:val="21"/>
                <w:szCs w:val="21"/>
                <w:highlight w:val="none"/>
              </w:rPr>
              <w:t>5.0</w:t>
            </w:r>
            <w:r>
              <w:rPr>
                <w:kern w:val="24"/>
                <w:sz w:val="21"/>
                <w:szCs w:val="21"/>
                <w:highlight w:val="none"/>
              </w:rPr>
              <w:t>km的</w:t>
            </w:r>
            <w:r>
              <w:rPr>
                <w:rFonts w:hint="eastAsia"/>
                <w:kern w:val="24"/>
                <w:sz w:val="21"/>
                <w:szCs w:val="21"/>
                <w:highlight w:val="none"/>
              </w:rPr>
              <w:t>矩形</w:t>
            </w:r>
            <w:r>
              <w:rPr>
                <w:kern w:val="24"/>
                <w:sz w:val="21"/>
                <w:szCs w:val="21"/>
                <w:highlight w:val="none"/>
              </w:rPr>
              <w:t>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kern w:val="24"/>
                <w:sz w:val="21"/>
                <w:szCs w:val="21"/>
                <w:highlight w:val="none"/>
              </w:rPr>
            </w:pPr>
            <w:r>
              <w:rPr>
                <w:kern w:val="24"/>
                <w:sz w:val="21"/>
                <w:szCs w:val="21"/>
                <w:highlight w:val="none"/>
              </w:rPr>
              <w:t>2</w:t>
            </w:r>
          </w:p>
        </w:tc>
        <w:tc>
          <w:tcPr>
            <w:tcW w:w="1356" w:type="dxa"/>
            <w:vAlign w:val="center"/>
          </w:tcPr>
          <w:p>
            <w:pPr>
              <w:spacing w:line="240" w:lineRule="auto"/>
              <w:ind w:firstLine="0" w:firstLineChars="0"/>
              <w:jc w:val="center"/>
              <w:rPr>
                <w:kern w:val="24"/>
                <w:sz w:val="21"/>
                <w:szCs w:val="21"/>
                <w:highlight w:val="none"/>
              </w:rPr>
            </w:pPr>
            <w:r>
              <w:rPr>
                <w:kern w:val="24"/>
                <w:sz w:val="21"/>
                <w:szCs w:val="21"/>
                <w:highlight w:val="none"/>
              </w:rPr>
              <w:t>声环境</w:t>
            </w:r>
          </w:p>
        </w:tc>
        <w:tc>
          <w:tcPr>
            <w:tcW w:w="1144" w:type="dxa"/>
            <w:vAlign w:val="center"/>
          </w:tcPr>
          <w:p>
            <w:pPr>
              <w:spacing w:line="240" w:lineRule="auto"/>
              <w:ind w:firstLine="0" w:firstLineChars="0"/>
              <w:jc w:val="center"/>
              <w:rPr>
                <w:kern w:val="24"/>
                <w:sz w:val="21"/>
                <w:szCs w:val="21"/>
                <w:highlight w:val="none"/>
              </w:rPr>
            </w:pPr>
            <w:r>
              <w:rPr>
                <w:kern w:val="24"/>
                <w:sz w:val="21"/>
                <w:szCs w:val="21"/>
                <w:highlight w:val="none"/>
              </w:rPr>
              <w:t>二级</w:t>
            </w:r>
          </w:p>
        </w:tc>
        <w:tc>
          <w:tcPr>
            <w:tcW w:w="5151" w:type="dxa"/>
            <w:vAlign w:val="center"/>
          </w:tcPr>
          <w:p>
            <w:pPr>
              <w:spacing w:line="240" w:lineRule="auto"/>
              <w:ind w:firstLine="0" w:firstLineChars="0"/>
              <w:jc w:val="center"/>
              <w:rPr>
                <w:kern w:val="24"/>
                <w:sz w:val="21"/>
                <w:szCs w:val="21"/>
                <w:highlight w:val="none"/>
              </w:rPr>
            </w:pPr>
            <w:r>
              <w:rPr>
                <w:kern w:val="24"/>
                <w:sz w:val="21"/>
                <w:szCs w:val="21"/>
                <w:highlight w:val="none"/>
              </w:rPr>
              <w:t>本项目周围边界外延200m范围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kern w:val="24"/>
                <w:sz w:val="21"/>
                <w:szCs w:val="21"/>
                <w:highlight w:val="none"/>
              </w:rPr>
            </w:pPr>
            <w:r>
              <w:rPr>
                <w:kern w:val="24"/>
                <w:sz w:val="21"/>
                <w:szCs w:val="21"/>
                <w:highlight w:val="none"/>
              </w:rPr>
              <w:t>3</w:t>
            </w:r>
          </w:p>
        </w:tc>
        <w:tc>
          <w:tcPr>
            <w:tcW w:w="1356"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地表水</w:t>
            </w:r>
          </w:p>
        </w:tc>
        <w:tc>
          <w:tcPr>
            <w:tcW w:w="1144"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三级B</w:t>
            </w:r>
          </w:p>
        </w:tc>
        <w:tc>
          <w:tcPr>
            <w:tcW w:w="5151"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依托水处理设施环境可行性分析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kern w:val="24"/>
                <w:sz w:val="21"/>
                <w:szCs w:val="21"/>
                <w:highlight w:val="none"/>
              </w:rPr>
            </w:pPr>
            <w:r>
              <w:rPr>
                <w:rFonts w:hint="eastAsia"/>
                <w:sz w:val="21"/>
                <w:szCs w:val="21"/>
                <w:highlight w:val="none"/>
              </w:rPr>
              <w:t>4</w:t>
            </w:r>
          </w:p>
        </w:tc>
        <w:tc>
          <w:tcPr>
            <w:tcW w:w="1356" w:type="dxa"/>
            <w:vAlign w:val="center"/>
          </w:tcPr>
          <w:p>
            <w:pPr>
              <w:spacing w:line="240" w:lineRule="auto"/>
              <w:ind w:firstLine="0" w:firstLineChars="0"/>
              <w:jc w:val="center"/>
              <w:rPr>
                <w:kern w:val="24"/>
                <w:sz w:val="21"/>
                <w:szCs w:val="21"/>
                <w:highlight w:val="none"/>
              </w:rPr>
            </w:pPr>
            <w:r>
              <w:rPr>
                <w:kern w:val="24"/>
                <w:sz w:val="21"/>
                <w:szCs w:val="21"/>
                <w:highlight w:val="none"/>
              </w:rPr>
              <w:t>地下水</w:t>
            </w:r>
          </w:p>
        </w:tc>
        <w:tc>
          <w:tcPr>
            <w:tcW w:w="1144" w:type="dxa"/>
            <w:vAlign w:val="center"/>
          </w:tcPr>
          <w:p>
            <w:pPr>
              <w:spacing w:line="240" w:lineRule="auto"/>
              <w:ind w:firstLine="0" w:firstLineChars="0"/>
              <w:jc w:val="center"/>
              <w:rPr>
                <w:kern w:val="24"/>
                <w:sz w:val="21"/>
                <w:szCs w:val="21"/>
                <w:highlight w:val="none"/>
              </w:rPr>
            </w:pPr>
            <w:r>
              <w:rPr>
                <w:kern w:val="24"/>
                <w:sz w:val="21"/>
                <w:szCs w:val="21"/>
                <w:highlight w:val="none"/>
              </w:rPr>
              <w:t>二级</w:t>
            </w:r>
          </w:p>
        </w:tc>
        <w:tc>
          <w:tcPr>
            <w:tcW w:w="5151" w:type="dxa"/>
            <w:vAlign w:val="center"/>
          </w:tcPr>
          <w:p>
            <w:pPr>
              <w:spacing w:line="240" w:lineRule="auto"/>
              <w:ind w:firstLine="0" w:firstLineChars="0"/>
              <w:jc w:val="center"/>
              <w:rPr>
                <w:kern w:val="24"/>
                <w:sz w:val="21"/>
                <w:szCs w:val="21"/>
                <w:highlight w:val="none"/>
              </w:rPr>
            </w:pPr>
            <w:r>
              <w:rPr>
                <w:rFonts w:hint="eastAsia"/>
                <w:sz w:val="21"/>
                <w:szCs w:val="21"/>
                <w:highlight w:val="none"/>
              </w:rPr>
              <w:t>西</w:t>
            </w:r>
            <w:r>
              <w:rPr>
                <w:sz w:val="21"/>
                <w:szCs w:val="21"/>
                <w:highlight w:val="none"/>
              </w:rPr>
              <w:t>部和北部边界垂直地下水等水位线，概化成零流量边界；</w:t>
            </w:r>
            <w:r>
              <w:rPr>
                <w:rFonts w:hint="eastAsia"/>
                <w:sz w:val="21"/>
                <w:szCs w:val="21"/>
                <w:highlight w:val="none"/>
              </w:rPr>
              <w:t>东</w:t>
            </w:r>
            <w:r>
              <w:rPr>
                <w:sz w:val="21"/>
                <w:szCs w:val="21"/>
                <w:highlight w:val="none"/>
              </w:rPr>
              <w:t>部和</w:t>
            </w:r>
            <w:r>
              <w:rPr>
                <w:rFonts w:hint="eastAsia"/>
                <w:sz w:val="21"/>
                <w:szCs w:val="21"/>
                <w:highlight w:val="none"/>
              </w:rPr>
              <w:t>南</w:t>
            </w:r>
            <w:r>
              <w:rPr>
                <w:sz w:val="21"/>
                <w:szCs w:val="21"/>
                <w:highlight w:val="none"/>
              </w:rPr>
              <w:t>部边界为</w:t>
            </w:r>
            <w:r>
              <w:rPr>
                <w:rFonts w:hint="eastAsia"/>
                <w:sz w:val="21"/>
                <w:szCs w:val="21"/>
                <w:highlight w:val="none"/>
              </w:rPr>
              <w:t>河流</w:t>
            </w:r>
            <w:r>
              <w:rPr>
                <w:sz w:val="21"/>
                <w:szCs w:val="21"/>
                <w:highlight w:val="none"/>
              </w:rPr>
              <w:t>边界，评价区总面积约为</w:t>
            </w:r>
            <w:r>
              <w:rPr>
                <w:rFonts w:hint="eastAsia"/>
                <w:sz w:val="21"/>
                <w:szCs w:val="21"/>
                <w:highlight w:val="none"/>
              </w:rPr>
              <w:t>9</w:t>
            </w:r>
            <w:r>
              <w:rPr>
                <w:sz w:val="21"/>
                <w:szCs w:val="21"/>
                <w:highlight w:val="none"/>
              </w:rPr>
              <w:t>km</w:t>
            </w:r>
            <w:r>
              <w:rPr>
                <w:sz w:val="21"/>
                <w:szCs w:val="21"/>
                <w:highlight w:val="none"/>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sz w:val="21"/>
                <w:szCs w:val="21"/>
                <w:highlight w:val="none"/>
              </w:rPr>
            </w:pPr>
            <w:r>
              <w:rPr>
                <w:rFonts w:hint="eastAsia"/>
                <w:sz w:val="21"/>
                <w:szCs w:val="21"/>
                <w:highlight w:val="none"/>
              </w:rPr>
              <w:t>5</w:t>
            </w:r>
          </w:p>
        </w:tc>
        <w:tc>
          <w:tcPr>
            <w:tcW w:w="1356"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土壤环境</w:t>
            </w:r>
          </w:p>
        </w:tc>
        <w:tc>
          <w:tcPr>
            <w:tcW w:w="1144"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三级</w:t>
            </w:r>
          </w:p>
        </w:tc>
        <w:tc>
          <w:tcPr>
            <w:tcW w:w="5151" w:type="dxa"/>
            <w:vAlign w:val="center"/>
          </w:tcPr>
          <w:p>
            <w:pPr>
              <w:spacing w:line="240" w:lineRule="auto"/>
              <w:ind w:firstLine="0" w:firstLineChars="0"/>
              <w:jc w:val="center"/>
              <w:rPr>
                <w:sz w:val="21"/>
                <w:szCs w:val="21"/>
                <w:highlight w:val="none"/>
              </w:rPr>
            </w:pPr>
            <w:r>
              <w:rPr>
                <w:rFonts w:hint="eastAsia"/>
                <w:sz w:val="21"/>
                <w:szCs w:val="21"/>
                <w:highlight w:val="none"/>
              </w:rPr>
              <w:t>选矿厂占地范围及厂界外0.05m范围内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sz w:val="21"/>
                <w:szCs w:val="21"/>
                <w:highlight w:val="none"/>
              </w:rPr>
            </w:pPr>
            <w:r>
              <w:rPr>
                <w:rFonts w:hint="eastAsia"/>
                <w:sz w:val="21"/>
                <w:szCs w:val="21"/>
                <w:highlight w:val="none"/>
              </w:rPr>
              <w:t>6</w:t>
            </w:r>
          </w:p>
        </w:tc>
        <w:tc>
          <w:tcPr>
            <w:tcW w:w="1356" w:type="dxa"/>
            <w:vAlign w:val="center"/>
          </w:tcPr>
          <w:p>
            <w:pPr>
              <w:spacing w:line="240" w:lineRule="auto"/>
              <w:ind w:firstLine="0" w:firstLineChars="0"/>
              <w:jc w:val="center"/>
              <w:rPr>
                <w:sz w:val="21"/>
                <w:szCs w:val="21"/>
                <w:highlight w:val="none"/>
              </w:rPr>
            </w:pPr>
            <w:r>
              <w:rPr>
                <w:sz w:val="21"/>
                <w:szCs w:val="21"/>
                <w:highlight w:val="none"/>
              </w:rPr>
              <w:t>生态环境</w:t>
            </w:r>
          </w:p>
        </w:tc>
        <w:tc>
          <w:tcPr>
            <w:tcW w:w="1144" w:type="dxa"/>
            <w:vAlign w:val="center"/>
          </w:tcPr>
          <w:p>
            <w:pPr>
              <w:spacing w:line="240" w:lineRule="auto"/>
              <w:ind w:firstLine="0" w:firstLineChars="0"/>
              <w:jc w:val="center"/>
              <w:rPr>
                <w:sz w:val="21"/>
                <w:szCs w:val="21"/>
                <w:highlight w:val="none"/>
              </w:rPr>
            </w:pPr>
            <w:r>
              <w:rPr>
                <w:rFonts w:hint="eastAsia"/>
                <w:sz w:val="21"/>
                <w:szCs w:val="21"/>
                <w:highlight w:val="none"/>
              </w:rPr>
              <w:t>影响分析</w:t>
            </w:r>
          </w:p>
        </w:tc>
        <w:tc>
          <w:tcPr>
            <w:tcW w:w="5151" w:type="dxa"/>
            <w:vAlign w:val="center"/>
          </w:tcPr>
          <w:p>
            <w:pPr>
              <w:spacing w:line="240" w:lineRule="auto"/>
              <w:ind w:firstLine="0" w:firstLineChars="0"/>
              <w:jc w:val="center"/>
              <w:rPr>
                <w:sz w:val="21"/>
                <w:szCs w:val="21"/>
                <w:highlight w:val="none"/>
              </w:rPr>
            </w:pPr>
            <w:r>
              <w:rPr>
                <w:sz w:val="21"/>
                <w:szCs w:val="21"/>
                <w:highlight w:val="none"/>
              </w:rPr>
              <w:t>本项目占地范围内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sz w:val="21"/>
                <w:szCs w:val="21"/>
                <w:highlight w:val="none"/>
              </w:rPr>
            </w:pPr>
            <w:r>
              <w:rPr>
                <w:rFonts w:hint="eastAsia"/>
                <w:sz w:val="21"/>
                <w:szCs w:val="21"/>
                <w:highlight w:val="none"/>
              </w:rPr>
              <w:t>7</w:t>
            </w:r>
          </w:p>
        </w:tc>
        <w:tc>
          <w:tcPr>
            <w:tcW w:w="1356" w:type="dxa"/>
            <w:vAlign w:val="center"/>
          </w:tcPr>
          <w:p>
            <w:pPr>
              <w:spacing w:line="240" w:lineRule="auto"/>
              <w:ind w:firstLine="0" w:firstLineChars="0"/>
              <w:jc w:val="center"/>
              <w:rPr>
                <w:sz w:val="21"/>
                <w:szCs w:val="21"/>
                <w:highlight w:val="none"/>
              </w:rPr>
            </w:pPr>
            <w:r>
              <w:rPr>
                <w:rFonts w:hint="eastAsia"/>
                <w:sz w:val="21"/>
                <w:szCs w:val="21"/>
                <w:highlight w:val="none"/>
              </w:rPr>
              <w:t>环境风险</w:t>
            </w:r>
          </w:p>
        </w:tc>
        <w:tc>
          <w:tcPr>
            <w:tcW w:w="1144" w:type="dxa"/>
            <w:vAlign w:val="center"/>
          </w:tcPr>
          <w:p>
            <w:pPr>
              <w:spacing w:line="240" w:lineRule="auto"/>
              <w:ind w:firstLine="0" w:firstLineChars="0"/>
              <w:jc w:val="center"/>
              <w:rPr>
                <w:sz w:val="21"/>
                <w:szCs w:val="21"/>
                <w:highlight w:val="none"/>
              </w:rPr>
            </w:pPr>
            <w:r>
              <w:rPr>
                <w:rFonts w:hint="eastAsia"/>
                <w:sz w:val="21"/>
                <w:szCs w:val="21"/>
                <w:highlight w:val="none"/>
              </w:rPr>
              <w:t>简单分析</w:t>
            </w:r>
          </w:p>
        </w:tc>
        <w:tc>
          <w:tcPr>
            <w:tcW w:w="5151" w:type="dxa"/>
            <w:vAlign w:val="center"/>
          </w:tcPr>
          <w:p>
            <w:pPr>
              <w:spacing w:line="240" w:lineRule="auto"/>
              <w:ind w:firstLine="0" w:firstLineChars="0"/>
              <w:jc w:val="center"/>
              <w:rPr>
                <w:sz w:val="21"/>
                <w:szCs w:val="21"/>
                <w:highlight w:val="none"/>
              </w:rPr>
            </w:pPr>
            <w:r>
              <w:rPr>
                <w:rFonts w:hint="eastAsia"/>
                <w:sz w:val="21"/>
                <w:szCs w:val="21"/>
                <w:highlight w:val="none"/>
              </w:rPr>
              <w:t>/</w:t>
            </w:r>
          </w:p>
        </w:tc>
      </w:tr>
    </w:tbl>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09" w:name="_Toc499651400"/>
      <w:bookmarkStart w:id="210" w:name="_Toc524284662"/>
      <w:bookmarkStart w:id="211" w:name="_Toc503218099"/>
      <w:bookmarkStart w:id="212" w:name="_Toc536557284"/>
      <w:bookmarkStart w:id="213" w:name="_Toc521591748"/>
      <w:bookmarkStart w:id="214" w:name="_Toc10013"/>
      <w:bookmarkStart w:id="215" w:name="_Toc476574689"/>
      <w:bookmarkStart w:id="216" w:name="_Toc1612"/>
      <w:bookmarkStart w:id="217" w:name="_Toc24072"/>
      <w:r>
        <w:rPr>
          <w:rFonts w:ascii="Times New Roman" w:hAnsi="Times New Roman" w:eastAsia="宋体"/>
          <w:bCs w:val="0"/>
          <w:snapToGrid w:val="0"/>
          <w:kern w:val="0"/>
          <w:sz w:val="28"/>
          <w:szCs w:val="28"/>
          <w:highlight w:val="none"/>
        </w:rPr>
        <w:t>相关规划及环境功能区划</w:t>
      </w:r>
      <w:bookmarkEnd w:id="209"/>
      <w:bookmarkEnd w:id="210"/>
      <w:bookmarkEnd w:id="211"/>
      <w:bookmarkEnd w:id="212"/>
      <w:bookmarkEnd w:id="213"/>
      <w:bookmarkEnd w:id="214"/>
      <w:bookmarkEnd w:id="215"/>
      <w:bookmarkEnd w:id="216"/>
      <w:bookmarkEnd w:id="217"/>
    </w:p>
    <w:p>
      <w:pPr>
        <w:pStyle w:val="6"/>
        <w:numPr>
          <w:ilvl w:val="2"/>
          <w:numId w:val="1"/>
        </w:numPr>
        <w:spacing w:before="0" w:after="0"/>
        <w:ind w:left="567"/>
        <w:rPr>
          <w:szCs w:val="28"/>
          <w:highlight w:val="none"/>
        </w:rPr>
      </w:pPr>
      <w:bookmarkStart w:id="218" w:name="_Toc4576"/>
      <w:bookmarkStart w:id="219" w:name="_Toc521591749"/>
      <w:r>
        <w:rPr>
          <w:szCs w:val="28"/>
          <w:highlight w:val="none"/>
        </w:rPr>
        <w:t>相关规划</w:t>
      </w:r>
      <w:bookmarkEnd w:id="218"/>
      <w:bookmarkEnd w:id="219"/>
      <w:r>
        <w:rPr>
          <w:rFonts w:hint="eastAsia"/>
          <w:szCs w:val="28"/>
          <w:highlight w:val="none"/>
        </w:rPr>
        <w:t>及政策相符性分析</w:t>
      </w:r>
    </w:p>
    <w:p>
      <w:pPr>
        <w:pStyle w:val="3"/>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.1.1</w:t>
      </w:r>
      <w:r>
        <w:rPr>
          <w:rFonts w:hAnsiTheme="minorEastAsia" w:eastAsiaTheme="minorEastAsia"/>
          <w:b/>
          <w:highlight w:val="none"/>
        </w:rPr>
        <w:t>河北省主体功能区规划</w:t>
      </w:r>
    </w:p>
    <w:p>
      <w:pPr>
        <w:ind w:firstLine="480"/>
        <w:jc w:val="both"/>
        <w:rPr>
          <w:sz w:val="24"/>
          <w:szCs w:val="24"/>
          <w:highlight w:val="none"/>
        </w:rPr>
      </w:pPr>
      <w:r>
        <w:rPr>
          <w:sz w:val="24"/>
          <w:szCs w:val="24"/>
          <w:highlight w:val="none"/>
        </w:rPr>
        <w:t>对照《河北省主体功能区规划》，项目所在地遵化市地处该规划所指的“燕山山前平原地区”，属于该规划中附一“河北省优化、重点开发、限制开发区域名录中”的优化开发区域。该区是中国现代工业的摇篮，冀东北地区综合交通枢纽，煤炭、铁矿石等资源密集区，是京津冀区域内经济比较发达、城市化水平较高的区域。区域功能定位为“中国北方经济中心区的重要组成部分，我国开放合作的新高地，京津冀区域现代工业密集区、高新技术成果转化和先进装备制造业基地，河北省新型工业化基地。”生态建设和环境保护中：“高起点规划建设南湖城市生态中心区治理采煤塌陷区、尾矿库和废石场，恢复矿山生态。加快重污染企业搬迁，深入开展空气污染综合整治，加强水、噪声、固体废弃物等污染治理”。</w:t>
      </w:r>
    </w:p>
    <w:p>
      <w:pPr>
        <w:ind w:firstLine="480"/>
        <w:jc w:val="both"/>
        <w:rPr>
          <w:sz w:val="24"/>
          <w:szCs w:val="24"/>
          <w:highlight w:val="none"/>
        </w:rPr>
      </w:pPr>
      <w:r>
        <w:rPr>
          <w:sz w:val="24"/>
          <w:szCs w:val="24"/>
          <w:highlight w:val="none"/>
        </w:rPr>
        <w:t>项目选址位于遵化市堡子店镇西新店子村，属于《河北省主体功能区规划》中的优化开发区域（见图2.6-1），符合该规划中生态建设和环境保护中“深入开展空气污染综合整治，加强水、噪声、固体废弃物等污染治理”。</w:t>
      </w:r>
    </w:p>
    <w:p>
      <w:pPr>
        <w:ind w:firstLine="0" w:firstLineChars="0"/>
        <w:rPr>
          <w:sz w:val="23"/>
          <w:szCs w:val="23"/>
          <w:highlight w:val="none"/>
        </w:rPr>
      </w:pPr>
      <w:r>
        <w:rPr>
          <w:highlight w:val="none"/>
        </w:rPr>
        <w:pict>
          <v:shape id="自选图形 4" o:spid="_x0000_s1226" o:spt="62" type="#_x0000_t62" style="position:absolute;left:0pt;margin-left:201.6pt;margin-top:261pt;height:23.05pt;width:87pt;rotation:11796480f;z-index:251667456;mso-width-relative:margin;mso-height-relative:margin;" coordsize="21600,21600" adj="198,64893">
            <v:path/>
            <v:fill opacity="21588f" focussize="0,0"/>
            <v:stroke joinstyle="miter"/>
            <v:imagedata o:title=""/>
            <o:lock v:ext="edit"/>
            <v:textbox>
              <w:txbxContent>
                <w:p>
                  <w:pPr>
                    <w:spacing w:line="240" w:lineRule="auto"/>
                    <w:ind w:firstLine="0" w:firstLineChars="0"/>
                    <w:jc w:val="center"/>
                    <w:rPr>
                      <w:b/>
                      <w:sz w:val="24"/>
                    </w:rPr>
                  </w:pPr>
                  <w:r>
                    <w:rPr>
                      <w:rFonts w:hint="eastAsia"/>
                      <w:b/>
                      <w:sz w:val="24"/>
                    </w:rPr>
                    <w:t>项目位置</w:t>
                  </w:r>
                </w:p>
              </w:txbxContent>
            </v:textbox>
          </v:shape>
        </w:pict>
      </w:r>
      <w:r>
        <w:rPr>
          <w:highlight w:val="none"/>
        </w:rPr>
        <w:pict>
          <v:rect id="矩形 3" o:spid="_x0000_s1225" o:spt="1" style="position:absolute;left:0pt;margin-left:286.2pt;margin-top:212.4pt;height:5.95pt;width:5.95pt;z-index:251666432;mso-width-relative:page;mso-height-relative:page;" fillcolor="#FFFF00" filled="t" coordsize="21600,21600">
            <v:path/>
            <v:fill on="t" focussize="0,0"/>
            <v:stroke/>
            <v:imagedata o:title=""/>
            <o:lock v:ext="edit"/>
            <v:textbox>
              <w:txbxContent>
                <w:p>
                  <w:pPr>
                    <w:ind w:firstLine="560"/>
                  </w:pPr>
                </w:p>
              </w:txbxContent>
            </v:textbox>
          </v:rect>
        </w:pict>
      </w:r>
      <w:r>
        <w:rPr>
          <w:sz w:val="23"/>
          <w:szCs w:val="23"/>
          <w:highlight w:val="none"/>
        </w:rPr>
        <w:drawing>
          <wp:inline distT="0" distB="0" distL="0" distR="0">
            <wp:extent cx="5326380" cy="6690360"/>
            <wp:effectExtent l="19050" t="0" r="7620" b="0"/>
            <wp:docPr id="4" name="图片 3" descr="微信图片_2018080616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微信图片_20180806162619"/>
                    <pic:cNvPicPr>
                      <a:picLocks noChangeAspect="1" noChangeArrowheads="1"/>
                    </pic:cNvPicPr>
                  </pic:nvPicPr>
                  <pic:blipFill>
                    <a:blip r:embed="rId20" cstate="print"/>
                    <a:srcRect t="5646"/>
                    <a:stretch>
                      <a:fillRect/>
                    </a:stretch>
                  </pic:blipFill>
                  <pic:spPr>
                    <a:xfrm>
                      <a:off x="0" y="0"/>
                      <a:ext cx="5326380" cy="6690360"/>
                    </a:xfrm>
                    <a:prstGeom prst="rect">
                      <a:avLst/>
                    </a:prstGeom>
                    <a:noFill/>
                    <a:ln w="9525">
                      <a:noFill/>
                      <a:miter lim="800000"/>
                      <a:headEnd/>
                      <a:tailEnd/>
                    </a:ln>
                  </pic:spPr>
                </pic:pic>
              </a:graphicData>
            </a:graphic>
          </wp:inline>
        </w:drawing>
      </w:r>
    </w:p>
    <w:p>
      <w:pPr>
        <w:spacing w:line="240" w:lineRule="auto"/>
        <w:ind w:left="425" w:firstLine="1890" w:firstLineChars="900"/>
        <w:textAlignment w:val="auto"/>
        <w:rPr>
          <w:rFonts w:eastAsia="黑体"/>
          <w:kern w:val="2"/>
          <w:sz w:val="21"/>
          <w:szCs w:val="21"/>
          <w:highlight w:val="none"/>
        </w:rPr>
      </w:pPr>
      <w:r>
        <w:rPr>
          <w:rFonts w:eastAsia="黑体"/>
          <w:kern w:val="2"/>
          <w:sz w:val="21"/>
          <w:szCs w:val="21"/>
          <w:highlight w:val="none"/>
        </w:rPr>
        <w:t>图2.</w:t>
      </w:r>
      <w:r>
        <w:rPr>
          <w:rFonts w:hint="eastAsia" w:eastAsia="黑体"/>
          <w:kern w:val="2"/>
          <w:sz w:val="21"/>
          <w:szCs w:val="21"/>
          <w:highlight w:val="none"/>
        </w:rPr>
        <w:t>6</w:t>
      </w:r>
      <w:r>
        <w:rPr>
          <w:rFonts w:eastAsia="黑体"/>
          <w:kern w:val="2"/>
          <w:sz w:val="21"/>
          <w:szCs w:val="21"/>
          <w:highlight w:val="none"/>
        </w:rPr>
        <w:t>-1    河北省主体功能区规划图</w:t>
      </w:r>
    </w:p>
    <w:p>
      <w:pPr>
        <w:spacing w:line="240" w:lineRule="auto"/>
        <w:ind w:left="425" w:firstLine="1890" w:firstLineChars="900"/>
        <w:textAlignment w:val="auto"/>
        <w:rPr>
          <w:rFonts w:eastAsia="黑体"/>
          <w:kern w:val="2"/>
          <w:sz w:val="21"/>
          <w:szCs w:val="21"/>
          <w:highlight w:val="none"/>
        </w:rPr>
      </w:pPr>
    </w:p>
    <w:p>
      <w:pPr>
        <w:pStyle w:val="3"/>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.1.2</w:t>
      </w:r>
      <w:r>
        <w:rPr>
          <w:rFonts w:hAnsiTheme="minorEastAsia" w:eastAsiaTheme="minorEastAsia"/>
          <w:b/>
          <w:highlight w:val="none"/>
        </w:rPr>
        <w:t>与《遵化市城乡总体规划》符合性</w:t>
      </w:r>
    </w:p>
    <w:p>
      <w:pPr>
        <w:ind w:firstLine="480"/>
        <w:jc w:val="both"/>
        <w:rPr>
          <w:sz w:val="24"/>
          <w:szCs w:val="24"/>
          <w:highlight w:val="none"/>
        </w:rPr>
      </w:pPr>
      <w:r>
        <w:rPr>
          <w:sz w:val="24"/>
          <w:szCs w:val="24"/>
          <w:highlight w:val="none"/>
        </w:rPr>
        <w:t>本项目位于遵化市堡子店镇西新店子村。</w:t>
      </w:r>
      <w:r>
        <w:rPr>
          <w:rFonts w:hint="eastAsia"/>
          <w:sz w:val="24"/>
          <w:szCs w:val="24"/>
          <w:highlight w:val="none"/>
        </w:rPr>
        <w:t>根据遵化市住房和城乡规划建设局的用地性质说明</w:t>
      </w:r>
      <w:bookmarkStart w:id="220" w:name="_Hlk532028461"/>
      <w:r>
        <w:rPr>
          <w:rFonts w:hint="eastAsia"/>
          <w:sz w:val="24"/>
          <w:szCs w:val="24"/>
          <w:highlight w:val="none"/>
        </w:rPr>
        <w:t>，符合城乡规划要求。</w:t>
      </w:r>
      <w:bookmarkEnd w:id="220"/>
    </w:p>
    <w:p>
      <w:pPr>
        <w:pStyle w:val="3"/>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.1.3</w:t>
      </w:r>
      <w:r>
        <w:rPr>
          <w:rFonts w:hAnsiTheme="minorEastAsia" w:eastAsiaTheme="minorEastAsia"/>
          <w:b/>
          <w:highlight w:val="none"/>
        </w:rPr>
        <w:t>与《遵化市生态市建设规划》的符合性</w:t>
      </w:r>
    </w:p>
    <w:p>
      <w:pPr>
        <w:ind w:firstLine="480"/>
        <w:jc w:val="both"/>
        <w:rPr>
          <w:sz w:val="24"/>
          <w:highlight w:val="none"/>
        </w:rPr>
      </w:pPr>
      <w:r>
        <w:rPr>
          <w:sz w:val="24"/>
          <w:szCs w:val="24"/>
          <w:highlight w:val="none"/>
        </w:rPr>
        <w:t>根据《遵化市生态市建设规划》，将遵化市全市划分为2个生态功能区4个生态功能亚区，详见表2.</w:t>
      </w:r>
      <w:r>
        <w:rPr>
          <w:rFonts w:hint="eastAsia"/>
          <w:sz w:val="24"/>
          <w:szCs w:val="24"/>
          <w:highlight w:val="none"/>
        </w:rPr>
        <w:t>6</w:t>
      </w:r>
      <w:r>
        <w:rPr>
          <w:sz w:val="24"/>
          <w:szCs w:val="24"/>
          <w:highlight w:val="none"/>
        </w:rPr>
        <w:t>-1。本项目位于堡子店镇，属中部生态农业保育区，该区域主导功能为</w:t>
      </w:r>
      <w:r>
        <w:rPr>
          <w:sz w:val="24"/>
          <w:highlight w:val="none"/>
        </w:rPr>
        <w:t>基本农田保护、生态农业示范区。</w:t>
      </w:r>
    </w:p>
    <w:p>
      <w:pPr>
        <w:ind w:firstLine="480"/>
        <w:rPr>
          <w:sz w:val="24"/>
          <w:szCs w:val="24"/>
          <w:highlight w:val="none"/>
        </w:rPr>
      </w:pPr>
      <w:r>
        <w:rPr>
          <w:sz w:val="24"/>
          <w:szCs w:val="24"/>
          <w:highlight w:val="none"/>
        </w:rPr>
        <w:t>该区重要生态功能区包括：</w:t>
      </w:r>
    </w:p>
    <w:p>
      <w:pPr>
        <w:ind w:firstLine="480"/>
        <w:rPr>
          <w:sz w:val="24"/>
          <w:szCs w:val="24"/>
          <w:highlight w:val="none"/>
        </w:rPr>
      </w:pPr>
      <w:r>
        <w:rPr>
          <w:rFonts w:hint="eastAsia" w:ascii="宋体" w:hAnsi="宋体" w:cs="宋体"/>
          <w:sz w:val="24"/>
          <w:szCs w:val="24"/>
          <w:highlight w:val="none"/>
        </w:rPr>
        <w:t>①</w:t>
      </w:r>
      <w:r>
        <w:rPr>
          <w:sz w:val="24"/>
          <w:szCs w:val="24"/>
          <w:highlight w:val="none"/>
        </w:rPr>
        <w:t>禁止开发区：包括龙门口水库地表水源保护区、小渤海寨－纪各庄水源地、黄台－黎河店水源地；</w:t>
      </w:r>
    </w:p>
    <w:p>
      <w:pPr>
        <w:ind w:firstLine="480"/>
        <w:jc w:val="both"/>
        <w:rPr>
          <w:sz w:val="24"/>
          <w:highlight w:val="none"/>
        </w:rPr>
      </w:pPr>
      <w:r>
        <w:rPr>
          <w:rFonts w:hint="eastAsia" w:ascii="宋体" w:hAnsi="宋体" w:cs="宋体"/>
          <w:sz w:val="24"/>
          <w:szCs w:val="24"/>
          <w:highlight w:val="none"/>
        </w:rPr>
        <w:t>②</w:t>
      </w:r>
      <w:r>
        <w:rPr>
          <w:sz w:val="24"/>
          <w:szCs w:val="24"/>
          <w:highlight w:val="none"/>
        </w:rPr>
        <w:t>限制开发区：本区内分布广泛的基本农田保护区、规划建设的沙石峪风景名胜区等受保护地。</w:t>
      </w:r>
    </w:p>
    <w:p>
      <w:pPr>
        <w:ind w:firstLine="480"/>
        <w:jc w:val="both"/>
        <w:rPr>
          <w:sz w:val="24"/>
          <w:szCs w:val="24"/>
          <w:highlight w:val="none"/>
        </w:rPr>
      </w:pPr>
      <w:r>
        <w:rPr>
          <w:rFonts w:hint="eastAsia"/>
          <w:sz w:val="24"/>
          <w:szCs w:val="24"/>
          <w:highlight w:val="none"/>
        </w:rPr>
        <w:t>根据</w:t>
      </w:r>
      <w:r>
        <w:rPr>
          <w:sz w:val="24"/>
          <w:szCs w:val="24"/>
          <w:highlight w:val="none"/>
        </w:rPr>
        <w:t>遵化市住房和城乡规划建设局出具的用地性质说明，本项目占地类为工业用地，不占用基本农田，不属于该区域中禁止开发区和限制开发区，同时本项目产生的各类固体废物均能得到合理处置，固体废物（尾砂）</w:t>
      </w:r>
      <w:r>
        <w:rPr>
          <w:rFonts w:hint="eastAsia"/>
          <w:sz w:val="24"/>
          <w:szCs w:val="24"/>
          <w:highlight w:val="none"/>
        </w:rPr>
        <w:t>全部</w:t>
      </w:r>
      <w:r>
        <w:rPr>
          <w:sz w:val="24"/>
          <w:szCs w:val="24"/>
          <w:highlight w:val="none"/>
        </w:rPr>
        <w:t>综合利用，符合《遵化市生态市建设规划》。</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6</w:t>
      </w:r>
      <w:r>
        <w:rPr>
          <w:rFonts w:eastAsia="黑体"/>
          <w:kern w:val="2"/>
          <w:sz w:val="21"/>
          <w:szCs w:val="21"/>
          <w:highlight w:val="none"/>
        </w:rPr>
        <w:t>-1遵化市生态功能区划表</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1213"/>
        <w:gridCol w:w="3116"/>
        <w:gridCol w:w="1790"/>
        <w:gridCol w:w="101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vAlign w:val="center"/>
          </w:tcPr>
          <w:p>
            <w:pPr>
              <w:spacing w:line="240" w:lineRule="auto"/>
              <w:ind w:firstLine="0" w:firstLineChars="0"/>
              <w:jc w:val="center"/>
              <w:rPr>
                <w:sz w:val="21"/>
                <w:szCs w:val="21"/>
                <w:highlight w:val="none"/>
              </w:rPr>
            </w:pPr>
            <w:r>
              <w:rPr>
                <w:sz w:val="21"/>
                <w:szCs w:val="21"/>
                <w:highlight w:val="none"/>
              </w:rPr>
              <w:t>生态功能区</w:t>
            </w:r>
          </w:p>
        </w:tc>
        <w:tc>
          <w:tcPr>
            <w:tcW w:w="1213" w:type="dxa"/>
            <w:vAlign w:val="center"/>
          </w:tcPr>
          <w:p>
            <w:pPr>
              <w:spacing w:line="240" w:lineRule="auto"/>
              <w:ind w:firstLine="0" w:firstLineChars="0"/>
              <w:jc w:val="center"/>
              <w:rPr>
                <w:sz w:val="21"/>
                <w:szCs w:val="21"/>
                <w:highlight w:val="none"/>
              </w:rPr>
            </w:pPr>
            <w:r>
              <w:rPr>
                <w:sz w:val="21"/>
                <w:szCs w:val="21"/>
                <w:highlight w:val="none"/>
              </w:rPr>
              <w:t>生态功能亚区</w:t>
            </w:r>
          </w:p>
        </w:tc>
        <w:tc>
          <w:tcPr>
            <w:tcW w:w="3116" w:type="dxa"/>
            <w:vAlign w:val="center"/>
          </w:tcPr>
          <w:p>
            <w:pPr>
              <w:spacing w:line="240" w:lineRule="auto"/>
              <w:ind w:firstLine="0" w:firstLineChars="0"/>
              <w:jc w:val="center"/>
              <w:rPr>
                <w:sz w:val="21"/>
                <w:szCs w:val="21"/>
                <w:highlight w:val="none"/>
              </w:rPr>
            </w:pPr>
            <w:r>
              <w:rPr>
                <w:sz w:val="21"/>
                <w:szCs w:val="21"/>
                <w:highlight w:val="none"/>
              </w:rPr>
              <w:t>包含乡镇</w:t>
            </w:r>
          </w:p>
        </w:tc>
        <w:tc>
          <w:tcPr>
            <w:tcW w:w="1790" w:type="dxa"/>
            <w:vAlign w:val="center"/>
          </w:tcPr>
          <w:p>
            <w:pPr>
              <w:spacing w:line="240" w:lineRule="auto"/>
              <w:ind w:firstLine="0" w:firstLineChars="0"/>
              <w:jc w:val="center"/>
              <w:rPr>
                <w:sz w:val="21"/>
                <w:szCs w:val="21"/>
                <w:highlight w:val="none"/>
              </w:rPr>
            </w:pPr>
            <w:r>
              <w:rPr>
                <w:sz w:val="21"/>
                <w:szCs w:val="21"/>
                <w:highlight w:val="none"/>
              </w:rPr>
              <w:t>主导功能</w:t>
            </w:r>
          </w:p>
        </w:tc>
        <w:tc>
          <w:tcPr>
            <w:tcW w:w="1018" w:type="dxa"/>
            <w:vAlign w:val="center"/>
          </w:tcPr>
          <w:p>
            <w:pPr>
              <w:spacing w:line="240" w:lineRule="auto"/>
              <w:ind w:firstLine="0" w:firstLineChars="0"/>
              <w:jc w:val="center"/>
              <w:rPr>
                <w:sz w:val="21"/>
                <w:szCs w:val="21"/>
                <w:highlight w:val="none"/>
              </w:rPr>
            </w:pPr>
            <w:r>
              <w:rPr>
                <w:sz w:val="21"/>
                <w:szCs w:val="21"/>
                <w:highlight w:val="none"/>
              </w:rPr>
              <w:t>面积(平方公里)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vMerge w:val="restart"/>
            <w:vAlign w:val="center"/>
          </w:tcPr>
          <w:p>
            <w:pPr>
              <w:spacing w:line="240" w:lineRule="auto"/>
              <w:ind w:firstLine="0" w:firstLineChars="0"/>
              <w:jc w:val="center"/>
              <w:rPr>
                <w:sz w:val="21"/>
                <w:szCs w:val="21"/>
                <w:highlight w:val="none"/>
              </w:rPr>
            </w:pPr>
            <w:r>
              <w:rPr>
                <w:sz w:val="21"/>
                <w:szCs w:val="21"/>
                <w:highlight w:val="none"/>
              </w:rPr>
              <w:t>燕山山地南部生态区</w:t>
            </w:r>
          </w:p>
        </w:tc>
        <w:tc>
          <w:tcPr>
            <w:tcW w:w="1213" w:type="dxa"/>
            <w:vAlign w:val="center"/>
          </w:tcPr>
          <w:p>
            <w:pPr>
              <w:spacing w:line="240" w:lineRule="auto"/>
              <w:ind w:firstLine="0" w:firstLineChars="0"/>
              <w:jc w:val="center"/>
              <w:rPr>
                <w:sz w:val="21"/>
                <w:szCs w:val="21"/>
                <w:highlight w:val="none"/>
              </w:rPr>
            </w:pPr>
            <w:r>
              <w:rPr>
                <w:sz w:val="21"/>
                <w:szCs w:val="21"/>
                <w:highlight w:val="none"/>
              </w:rPr>
              <w:t>遵化镇生态型城镇建设区</w:t>
            </w:r>
          </w:p>
        </w:tc>
        <w:tc>
          <w:tcPr>
            <w:tcW w:w="3116" w:type="dxa"/>
            <w:vAlign w:val="center"/>
          </w:tcPr>
          <w:p>
            <w:pPr>
              <w:spacing w:line="240" w:lineRule="auto"/>
              <w:ind w:firstLine="0" w:firstLineChars="0"/>
              <w:jc w:val="center"/>
              <w:rPr>
                <w:sz w:val="21"/>
                <w:szCs w:val="21"/>
                <w:highlight w:val="none"/>
              </w:rPr>
            </w:pPr>
            <w:r>
              <w:rPr>
                <w:sz w:val="21"/>
                <w:szCs w:val="21"/>
                <w:highlight w:val="none"/>
              </w:rPr>
              <w:t>遵化镇</w:t>
            </w:r>
          </w:p>
        </w:tc>
        <w:tc>
          <w:tcPr>
            <w:tcW w:w="1790" w:type="dxa"/>
            <w:vAlign w:val="center"/>
          </w:tcPr>
          <w:p>
            <w:pPr>
              <w:spacing w:line="240" w:lineRule="auto"/>
              <w:ind w:firstLine="0" w:firstLineChars="0"/>
              <w:jc w:val="center"/>
              <w:rPr>
                <w:sz w:val="21"/>
                <w:szCs w:val="21"/>
                <w:highlight w:val="none"/>
              </w:rPr>
            </w:pPr>
            <w:r>
              <w:rPr>
                <w:sz w:val="21"/>
                <w:szCs w:val="21"/>
                <w:highlight w:val="none"/>
              </w:rPr>
              <w:t>城镇建设、水源保护</w:t>
            </w:r>
          </w:p>
        </w:tc>
        <w:tc>
          <w:tcPr>
            <w:tcW w:w="1018" w:type="dxa"/>
            <w:vAlign w:val="center"/>
          </w:tcPr>
          <w:p>
            <w:pPr>
              <w:spacing w:line="240" w:lineRule="auto"/>
              <w:ind w:firstLine="0" w:firstLineChars="0"/>
              <w:jc w:val="center"/>
              <w:rPr>
                <w:sz w:val="21"/>
                <w:szCs w:val="21"/>
                <w:highlight w:val="none"/>
              </w:rPr>
            </w:pPr>
            <w:r>
              <w:rPr>
                <w:sz w:val="21"/>
                <w:szCs w:val="21"/>
                <w:highlight w:val="none"/>
              </w:rPr>
              <w:t>31.5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vMerge w:val="continue"/>
          </w:tcPr>
          <w:p>
            <w:pPr>
              <w:spacing w:line="240" w:lineRule="auto"/>
              <w:ind w:firstLine="0" w:firstLineChars="0"/>
              <w:jc w:val="center"/>
              <w:rPr>
                <w:sz w:val="21"/>
                <w:szCs w:val="21"/>
                <w:highlight w:val="none"/>
              </w:rPr>
            </w:pPr>
          </w:p>
        </w:tc>
        <w:tc>
          <w:tcPr>
            <w:tcW w:w="1213" w:type="dxa"/>
            <w:vAlign w:val="center"/>
          </w:tcPr>
          <w:p>
            <w:pPr>
              <w:spacing w:line="240" w:lineRule="auto"/>
              <w:ind w:firstLine="0" w:firstLineChars="0"/>
              <w:jc w:val="center"/>
              <w:rPr>
                <w:sz w:val="21"/>
                <w:szCs w:val="21"/>
                <w:highlight w:val="none"/>
              </w:rPr>
            </w:pPr>
            <w:r>
              <w:rPr>
                <w:sz w:val="21"/>
                <w:szCs w:val="21"/>
                <w:highlight w:val="none"/>
              </w:rPr>
              <w:t>北部山区生态保护、重建区</w:t>
            </w:r>
          </w:p>
        </w:tc>
        <w:tc>
          <w:tcPr>
            <w:tcW w:w="3116" w:type="dxa"/>
            <w:vAlign w:val="center"/>
          </w:tcPr>
          <w:p>
            <w:pPr>
              <w:spacing w:line="240" w:lineRule="auto"/>
              <w:ind w:firstLine="0" w:firstLineChars="0"/>
              <w:jc w:val="center"/>
              <w:rPr>
                <w:sz w:val="21"/>
                <w:szCs w:val="21"/>
                <w:highlight w:val="none"/>
              </w:rPr>
            </w:pPr>
            <w:r>
              <w:rPr>
                <w:sz w:val="21"/>
                <w:szCs w:val="21"/>
                <w:highlight w:val="none"/>
              </w:rPr>
              <w:t>东陵乡、马兰峪镇、汤泉乡、西下营乡、兴旺寨乡、西三里乡、苏家洼镇、侯家寨乡、小厂乡、建明镇</w:t>
            </w:r>
          </w:p>
        </w:tc>
        <w:tc>
          <w:tcPr>
            <w:tcW w:w="1790" w:type="dxa"/>
            <w:vAlign w:val="center"/>
          </w:tcPr>
          <w:p>
            <w:pPr>
              <w:spacing w:line="240" w:lineRule="auto"/>
              <w:ind w:firstLine="0" w:firstLineChars="0"/>
              <w:jc w:val="center"/>
              <w:rPr>
                <w:sz w:val="21"/>
                <w:szCs w:val="21"/>
                <w:highlight w:val="none"/>
              </w:rPr>
            </w:pPr>
            <w:r>
              <w:rPr>
                <w:sz w:val="21"/>
                <w:szCs w:val="21"/>
                <w:highlight w:val="none"/>
              </w:rPr>
              <w:t>水源涵养、水文调蓄、生物多样性保护、生态重建</w:t>
            </w:r>
          </w:p>
        </w:tc>
        <w:tc>
          <w:tcPr>
            <w:tcW w:w="1018" w:type="dxa"/>
            <w:vAlign w:val="center"/>
          </w:tcPr>
          <w:p>
            <w:pPr>
              <w:spacing w:line="240" w:lineRule="auto"/>
              <w:ind w:firstLine="0" w:firstLineChars="0"/>
              <w:jc w:val="center"/>
              <w:rPr>
                <w:sz w:val="21"/>
                <w:szCs w:val="21"/>
                <w:highlight w:val="none"/>
              </w:rPr>
            </w:pPr>
            <w:r>
              <w:rPr>
                <w:sz w:val="21"/>
                <w:szCs w:val="21"/>
                <w:highlight w:val="none"/>
              </w:rPr>
              <w:t>556.5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vMerge w:val="continue"/>
          </w:tcPr>
          <w:p>
            <w:pPr>
              <w:spacing w:line="240" w:lineRule="auto"/>
              <w:ind w:firstLine="0" w:firstLineChars="0"/>
              <w:jc w:val="center"/>
              <w:rPr>
                <w:sz w:val="21"/>
                <w:szCs w:val="21"/>
                <w:highlight w:val="none"/>
              </w:rPr>
            </w:pPr>
          </w:p>
        </w:tc>
        <w:tc>
          <w:tcPr>
            <w:tcW w:w="1213" w:type="dxa"/>
            <w:vAlign w:val="center"/>
          </w:tcPr>
          <w:p>
            <w:pPr>
              <w:spacing w:line="240" w:lineRule="auto"/>
              <w:ind w:firstLine="0" w:firstLineChars="0"/>
              <w:jc w:val="center"/>
              <w:rPr>
                <w:sz w:val="21"/>
                <w:szCs w:val="21"/>
                <w:highlight w:val="none"/>
              </w:rPr>
            </w:pPr>
            <w:r>
              <w:rPr>
                <w:sz w:val="21"/>
                <w:szCs w:val="21"/>
                <w:highlight w:val="none"/>
              </w:rPr>
              <w:t>中部生态农业保育区</w:t>
            </w:r>
          </w:p>
        </w:tc>
        <w:tc>
          <w:tcPr>
            <w:tcW w:w="3116" w:type="dxa"/>
            <w:vAlign w:val="center"/>
          </w:tcPr>
          <w:p>
            <w:pPr>
              <w:spacing w:line="240" w:lineRule="auto"/>
              <w:ind w:firstLine="0" w:firstLineChars="0"/>
              <w:jc w:val="center"/>
              <w:rPr>
                <w:sz w:val="21"/>
                <w:szCs w:val="21"/>
                <w:highlight w:val="none"/>
              </w:rPr>
            </w:pPr>
            <w:r>
              <w:rPr>
                <w:sz w:val="21"/>
                <w:szCs w:val="21"/>
                <w:highlight w:val="none"/>
              </w:rPr>
              <w:t>石门镇、平安城镇、东新庄镇、团瓢庄乡、崔家庄乡、西留村乡、新店子镇、堡子店镇</w:t>
            </w:r>
          </w:p>
        </w:tc>
        <w:tc>
          <w:tcPr>
            <w:tcW w:w="1790" w:type="dxa"/>
            <w:vAlign w:val="center"/>
          </w:tcPr>
          <w:p>
            <w:pPr>
              <w:spacing w:line="240" w:lineRule="auto"/>
              <w:ind w:firstLine="0" w:firstLineChars="0"/>
              <w:jc w:val="center"/>
              <w:rPr>
                <w:sz w:val="21"/>
                <w:szCs w:val="21"/>
                <w:highlight w:val="none"/>
              </w:rPr>
            </w:pPr>
            <w:r>
              <w:rPr>
                <w:sz w:val="21"/>
                <w:szCs w:val="21"/>
                <w:highlight w:val="none"/>
              </w:rPr>
              <w:t>基本农田保护、生态农业示范区</w:t>
            </w:r>
          </w:p>
        </w:tc>
        <w:tc>
          <w:tcPr>
            <w:tcW w:w="1018" w:type="dxa"/>
            <w:vAlign w:val="center"/>
          </w:tcPr>
          <w:p>
            <w:pPr>
              <w:spacing w:line="240" w:lineRule="auto"/>
              <w:ind w:firstLine="0" w:firstLineChars="0"/>
              <w:jc w:val="center"/>
              <w:rPr>
                <w:sz w:val="21"/>
                <w:szCs w:val="21"/>
                <w:highlight w:val="none"/>
              </w:rPr>
            </w:pPr>
            <w:r>
              <w:rPr>
                <w:sz w:val="21"/>
                <w:szCs w:val="21"/>
                <w:highlight w:val="none"/>
              </w:rPr>
              <w:t>496.55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tcPr>
          <w:p>
            <w:pPr>
              <w:spacing w:line="240" w:lineRule="auto"/>
              <w:ind w:firstLine="0" w:firstLineChars="0"/>
              <w:jc w:val="center"/>
              <w:rPr>
                <w:sz w:val="21"/>
                <w:szCs w:val="21"/>
                <w:highlight w:val="none"/>
              </w:rPr>
            </w:pPr>
            <w:r>
              <w:rPr>
                <w:sz w:val="21"/>
                <w:szCs w:val="21"/>
                <w:highlight w:val="none"/>
              </w:rPr>
              <w:t>东南部山区水土保持、水源涵养区</w:t>
            </w:r>
          </w:p>
        </w:tc>
        <w:tc>
          <w:tcPr>
            <w:tcW w:w="1213" w:type="dxa"/>
            <w:vAlign w:val="center"/>
          </w:tcPr>
          <w:p>
            <w:pPr>
              <w:spacing w:line="240" w:lineRule="auto"/>
              <w:ind w:firstLine="0" w:firstLineChars="0"/>
              <w:jc w:val="center"/>
              <w:rPr>
                <w:sz w:val="21"/>
                <w:szCs w:val="21"/>
                <w:highlight w:val="none"/>
              </w:rPr>
            </w:pPr>
            <w:r>
              <w:rPr>
                <w:sz w:val="21"/>
                <w:szCs w:val="21"/>
                <w:highlight w:val="none"/>
              </w:rPr>
              <w:t>－</w:t>
            </w:r>
          </w:p>
        </w:tc>
        <w:tc>
          <w:tcPr>
            <w:tcW w:w="3116" w:type="dxa"/>
            <w:vAlign w:val="center"/>
          </w:tcPr>
          <w:p>
            <w:pPr>
              <w:spacing w:line="240" w:lineRule="auto"/>
              <w:ind w:firstLine="0" w:firstLineChars="0"/>
              <w:jc w:val="center"/>
              <w:rPr>
                <w:sz w:val="21"/>
                <w:szCs w:val="21"/>
                <w:highlight w:val="none"/>
              </w:rPr>
            </w:pPr>
            <w:r>
              <w:rPr>
                <w:sz w:val="21"/>
                <w:szCs w:val="21"/>
                <w:highlight w:val="none"/>
              </w:rPr>
              <w:t>刘备寨乡、地北头镇、东旧寨镇、党峪镇、铁厂镇、娘娘庄乡</w:t>
            </w:r>
          </w:p>
        </w:tc>
        <w:tc>
          <w:tcPr>
            <w:tcW w:w="1790" w:type="dxa"/>
            <w:vAlign w:val="center"/>
          </w:tcPr>
          <w:p>
            <w:pPr>
              <w:spacing w:line="240" w:lineRule="auto"/>
              <w:ind w:firstLine="0" w:firstLineChars="0"/>
              <w:jc w:val="center"/>
              <w:rPr>
                <w:sz w:val="21"/>
                <w:szCs w:val="21"/>
                <w:highlight w:val="none"/>
              </w:rPr>
            </w:pPr>
            <w:r>
              <w:rPr>
                <w:sz w:val="21"/>
                <w:szCs w:val="21"/>
                <w:highlight w:val="none"/>
              </w:rPr>
              <w:t>水土保持、水源涵养、水文调蓄</w:t>
            </w:r>
          </w:p>
        </w:tc>
        <w:tc>
          <w:tcPr>
            <w:tcW w:w="1018" w:type="dxa"/>
            <w:vAlign w:val="center"/>
          </w:tcPr>
          <w:p>
            <w:pPr>
              <w:spacing w:line="240" w:lineRule="auto"/>
              <w:ind w:firstLine="0" w:firstLineChars="0"/>
              <w:jc w:val="center"/>
              <w:rPr>
                <w:sz w:val="21"/>
                <w:szCs w:val="21"/>
                <w:highlight w:val="none"/>
              </w:rPr>
            </w:pPr>
            <w:r>
              <w:rPr>
                <w:sz w:val="21"/>
                <w:szCs w:val="21"/>
                <w:highlight w:val="none"/>
              </w:rPr>
              <w:t>431.95</w:t>
            </w:r>
          </w:p>
        </w:tc>
      </w:tr>
    </w:tbl>
    <w:p>
      <w:pPr>
        <w:pStyle w:val="3"/>
        <w:keepNext/>
        <w:keepLines/>
        <w:pageBreakBefore w:val="0"/>
        <w:widowControl w:val="0"/>
        <w:tabs>
          <w:tab w:val="left" w:pos="4253"/>
        </w:tabs>
        <w:kinsoku/>
        <w:wordWrap/>
        <w:overflowPunct/>
        <w:topLinePunct w:val="0"/>
        <w:autoSpaceDE/>
        <w:autoSpaceDN/>
        <w:bidi w:val="0"/>
        <w:adjustRightInd/>
        <w:snapToGrid/>
        <w:spacing w:before="157" w:beforeLines="50"/>
        <w:textAlignment w:val="bottom"/>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.1.4</w:t>
      </w:r>
      <w:r>
        <w:rPr>
          <w:rFonts w:hAnsiTheme="minorEastAsia" w:eastAsiaTheme="minorEastAsia"/>
          <w:b/>
          <w:highlight w:val="none"/>
        </w:rPr>
        <w:t>与遵化市堡子店水源地符合性分析</w:t>
      </w:r>
    </w:p>
    <w:p>
      <w:pPr>
        <w:ind w:firstLine="480"/>
        <w:jc w:val="both"/>
        <w:rPr>
          <w:sz w:val="24"/>
          <w:szCs w:val="24"/>
          <w:highlight w:val="none"/>
        </w:rPr>
      </w:pPr>
      <w:r>
        <w:rPr>
          <w:sz w:val="24"/>
          <w:szCs w:val="24"/>
          <w:highlight w:val="none"/>
        </w:rPr>
        <w:t>遵化市堡子店水源地位于东经117°52′33.3″，北纬40°09′17.2″（中心坐标），其主要供水范围为包括工业园区（通化西街以北、唐遵铁路西南、大秦铁路东南区域）、中部居住区（沙河西北、南环街以北、唐遵铁路以东区域）、南部居住区（沙河东南、建设路以西、南三环以北区域），总供水面积992.43ha。设计供水能力4.0×10</w:t>
      </w:r>
      <w:r>
        <w:rPr>
          <w:sz w:val="24"/>
          <w:szCs w:val="24"/>
          <w:highlight w:val="none"/>
          <w:vertAlign w:val="superscript"/>
        </w:rPr>
        <w:t>4</w:t>
      </w:r>
      <w:r>
        <w:rPr>
          <w:sz w:val="24"/>
          <w:szCs w:val="24"/>
          <w:highlight w:val="none"/>
        </w:rPr>
        <w:t>m</w:t>
      </w:r>
      <w:r>
        <w:rPr>
          <w:sz w:val="24"/>
          <w:szCs w:val="24"/>
          <w:highlight w:val="none"/>
          <w:vertAlign w:val="superscript"/>
        </w:rPr>
        <w:t>3</w:t>
      </w:r>
      <w:r>
        <w:rPr>
          <w:sz w:val="24"/>
          <w:szCs w:val="24"/>
          <w:highlight w:val="none"/>
        </w:rPr>
        <w:t>/d。</w:t>
      </w:r>
    </w:p>
    <w:p>
      <w:pPr>
        <w:ind w:firstLine="480"/>
        <w:jc w:val="both"/>
        <w:rPr>
          <w:sz w:val="24"/>
          <w:szCs w:val="24"/>
          <w:highlight w:val="none"/>
        </w:rPr>
      </w:pPr>
      <w:r>
        <w:rPr>
          <w:sz w:val="24"/>
          <w:szCs w:val="24"/>
          <w:highlight w:val="none"/>
        </w:rPr>
        <w:t>根据遵化市堡子店水源地调整后保护区分布图，水源地涉及遵化市堡子店镇东南部、西留村乡及兴旺寨乡南部，呈线状排列分布有5眼井，一字排开。水源地取用遵化市北川平原第四系第Ⅲ含水组的水，该含水组上段含水层厚25~70m，下段含水组含水层厚20~60m，含水组上段底板埋深100~190m，下段底板埋深150~350m，单位涌水量10~115m</w:t>
      </w:r>
      <w:r>
        <w:rPr>
          <w:sz w:val="24"/>
          <w:szCs w:val="24"/>
          <w:highlight w:val="none"/>
          <w:vertAlign w:val="superscript"/>
        </w:rPr>
        <w:t>3</w:t>
      </w:r>
      <w:r>
        <w:rPr>
          <w:sz w:val="24"/>
          <w:szCs w:val="24"/>
          <w:highlight w:val="none"/>
        </w:rPr>
        <w:t>/h•m，渗透系数50~80m/d，平均326m/d，地下水由东北向西南方向径流，平均水力坡度1.0‰，地下水化学类型为HCO</w:t>
      </w:r>
      <w:r>
        <w:rPr>
          <w:sz w:val="24"/>
          <w:szCs w:val="24"/>
          <w:highlight w:val="none"/>
          <w:vertAlign w:val="subscript"/>
        </w:rPr>
        <w:t>3</w:t>
      </w:r>
      <w:r>
        <w:rPr>
          <w:sz w:val="24"/>
          <w:szCs w:val="24"/>
          <w:highlight w:val="none"/>
        </w:rPr>
        <w:t>-Ca•Mg型水，矿化度0.1~0.4g/L。所有取水构筑物采用管井。</w:t>
      </w:r>
    </w:p>
    <w:p>
      <w:pPr>
        <w:ind w:firstLine="480"/>
        <w:rPr>
          <w:sz w:val="24"/>
          <w:szCs w:val="24"/>
          <w:highlight w:val="none"/>
        </w:rPr>
      </w:pPr>
      <w:r>
        <w:rPr>
          <w:sz w:val="24"/>
          <w:szCs w:val="24"/>
          <w:highlight w:val="none"/>
        </w:rPr>
        <w:t>遵化市堡子店水源地是中型地下水水源地，按照公式计算和经验相结合的方法划分一级、二级及准保护区。一级保护区范围以各水源井为中心，半径为212.0m的圆形范围；二级保护区范围以水源井为中心连线为中轴，分别向四周延伸，面积14.6km</w:t>
      </w:r>
      <w:r>
        <w:rPr>
          <w:sz w:val="24"/>
          <w:szCs w:val="24"/>
          <w:highlight w:val="none"/>
          <w:vertAlign w:val="superscript"/>
        </w:rPr>
        <w:t>2</w:t>
      </w:r>
      <w:r>
        <w:rPr>
          <w:sz w:val="24"/>
          <w:szCs w:val="24"/>
          <w:highlight w:val="none"/>
        </w:rPr>
        <w:t>；准保护区范围南界为遵化盆地中间山脉北侧山脚；西界南阁老湾-小埝庄-南岭-北岭-南小庄一线；北界旧寨-北小庄-美成寺-兴旺寨一线；东界为二级保护区界线，面积29.6km</w:t>
      </w:r>
      <w:r>
        <w:rPr>
          <w:sz w:val="24"/>
          <w:szCs w:val="24"/>
          <w:highlight w:val="none"/>
          <w:vertAlign w:val="superscript"/>
        </w:rPr>
        <w:t>2</w:t>
      </w:r>
      <w:r>
        <w:rPr>
          <w:sz w:val="24"/>
          <w:szCs w:val="24"/>
          <w:highlight w:val="none"/>
        </w:rPr>
        <w:t>。</w:t>
      </w:r>
    </w:p>
    <w:p>
      <w:pPr>
        <w:ind w:firstLine="480"/>
        <w:rPr>
          <w:sz w:val="24"/>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pPr>
      <w:r>
        <w:rPr>
          <w:sz w:val="24"/>
          <w:szCs w:val="24"/>
          <w:highlight w:val="none"/>
        </w:rPr>
        <w:t>本项目不在遵化市堡子店水源地准保护区范围内，距离准保护区约3.</w:t>
      </w:r>
      <w:r>
        <w:rPr>
          <w:rFonts w:hint="eastAsia"/>
          <w:sz w:val="24"/>
          <w:szCs w:val="24"/>
          <w:highlight w:val="none"/>
        </w:rPr>
        <w:t>2</w:t>
      </w:r>
      <w:r>
        <w:rPr>
          <w:sz w:val="24"/>
          <w:szCs w:val="24"/>
          <w:highlight w:val="none"/>
        </w:rPr>
        <w:t>km，符合《中华人民共和国水污染防治法》（2017年6月27日第二次修正）及《饮用水水源保护区污染防治管理规定》（2010年12月22日修正）中相关规定要求。</w:t>
      </w:r>
    </w:p>
    <w:p>
      <w:pPr>
        <w:ind w:firstLine="0" w:firstLineChars="0"/>
        <w:jc w:val="center"/>
        <w:rPr>
          <w:sz w:val="24"/>
          <w:szCs w:val="24"/>
          <w:highlight w:val="none"/>
        </w:rPr>
      </w:pPr>
      <w:r>
        <w:rPr>
          <w:sz w:val="24"/>
          <w:szCs w:val="24"/>
          <w:highlight w:val="none"/>
        </w:rPr>
        <w:pict>
          <v:shape id="_x0000_s1721" o:spid="_x0000_s1721" o:spt="202" type="#_x0000_t202" style="position:absolute;left:0pt;margin-left:260.45pt;margin-top:191pt;height:28.45pt;width:59.15pt;z-index:251686912;mso-width-relative:page;mso-height-relative:page;" filled="f" stroked="f" coordsize="21600,21600">
            <v:path/>
            <v:fill on="f" focussize="0,0"/>
            <v:stroke on="f" joinstyle="miter"/>
            <v:imagedata o:title=""/>
            <o:lock v:ext="edit"/>
            <v:textbox>
              <w:txbxContent>
                <w:p>
                  <w:pPr>
                    <w:ind w:firstLine="0" w:firstLineChars="0"/>
                  </w:pPr>
                  <w:r>
                    <w:rPr>
                      <w:rFonts w:hint="eastAsia"/>
                    </w:rPr>
                    <w:t>3.3km</w:t>
                  </w:r>
                </w:p>
              </w:txbxContent>
            </v:textbox>
          </v:shape>
        </w:pict>
      </w:r>
      <w:r>
        <w:rPr>
          <w:sz w:val="24"/>
          <w:szCs w:val="24"/>
          <w:highlight w:val="none"/>
        </w:rPr>
        <w:pict>
          <v:shape id="_x0000_s1327" o:spid="_x0000_s1327" o:spt="62" type="#_x0000_t62" style="position:absolute;left:0pt;margin-left:169.5pt;margin-top:200pt;height:21.3pt;width:69.3pt;z-index:251684864;mso-width-relative:page;mso-height-relative:page;" coordsize="21600,21600" adj="26743,25454">
            <v:path/>
            <v:fill focussize="0,0"/>
            <v:stroke joinstyle="miter"/>
            <v:imagedata o:title=""/>
            <o:lock v:ext="edit"/>
            <v:textbox>
              <w:txbxContent>
                <w:p>
                  <w:pPr>
                    <w:ind w:firstLine="149" w:firstLineChars="71"/>
                    <w:rPr>
                      <w:color w:val="000000"/>
                      <w:sz w:val="21"/>
                      <w:szCs w:val="21"/>
                    </w:rPr>
                  </w:pPr>
                  <w:r>
                    <w:rPr>
                      <w:rFonts w:hint="eastAsia"/>
                      <w:color w:val="000000"/>
                      <w:sz w:val="21"/>
                      <w:szCs w:val="21"/>
                    </w:rPr>
                    <w:t>本项目</w:t>
                  </w:r>
                </w:p>
              </w:txbxContent>
            </v:textbox>
          </v:shape>
        </w:pict>
      </w:r>
      <w:r>
        <w:rPr>
          <w:sz w:val="24"/>
          <w:szCs w:val="24"/>
          <w:highlight w:val="none"/>
        </w:rPr>
        <w:pict>
          <v:shape id="_x0000_s1720" o:spid="_x0000_s1720" o:spt="32" type="#_x0000_t32" style="position:absolute;left:0pt;flip:y;margin-left:260.8pt;margin-top:194.85pt;height:31.9pt;width:54.25pt;z-index:251685888;mso-width-relative:page;mso-height-relative:page;" filled="f" stroked="t" coordsize="21600,21600">
            <v:path arrowok="t"/>
            <v:fill on="f" focussize="0,0"/>
            <v:stroke color="#FF0000" startarrow="block" endarrow="block"/>
            <v:imagedata o:title=""/>
            <o:lock v:ext="edit"/>
          </v:shape>
        </w:pict>
      </w:r>
      <w:r>
        <w:rPr>
          <w:sz w:val="24"/>
          <w:szCs w:val="24"/>
          <w:highlight w:val="none"/>
        </w:rPr>
        <w:pict>
          <v:shape id="_x0000_s1326" o:spid="_x0000_s1326" o:spt="12" type="#_x0000_t12" style="position:absolute;left:0pt;margin-left:255.7pt;margin-top:222.5pt;height:7.15pt;width:7.2pt;z-index:251683840;mso-width-relative:page;mso-height-relative:page;" fillcolor="#FF0000" filled="t" stroked="t" coordsize="21600,21600">
            <v:path/>
            <v:fill on="t" focussize="0,0"/>
            <v:stroke color="#FF0000" joinstyle="miter"/>
            <v:imagedata o:title=""/>
            <o:lock v:ext="edit"/>
          </v:shape>
        </w:pict>
      </w:r>
      <w:r>
        <w:rPr>
          <w:sz w:val="24"/>
          <w:szCs w:val="24"/>
          <w:highlight w:val="none"/>
        </w:rPr>
        <w:pict>
          <v:shape id="_x0000_s1325" o:spid="_x0000_s1325" o:spt="202" type="#_x0000_t202" style="position:absolute;left:0pt;margin-left:198.35pt;margin-top:400.5pt;height:25.5pt;width:326.05pt;z-index:251683840;mso-width-relative:page;mso-height-relative:page;" filled="f" stroked="f" coordsize="21600,21600">
            <v:path/>
            <v:fill on="f" focussize="0,0"/>
            <v:stroke on="f" joinstyle="miter"/>
            <v:imagedata o:title=""/>
            <o:lock v:ext="edit"/>
            <v:textbox>
              <w:txbxContent>
                <w:p>
                  <w:pPr>
                    <w:spacing w:line="240" w:lineRule="auto"/>
                    <w:ind w:firstLine="0" w:firstLineChars="0"/>
                    <w:jc w:val="center"/>
                    <w:textAlignment w:val="auto"/>
                    <w:rPr>
                      <w:rFonts w:hAnsi="黑体" w:eastAsia="黑体"/>
                      <w:kern w:val="2"/>
                      <w:sz w:val="21"/>
                      <w:szCs w:val="21"/>
                    </w:rPr>
                  </w:pPr>
                  <w:r>
                    <w:rPr>
                      <w:rFonts w:hAnsi="黑体" w:eastAsia="黑体"/>
                      <w:kern w:val="2"/>
                      <w:sz w:val="21"/>
                      <w:szCs w:val="21"/>
                    </w:rPr>
                    <w:t>图2.</w:t>
                  </w:r>
                  <w:r>
                    <w:rPr>
                      <w:rFonts w:hint="eastAsia" w:hAnsi="黑体" w:eastAsia="黑体"/>
                      <w:kern w:val="2"/>
                      <w:sz w:val="21"/>
                      <w:szCs w:val="21"/>
                    </w:rPr>
                    <w:t>6</w:t>
                  </w:r>
                  <w:r>
                    <w:rPr>
                      <w:rFonts w:hAnsi="黑体" w:eastAsia="黑体"/>
                      <w:kern w:val="2"/>
                      <w:sz w:val="21"/>
                      <w:szCs w:val="21"/>
                    </w:rPr>
                    <w:t>-2  遵化市堡子店水源地保护区分布图</w:t>
                  </w:r>
                </w:p>
              </w:txbxContent>
            </v:textbox>
          </v:shape>
        </w:pict>
      </w:r>
      <w:r>
        <w:rPr>
          <w:sz w:val="24"/>
          <w:szCs w:val="24"/>
          <w:highlight w:val="none"/>
        </w:rPr>
        <w:drawing>
          <wp:inline distT="0" distB="0" distL="0" distR="0">
            <wp:extent cx="8641080" cy="5128260"/>
            <wp:effectExtent l="19050" t="0" r="7620" b="0"/>
            <wp:docPr id="5" name="图片 4" descr="遵化市堡子店水源地调整后保护区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遵化市堡子店水源地调整后保护区分布图"/>
                    <pic:cNvPicPr>
                      <a:picLocks noChangeAspect="1" noChangeArrowheads="1"/>
                    </pic:cNvPicPr>
                  </pic:nvPicPr>
                  <pic:blipFill>
                    <a:blip r:embed="rId21" cstate="print"/>
                    <a:srcRect l="6514" t="14067" r="3798" b="10229"/>
                    <a:stretch>
                      <a:fillRect/>
                    </a:stretch>
                  </pic:blipFill>
                  <pic:spPr>
                    <a:xfrm>
                      <a:off x="0" y="0"/>
                      <a:ext cx="8641080" cy="5128260"/>
                    </a:xfrm>
                    <a:prstGeom prst="rect">
                      <a:avLst/>
                    </a:prstGeom>
                    <a:noFill/>
                    <a:ln w="9525">
                      <a:noFill/>
                      <a:miter lim="800000"/>
                      <a:headEnd/>
                      <a:tailEnd/>
                    </a:ln>
                  </pic:spPr>
                </pic:pic>
              </a:graphicData>
            </a:graphic>
          </wp:inline>
        </w:drawing>
      </w:r>
    </w:p>
    <w:p>
      <w:pPr>
        <w:pStyle w:val="3"/>
        <w:tabs>
          <w:tab w:val="left" w:pos="4253"/>
        </w:tabs>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.1.5</w:t>
      </w:r>
      <w:bookmarkStart w:id="221" w:name="_Hlk532029010"/>
      <w:r>
        <w:rPr>
          <w:rFonts w:hint="eastAsia" w:eastAsiaTheme="minorEastAsia"/>
          <w:b/>
          <w:highlight w:val="none"/>
        </w:rPr>
        <w:t>与“水十条”相符性分析</w:t>
      </w:r>
    </w:p>
    <w:p>
      <w:pPr>
        <w:spacing w:line="240" w:lineRule="auto"/>
        <w:ind w:firstLine="480"/>
        <w:rPr>
          <w:sz w:val="24"/>
          <w:szCs w:val="24"/>
          <w:highlight w:val="none"/>
        </w:rPr>
      </w:pPr>
      <w:r>
        <w:rPr>
          <w:rFonts w:hint="eastAsia"/>
          <w:sz w:val="24"/>
          <w:szCs w:val="24"/>
          <w:highlight w:val="none"/>
        </w:rPr>
        <w:t>本项目与《关于印发水污染防治行动计划的通知》（即“水十条”）的相符性分析见表</w:t>
      </w:r>
      <w:r>
        <w:rPr>
          <w:sz w:val="24"/>
          <w:szCs w:val="24"/>
          <w:highlight w:val="none"/>
        </w:rPr>
        <w:t>2</w:t>
      </w:r>
      <w:r>
        <w:rPr>
          <w:rFonts w:hint="eastAsia"/>
          <w:sz w:val="24"/>
          <w:szCs w:val="24"/>
          <w:highlight w:val="none"/>
        </w:rPr>
        <w:t>.</w:t>
      </w:r>
      <w:r>
        <w:rPr>
          <w:sz w:val="24"/>
          <w:szCs w:val="24"/>
          <w:highlight w:val="none"/>
        </w:rPr>
        <w:t>6</w:t>
      </w:r>
      <w:r>
        <w:rPr>
          <w:rFonts w:hint="eastAsia"/>
          <w:sz w:val="24"/>
          <w:szCs w:val="24"/>
          <w:highlight w:val="none"/>
        </w:rPr>
        <w:t>-</w:t>
      </w:r>
      <w:r>
        <w:rPr>
          <w:sz w:val="24"/>
          <w:szCs w:val="24"/>
          <w:highlight w:val="none"/>
        </w:rPr>
        <w:t>2</w:t>
      </w:r>
      <w:r>
        <w:rPr>
          <w:rFonts w:hint="eastAsia"/>
          <w:sz w:val="24"/>
          <w:szCs w:val="24"/>
          <w:highlight w:val="none"/>
        </w:rPr>
        <w:t>。</w:t>
      </w:r>
    </w:p>
    <w:p>
      <w:pPr>
        <w:spacing w:line="240" w:lineRule="auto"/>
        <w:ind w:firstLine="0" w:firstLineChars="0"/>
        <w:jc w:val="center"/>
        <w:textAlignment w:val="auto"/>
        <w:rPr>
          <w:rFonts w:hAnsi="黑体" w:eastAsia="黑体"/>
          <w:kern w:val="2"/>
          <w:sz w:val="21"/>
          <w:szCs w:val="21"/>
          <w:highlight w:val="none"/>
        </w:rPr>
      </w:pPr>
      <w:r>
        <w:rPr>
          <w:rFonts w:hint="eastAsia" w:hAnsi="黑体" w:eastAsia="黑体"/>
          <w:kern w:val="2"/>
          <w:sz w:val="21"/>
          <w:szCs w:val="21"/>
          <w:highlight w:val="none"/>
        </w:rPr>
        <w:t>表2.</w:t>
      </w:r>
      <w:r>
        <w:rPr>
          <w:rFonts w:hAnsi="黑体" w:eastAsia="黑体"/>
          <w:kern w:val="2"/>
          <w:sz w:val="21"/>
          <w:szCs w:val="21"/>
          <w:highlight w:val="none"/>
        </w:rPr>
        <w:t>6</w:t>
      </w:r>
      <w:r>
        <w:rPr>
          <w:rFonts w:hint="eastAsia" w:hAnsi="黑体" w:eastAsia="黑体"/>
          <w:kern w:val="2"/>
          <w:sz w:val="21"/>
          <w:szCs w:val="21"/>
          <w:highlight w:val="none"/>
        </w:rPr>
        <w:t>-</w:t>
      </w:r>
      <w:r>
        <w:rPr>
          <w:rFonts w:hAnsi="黑体" w:eastAsia="黑体"/>
          <w:kern w:val="2"/>
          <w:sz w:val="21"/>
          <w:szCs w:val="21"/>
          <w:highlight w:val="none"/>
        </w:rPr>
        <w:t xml:space="preserve">2 </w:t>
      </w:r>
      <w:r>
        <w:rPr>
          <w:rFonts w:hint="eastAsia" w:hAnsi="黑体" w:eastAsia="黑体"/>
          <w:kern w:val="2"/>
          <w:sz w:val="21"/>
          <w:szCs w:val="21"/>
          <w:highlight w:val="none"/>
        </w:rPr>
        <w:t xml:space="preserve">  </w:t>
      </w:r>
      <w:r>
        <w:rPr>
          <w:rFonts w:hAnsi="黑体" w:eastAsia="黑体"/>
          <w:kern w:val="2"/>
          <w:sz w:val="21"/>
          <w:szCs w:val="21"/>
          <w:highlight w:val="none"/>
        </w:rPr>
        <w:t>与《国务院关于印发水污染防治行动计划的通知》相符性分析</w:t>
      </w:r>
    </w:p>
    <w:tbl>
      <w:tblPr>
        <w:tblStyle w:val="48"/>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0032"/>
        <w:gridCol w:w="3260"/>
        <w:gridCol w:w="88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blHeader/>
        </w:trPr>
        <w:tc>
          <w:tcPr>
            <w:tcW w:w="353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行动计划要求</w:t>
            </w:r>
          </w:p>
        </w:tc>
        <w:tc>
          <w:tcPr>
            <w:tcW w:w="115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项目拟建</w:t>
            </w:r>
            <w:r>
              <w:rPr>
                <w:sz w:val="21"/>
                <w:szCs w:val="21"/>
                <w:highlight w:val="none"/>
              </w:rPr>
              <w:t>情况</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r>
              <w:rPr>
                <w:rFonts w:hint="eastAsia"/>
                <w:sz w:val="21"/>
                <w:szCs w:val="21"/>
                <w:highlight w:val="none"/>
              </w:rPr>
              <w:t>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取缔</w:t>
            </w:r>
            <w:r>
              <w:rPr>
                <w:rFonts w:hint="eastAsia"/>
                <w:sz w:val="21"/>
                <w:szCs w:val="21"/>
                <w:highlight w:val="none"/>
              </w:rPr>
              <w:t>“</w:t>
            </w:r>
            <w:r>
              <w:rPr>
                <w:sz w:val="21"/>
                <w:szCs w:val="21"/>
                <w:highlight w:val="none"/>
              </w:rPr>
              <w:t>十小</w:t>
            </w:r>
            <w:r>
              <w:rPr>
                <w:rFonts w:hint="eastAsia"/>
                <w:sz w:val="21"/>
                <w:szCs w:val="21"/>
                <w:highlight w:val="none"/>
              </w:rPr>
              <w:t>”</w:t>
            </w:r>
            <w:r>
              <w:rPr>
                <w:sz w:val="21"/>
                <w:szCs w:val="21"/>
                <w:highlight w:val="none"/>
              </w:rPr>
              <w:t>企业。全面排查装备水平低、环保设施差的小型工业企业。2016年底前，按照水污染防治法律法规要求，全部取缔不符合国家产业政策的小型造纸、制革、印染、染料、炼焦、炼硫、炼砷、炼油、电镀、农药等严重污染水环境的生产项目</w:t>
            </w:r>
          </w:p>
        </w:tc>
        <w:tc>
          <w:tcPr>
            <w:tcW w:w="1150"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本项目</w:t>
            </w:r>
            <w:r>
              <w:rPr>
                <w:sz w:val="21"/>
                <w:szCs w:val="21"/>
                <w:highlight w:val="none"/>
              </w:rPr>
              <w:t>不属于文件规定的</w:t>
            </w:r>
            <w:r>
              <w:rPr>
                <w:rFonts w:hint="eastAsia"/>
                <w:sz w:val="21"/>
                <w:szCs w:val="21"/>
                <w:highlight w:val="none"/>
              </w:rPr>
              <w:t>“</w:t>
            </w:r>
            <w:r>
              <w:rPr>
                <w:sz w:val="21"/>
                <w:szCs w:val="21"/>
                <w:highlight w:val="none"/>
              </w:rPr>
              <w:t>十小</w:t>
            </w:r>
            <w:r>
              <w:rPr>
                <w:rFonts w:hint="eastAsia"/>
                <w:sz w:val="21"/>
                <w:szCs w:val="21"/>
                <w:highlight w:val="none"/>
              </w:rPr>
              <w:t>”</w:t>
            </w:r>
            <w:r>
              <w:rPr>
                <w:sz w:val="21"/>
                <w:szCs w:val="21"/>
                <w:highlight w:val="none"/>
              </w:rPr>
              <w:t>企业及十大重点行业，通过采取</w:t>
            </w:r>
            <w:r>
              <w:rPr>
                <w:rFonts w:hint="eastAsia"/>
                <w:sz w:val="21"/>
                <w:szCs w:val="21"/>
                <w:highlight w:val="none"/>
              </w:rPr>
              <w:t>相应的环保措施对污染进行有效治理</w:t>
            </w:r>
            <w:r>
              <w:rPr>
                <w:sz w:val="21"/>
                <w:szCs w:val="21"/>
                <w:highlight w:val="none"/>
              </w:rPr>
              <w:t>，可实现各类污染物达标排放，对周围环境影响较小</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专项整治十大重点行业。制定造纸、焦化、氮肥、有色金属、印染、农副食品加工、原料药制造、制革、农药、电镀等行业专项治理方案，实施清洁化改造</w:t>
            </w:r>
          </w:p>
        </w:tc>
        <w:tc>
          <w:tcPr>
            <w:tcW w:w="1150" w:type="pct"/>
            <w:vMerge w:val="continue"/>
            <w:vAlign w:val="center"/>
          </w:tcPr>
          <w:p>
            <w:pPr>
              <w:adjustRightInd w:val="0"/>
              <w:snapToGrid w:val="0"/>
              <w:spacing w:line="240" w:lineRule="auto"/>
              <w:ind w:firstLine="0" w:firstLineChars="0"/>
              <w:rPr>
                <w:sz w:val="21"/>
                <w:szCs w:val="21"/>
                <w:highlight w:val="none"/>
              </w:rPr>
            </w:pP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优化空间布局。合理确定发展布局、结构和规模。充分考虑水资源、水环境承载能力，以水定城、以水定地、以水定人、以水定产。重大项目原则上布局在优化开发区和重点开发区，并符合城乡规划和土地利用总体规划。鼓励发展节水高效现代农业、低耗水高新技术产业以及生态保护型旅游业，严格控制缺水地区、水污染严重地区和敏感区域高耗水、高污染行业发展</w:t>
            </w:r>
          </w:p>
        </w:tc>
        <w:tc>
          <w:tcPr>
            <w:tcW w:w="1150" w:type="pct"/>
            <w:vAlign w:val="center"/>
          </w:tcPr>
          <w:p>
            <w:pPr>
              <w:adjustRightInd w:val="0"/>
              <w:snapToGrid w:val="0"/>
              <w:spacing w:line="240" w:lineRule="auto"/>
              <w:ind w:firstLine="0" w:firstLineChars="0"/>
              <w:rPr>
                <w:sz w:val="21"/>
                <w:szCs w:val="21"/>
                <w:highlight w:val="none"/>
              </w:rPr>
            </w:pPr>
            <w:r>
              <w:rPr>
                <w:sz w:val="21"/>
                <w:szCs w:val="21"/>
                <w:highlight w:val="none"/>
              </w:rPr>
              <w:t>该</w:t>
            </w:r>
            <w:r>
              <w:rPr>
                <w:rFonts w:hint="eastAsia"/>
                <w:sz w:val="21"/>
                <w:szCs w:val="21"/>
                <w:highlight w:val="none"/>
              </w:rPr>
              <w:t>项目符合规划，“以水定产”，采取干排工艺后无废水外排</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推动污染企业退出。城市建成区内现有钢铁、有色金属、造纸、印染、原料药制造、化工等污染较重的企业应有序搬迁改造或依法关闭</w:t>
            </w:r>
          </w:p>
        </w:tc>
        <w:tc>
          <w:tcPr>
            <w:tcW w:w="1150" w:type="pc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w:t>
            </w:r>
            <w:r>
              <w:rPr>
                <w:sz w:val="21"/>
                <w:szCs w:val="21"/>
                <w:highlight w:val="none"/>
              </w:rPr>
              <w:t>不</w:t>
            </w:r>
            <w:r>
              <w:rPr>
                <w:rFonts w:hint="eastAsia"/>
                <w:sz w:val="21"/>
                <w:szCs w:val="21"/>
                <w:highlight w:val="none"/>
              </w:rPr>
              <w:t>在城市建成区内</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严控地下水超采，开展华北地下水超采区综合治理，超采区内禁止工农业生产及服务业新增取用地下水</w:t>
            </w:r>
          </w:p>
        </w:tc>
        <w:tc>
          <w:tcPr>
            <w:tcW w:w="1150"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项目不在地下水超采区，使用自备水井，采用干排工艺后水循环利用率提高，可减少新水用量</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抓好工业节水。制定国家鼓励和淘汰的用水技术、工艺、产品和设备目录，完善高耗水行业取用水定额标准。开展节水诊断、水平衡测试、用水效率评估，严格用水定额管理</w:t>
            </w:r>
          </w:p>
        </w:tc>
        <w:tc>
          <w:tcPr>
            <w:tcW w:w="1150" w:type="pct"/>
            <w:vMerge w:val="continue"/>
            <w:vAlign w:val="center"/>
          </w:tcPr>
          <w:p>
            <w:pPr>
              <w:adjustRightInd w:val="0"/>
              <w:snapToGrid w:val="0"/>
              <w:spacing w:line="240" w:lineRule="auto"/>
              <w:ind w:firstLine="0" w:firstLineChars="0"/>
              <w:rPr>
                <w:sz w:val="21"/>
                <w:szCs w:val="21"/>
                <w:highlight w:val="none"/>
              </w:rPr>
            </w:pP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加大执法力度。排污单位必须依法实现全面达标排放。逐一排查工业企业排污情况，达标企业应采取措施确保稳定达标；对超标和超总量的企业予以“黄牌”警示，一律限制生产或停产整治；对整治仍不能达到要求且情节严重的企业予以“红牌”处罚，一律停业、关闭</w:t>
            </w:r>
          </w:p>
        </w:tc>
        <w:tc>
          <w:tcPr>
            <w:tcW w:w="1150"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项目采取干排工艺，且采取防渗措施，废水不外排</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严厉打击环境违法行为。重点打击私设暗管或利用渗井、渗坑、溶洞排放、倾倒含有毒有害污染物废水、含病原体污水，监测数据弄虚作假，不正常使用水污染物处理设施，或者未经批准拆除、闲置水污染物处理设施等环境违法行为。对造成生态损害的责任者严格落实赔偿制度</w:t>
            </w:r>
          </w:p>
        </w:tc>
        <w:tc>
          <w:tcPr>
            <w:tcW w:w="1150" w:type="pct"/>
            <w:vMerge w:val="continue"/>
            <w:vAlign w:val="center"/>
          </w:tcPr>
          <w:p>
            <w:pPr>
              <w:adjustRightInd w:val="0"/>
              <w:snapToGrid w:val="0"/>
              <w:spacing w:line="240" w:lineRule="auto"/>
              <w:ind w:firstLine="0" w:firstLineChars="0"/>
              <w:rPr>
                <w:sz w:val="21"/>
                <w:szCs w:val="21"/>
                <w:highlight w:val="none"/>
              </w:rPr>
            </w:pP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强化饮用水水源环境保护。开展饮用水水源规范化建设，依法清理饮用水水源保护区内违法建筑和排污口</w:t>
            </w:r>
          </w:p>
        </w:tc>
        <w:tc>
          <w:tcPr>
            <w:tcW w:w="1150" w:type="pc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项目无生产生活废水外排</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防治地下水污染。定期调查评估集中式地下水型饮用水水源补给区等区域环境状况。石化生产存贮销售企业和工业园区、矿山开采区、垃圾填埋场等区域应进行必要的防渗处理</w:t>
            </w:r>
          </w:p>
        </w:tc>
        <w:tc>
          <w:tcPr>
            <w:tcW w:w="1150" w:type="pct"/>
            <w:vAlign w:val="center"/>
          </w:tcPr>
          <w:p>
            <w:pPr>
              <w:adjustRightInd w:val="0"/>
              <w:snapToGrid w:val="0"/>
              <w:spacing w:line="240" w:lineRule="auto"/>
              <w:ind w:firstLine="0" w:firstLineChars="0"/>
              <w:rPr>
                <w:sz w:val="21"/>
                <w:szCs w:val="21"/>
                <w:highlight w:val="none"/>
              </w:rPr>
            </w:pPr>
            <w:r>
              <w:rPr>
                <w:rFonts w:hint="eastAsia"/>
                <w:sz w:val="21"/>
                <w:szCs w:val="21"/>
                <w:highlight w:val="none"/>
                <w:lang w:val="en-US" w:eastAsia="zh-CN"/>
              </w:rPr>
              <w:t>厂区</w:t>
            </w:r>
            <w:r>
              <w:rPr>
                <w:rFonts w:hint="eastAsia"/>
                <w:sz w:val="21"/>
                <w:szCs w:val="21"/>
                <w:highlight w:val="none"/>
              </w:rPr>
              <w:t>危废间、浓密池、清水池、事故池等按照要求进行防渗</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bl>
    <w:p>
      <w:pPr>
        <w:ind w:firstLine="0" w:firstLineChars="0"/>
        <w:rPr>
          <w:sz w:val="24"/>
          <w:szCs w:val="24"/>
          <w:highlight w:val="none"/>
        </w:rPr>
      </w:pPr>
    </w:p>
    <w:p>
      <w:pPr>
        <w:pStyle w:val="3"/>
        <w:tabs>
          <w:tab w:val="left" w:pos="4253"/>
        </w:tabs>
        <w:rPr>
          <w:rFonts w:hAnsiTheme="minorEastAsia" w:eastAsiaTheme="minorEastAsia"/>
          <w:b/>
          <w:highlight w:val="none"/>
        </w:rPr>
      </w:pPr>
      <w:r>
        <w:rPr>
          <w:rFonts w:hint="eastAsia" w:hAnsiTheme="minorEastAsia" w:eastAsiaTheme="minorEastAsia"/>
          <w:b/>
          <w:highlight w:val="none"/>
        </w:rPr>
        <w:t>2</w:t>
      </w:r>
      <w:r>
        <w:rPr>
          <w:rFonts w:hAnsiTheme="minorEastAsia" w:eastAsiaTheme="minorEastAsia"/>
          <w:b/>
          <w:highlight w:val="none"/>
        </w:rPr>
        <w:t>.6.1.6</w:t>
      </w:r>
      <w:r>
        <w:rPr>
          <w:rFonts w:hint="eastAsia" w:hAnsiTheme="minorEastAsia" w:eastAsiaTheme="minorEastAsia"/>
          <w:b/>
          <w:highlight w:val="none"/>
        </w:rPr>
        <w:t>与“气十条”相符性分析</w:t>
      </w:r>
    </w:p>
    <w:p>
      <w:pPr>
        <w:spacing w:line="240" w:lineRule="auto"/>
        <w:ind w:firstLine="480"/>
        <w:rPr>
          <w:sz w:val="24"/>
          <w:szCs w:val="24"/>
          <w:highlight w:val="none"/>
        </w:rPr>
      </w:pPr>
      <w:r>
        <w:rPr>
          <w:rFonts w:hint="eastAsia"/>
          <w:sz w:val="24"/>
          <w:szCs w:val="24"/>
          <w:highlight w:val="none"/>
        </w:rPr>
        <w:t>本项目与《关于印发大气污染防治行动计划的通知》（即“气十条”）的相符性分析见表2.</w:t>
      </w:r>
      <w:r>
        <w:rPr>
          <w:sz w:val="24"/>
          <w:szCs w:val="24"/>
          <w:highlight w:val="none"/>
        </w:rPr>
        <w:t>6</w:t>
      </w:r>
      <w:r>
        <w:rPr>
          <w:rFonts w:hint="eastAsia"/>
          <w:sz w:val="24"/>
          <w:szCs w:val="24"/>
          <w:highlight w:val="none"/>
        </w:rPr>
        <w:t>-</w:t>
      </w:r>
      <w:r>
        <w:rPr>
          <w:sz w:val="24"/>
          <w:szCs w:val="24"/>
          <w:highlight w:val="none"/>
        </w:rPr>
        <w:t>3</w:t>
      </w:r>
      <w:r>
        <w:rPr>
          <w:rFonts w:hint="eastAsia"/>
          <w:sz w:val="24"/>
          <w:szCs w:val="24"/>
          <w:highlight w:val="none"/>
        </w:rPr>
        <w:t>。</w:t>
      </w:r>
    </w:p>
    <w:p>
      <w:pPr>
        <w:spacing w:line="240" w:lineRule="auto"/>
        <w:ind w:firstLine="0" w:firstLineChars="0"/>
        <w:jc w:val="center"/>
        <w:textAlignment w:val="auto"/>
        <w:rPr>
          <w:rFonts w:hAnsi="黑体" w:eastAsia="黑体"/>
          <w:kern w:val="2"/>
          <w:sz w:val="21"/>
          <w:szCs w:val="21"/>
          <w:highlight w:val="none"/>
        </w:rPr>
      </w:pPr>
      <w:r>
        <w:rPr>
          <w:rFonts w:hint="eastAsia" w:hAnsi="黑体" w:eastAsia="黑体"/>
          <w:kern w:val="2"/>
          <w:sz w:val="21"/>
          <w:szCs w:val="21"/>
          <w:highlight w:val="none"/>
        </w:rPr>
        <w:t>表</w:t>
      </w:r>
      <w:r>
        <w:rPr>
          <w:rFonts w:hAnsi="黑体" w:eastAsia="黑体"/>
          <w:kern w:val="2"/>
          <w:sz w:val="21"/>
          <w:szCs w:val="21"/>
          <w:highlight w:val="none"/>
        </w:rPr>
        <w:t>2.6-3</w:t>
      </w:r>
      <w:r>
        <w:rPr>
          <w:rFonts w:hint="eastAsia" w:hAnsi="黑体" w:eastAsia="黑体"/>
          <w:kern w:val="2"/>
          <w:sz w:val="21"/>
          <w:szCs w:val="21"/>
          <w:highlight w:val="none"/>
        </w:rPr>
        <w:t xml:space="preserve">  </w:t>
      </w:r>
      <w:r>
        <w:rPr>
          <w:rFonts w:hAnsi="黑体" w:eastAsia="黑体"/>
          <w:kern w:val="2"/>
          <w:sz w:val="21"/>
          <w:szCs w:val="21"/>
          <w:highlight w:val="none"/>
        </w:rPr>
        <w:t>与《关于印发</w:t>
      </w:r>
      <w:r>
        <w:rPr>
          <w:rFonts w:hint="eastAsia" w:hAnsi="黑体" w:eastAsia="黑体"/>
          <w:kern w:val="2"/>
          <w:sz w:val="21"/>
          <w:szCs w:val="21"/>
          <w:highlight w:val="none"/>
        </w:rPr>
        <w:t>大气</w:t>
      </w:r>
      <w:r>
        <w:rPr>
          <w:rFonts w:hAnsi="黑体" w:eastAsia="黑体"/>
          <w:kern w:val="2"/>
          <w:sz w:val="21"/>
          <w:szCs w:val="21"/>
          <w:highlight w:val="none"/>
        </w:rPr>
        <w:t>污染防治行动计划的通知》相符性分析</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58"/>
        <w:gridCol w:w="9789"/>
        <w:gridCol w:w="2687"/>
        <w:gridCol w:w="74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编号</w:t>
            </w:r>
          </w:p>
        </w:tc>
        <w:tc>
          <w:tcPr>
            <w:tcW w:w="3453" w:type="pct"/>
            <w:vAlign w:val="center"/>
          </w:tcPr>
          <w:p>
            <w:pPr>
              <w:snapToGrid w:val="0"/>
              <w:spacing w:line="240" w:lineRule="auto"/>
              <w:ind w:firstLine="0" w:firstLineChars="0"/>
              <w:jc w:val="center"/>
              <w:rPr>
                <w:sz w:val="21"/>
                <w:szCs w:val="21"/>
                <w:highlight w:val="none"/>
              </w:rPr>
            </w:pPr>
            <w:r>
              <w:rPr>
                <w:sz w:val="21"/>
                <w:szCs w:val="21"/>
                <w:highlight w:val="none"/>
              </w:rPr>
              <w:t>行动计划要求</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项目拟建</w:t>
            </w:r>
            <w:r>
              <w:rPr>
                <w:sz w:val="21"/>
                <w:szCs w:val="21"/>
                <w:highlight w:val="none"/>
              </w:rPr>
              <w:t>情况</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评估</w:t>
            </w:r>
            <w:r>
              <w:rPr>
                <w:sz w:val="21"/>
                <w:szCs w:val="21"/>
                <w:highlight w:val="none"/>
              </w:rPr>
              <w:t>结果</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第一条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一、加大综合治理力度，减少多污染物排放</w:t>
            </w:r>
          </w:p>
          <w:p>
            <w:pPr>
              <w:snapToGrid w:val="0"/>
              <w:spacing w:line="240" w:lineRule="auto"/>
              <w:ind w:firstLine="0" w:firstLineChars="0"/>
              <w:rPr>
                <w:sz w:val="21"/>
                <w:szCs w:val="21"/>
                <w:highlight w:val="none"/>
              </w:rPr>
            </w:pPr>
            <w:r>
              <w:rPr>
                <w:rFonts w:hint="eastAsia"/>
                <w:sz w:val="21"/>
                <w:szCs w:val="21"/>
                <w:highlight w:val="none"/>
              </w:rPr>
              <w:t>1、加强工业企业大气污染综合治理，全面整治燃煤小锅炉；</w:t>
            </w:r>
            <w:r>
              <w:rPr>
                <w:sz w:val="21"/>
                <w:szCs w:val="21"/>
                <w:highlight w:val="none"/>
              </w:rPr>
              <w:t>2</w:t>
            </w:r>
            <w:r>
              <w:rPr>
                <w:rFonts w:hint="eastAsia"/>
                <w:sz w:val="21"/>
                <w:szCs w:val="21"/>
                <w:highlight w:val="none"/>
              </w:rPr>
              <w:t>、深化面源污染治理。综合整治城市扬尘；3、强化移动源污染防治。加强城市交通管理。</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项目办公区点采暖，生产不用热，无燃煤锅炉使用</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第二条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二、调整优化产业结构，推动产业转型升级</w:t>
            </w:r>
          </w:p>
          <w:p>
            <w:pPr>
              <w:snapToGrid w:val="0"/>
              <w:spacing w:line="240" w:lineRule="auto"/>
              <w:ind w:firstLine="0" w:firstLineChars="0"/>
              <w:rPr>
                <w:sz w:val="21"/>
                <w:szCs w:val="21"/>
                <w:highlight w:val="none"/>
              </w:rPr>
            </w:pPr>
            <w:r>
              <w:rPr>
                <w:rFonts w:hint="eastAsia"/>
                <w:sz w:val="21"/>
                <w:szCs w:val="21"/>
                <w:highlight w:val="none"/>
              </w:rPr>
              <w:t>1、严控“两高”行业新增产能。严格控制“两高”行业新增产能，新、改、扩建项目要实行产能等量或减量置换；</w:t>
            </w:r>
            <w:r>
              <w:rPr>
                <w:sz w:val="21"/>
                <w:szCs w:val="21"/>
                <w:highlight w:val="none"/>
              </w:rPr>
              <w:t>2</w:t>
            </w:r>
            <w:r>
              <w:rPr>
                <w:rFonts w:hint="eastAsia"/>
                <w:sz w:val="21"/>
                <w:szCs w:val="21"/>
                <w:highlight w:val="none"/>
              </w:rPr>
              <w:t>、加快淘汰落后产能；3、压缩过剩产能；4、停建产能严重过剩行业违规在建项目。</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项目属于铁选厂，不属于“</w:t>
            </w:r>
            <w:r>
              <w:rPr>
                <w:sz w:val="21"/>
                <w:szCs w:val="21"/>
                <w:highlight w:val="none"/>
              </w:rPr>
              <w:t>两高</w:t>
            </w:r>
            <w:r>
              <w:rPr>
                <w:rFonts w:hint="eastAsia"/>
                <w:sz w:val="21"/>
                <w:szCs w:val="21"/>
                <w:highlight w:val="none"/>
              </w:rPr>
              <w:t>” 及产能过剩行业</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第三条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三、加快企业技术改造，提高科技创新能力</w:t>
            </w:r>
          </w:p>
          <w:p>
            <w:pPr>
              <w:snapToGrid w:val="0"/>
              <w:spacing w:line="240" w:lineRule="auto"/>
              <w:ind w:firstLine="0" w:firstLineChars="0"/>
              <w:rPr>
                <w:sz w:val="21"/>
                <w:szCs w:val="21"/>
                <w:highlight w:val="none"/>
              </w:rPr>
            </w:pPr>
            <w:r>
              <w:rPr>
                <w:rFonts w:hint="eastAsia"/>
                <w:sz w:val="21"/>
                <w:szCs w:val="21"/>
                <w:highlight w:val="none"/>
              </w:rPr>
              <w:t>1、强化科技研发和推广；2、全面推行清洁生产；3、大力发展循环经济；4、大力培育节能环保产业。</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本项目推行清洁生产，废石综合利用</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第四条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四、加快调整能源结构，增加清洁能源供应</w:t>
            </w:r>
          </w:p>
          <w:p>
            <w:pPr>
              <w:snapToGrid w:val="0"/>
              <w:spacing w:line="240" w:lineRule="auto"/>
              <w:ind w:firstLine="0" w:firstLineChars="0"/>
              <w:rPr>
                <w:sz w:val="21"/>
                <w:szCs w:val="21"/>
                <w:highlight w:val="none"/>
              </w:rPr>
            </w:pPr>
            <w:r>
              <w:rPr>
                <w:rFonts w:hint="eastAsia"/>
                <w:sz w:val="21"/>
                <w:szCs w:val="21"/>
                <w:highlight w:val="none"/>
              </w:rPr>
              <w:t>1、控制煤炭消费总量；2、加快清洁能源替代利用；3、推进煤炭清洁利用；4、提高能源使用效率。</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项目使用电，属于清洁能源</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第五条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五、严格节能环保准入，优化产业空间布局</w:t>
            </w:r>
          </w:p>
          <w:p>
            <w:pPr>
              <w:snapToGrid w:val="0"/>
              <w:spacing w:line="240" w:lineRule="auto"/>
              <w:ind w:firstLine="0" w:firstLineChars="0"/>
              <w:rPr>
                <w:sz w:val="21"/>
                <w:szCs w:val="21"/>
                <w:highlight w:val="none"/>
              </w:rPr>
            </w:pPr>
            <w:r>
              <w:rPr>
                <w:rFonts w:hint="eastAsia"/>
                <w:sz w:val="21"/>
                <w:szCs w:val="21"/>
                <w:highlight w:val="none"/>
              </w:rPr>
              <w:t>1、调整产业布局；2、强化节能环保指标约束；3、优化空间格局。</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符合准入条件</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第六条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六、发挥市场机制作用，完善环境经济政策</w:t>
            </w:r>
          </w:p>
          <w:p>
            <w:pPr>
              <w:snapToGrid w:val="0"/>
              <w:spacing w:line="240" w:lineRule="auto"/>
              <w:ind w:firstLine="0" w:firstLineChars="0"/>
              <w:rPr>
                <w:sz w:val="21"/>
                <w:szCs w:val="21"/>
                <w:highlight w:val="none"/>
              </w:rPr>
            </w:pPr>
            <w:r>
              <w:rPr>
                <w:rFonts w:hint="eastAsia"/>
                <w:sz w:val="21"/>
                <w:szCs w:val="21"/>
                <w:highlight w:val="none"/>
              </w:rPr>
              <w:t>1、发挥市场机制调节作用；2、完善价格税收政策；3、拓宽投融资渠道。</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不涉及</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第七条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七、健全法律法规体系，严格依法监督管理</w:t>
            </w:r>
          </w:p>
          <w:p>
            <w:pPr>
              <w:snapToGrid w:val="0"/>
              <w:spacing w:line="240" w:lineRule="auto"/>
              <w:ind w:firstLine="0" w:firstLineChars="0"/>
              <w:rPr>
                <w:sz w:val="21"/>
                <w:szCs w:val="21"/>
                <w:highlight w:val="none"/>
              </w:rPr>
            </w:pPr>
            <w:r>
              <w:rPr>
                <w:rFonts w:hint="eastAsia"/>
                <w:sz w:val="21"/>
                <w:szCs w:val="21"/>
                <w:highlight w:val="none"/>
              </w:rPr>
              <w:t>1、完善法律法规标准；2、提高环境监管能力；3、加大环保执法力度；4、实行环境信息公开。</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不涉及</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第八条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八、建立区域协作机制，统筹区域环境治理</w:t>
            </w:r>
          </w:p>
          <w:p>
            <w:pPr>
              <w:snapToGrid w:val="0"/>
              <w:spacing w:line="240" w:lineRule="auto"/>
              <w:ind w:firstLine="0" w:firstLineChars="0"/>
              <w:rPr>
                <w:sz w:val="21"/>
                <w:szCs w:val="21"/>
                <w:highlight w:val="none"/>
              </w:rPr>
            </w:pPr>
            <w:r>
              <w:rPr>
                <w:rFonts w:hint="eastAsia"/>
                <w:sz w:val="21"/>
                <w:szCs w:val="21"/>
                <w:highlight w:val="none"/>
              </w:rPr>
              <w:t>1、建立区域协作机制；2、分解目标任务；3、实行严格责任追究。</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不涉及</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第九条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九、建立监测预警应急体系，妥善应对重污染天气</w:t>
            </w:r>
          </w:p>
          <w:p>
            <w:pPr>
              <w:snapToGrid w:val="0"/>
              <w:spacing w:line="240" w:lineRule="auto"/>
              <w:ind w:firstLine="0" w:firstLineChars="0"/>
              <w:rPr>
                <w:sz w:val="21"/>
                <w:szCs w:val="21"/>
                <w:highlight w:val="none"/>
              </w:rPr>
            </w:pPr>
            <w:r>
              <w:rPr>
                <w:rFonts w:hint="eastAsia"/>
                <w:sz w:val="21"/>
                <w:szCs w:val="21"/>
                <w:highlight w:val="none"/>
              </w:rPr>
              <w:t>1、建立监测预警体系；2、制定完善应急预案；3、及时采取应急措施。</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响应上级重污染天气应急要求</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第十条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十、明确政府企业和社会的责任，动员全民参与环境保护</w:t>
            </w:r>
          </w:p>
          <w:p>
            <w:pPr>
              <w:snapToGrid w:val="0"/>
              <w:spacing w:line="240" w:lineRule="auto"/>
              <w:ind w:firstLine="0" w:firstLineChars="0"/>
              <w:rPr>
                <w:sz w:val="21"/>
                <w:szCs w:val="21"/>
                <w:highlight w:val="none"/>
              </w:rPr>
            </w:pPr>
            <w:r>
              <w:rPr>
                <w:rFonts w:hint="eastAsia"/>
                <w:sz w:val="21"/>
                <w:szCs w:val="21"/>
                <w:highlight w:val="none"/>
              </w:rPr>
              <w:t>1、加强部门协调联动；2、强化企业施治；3、广泛动员社会参与。</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强化企业施治</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bl>
    <w:p>
      <w:pPr>
        <w:ind w:firstLine="560"/>
        <w:rPr>
          <w:highlight w:val="none"/>
        </w:rPr>
      </w:pPr>
    </w:p>
    <w:p>
      <w:pPr>
        <w:pStyle w:val="3"/>
        <w:tabs>
          <w:tab w:val="left" w:pos="4253"/>
        </w:tabs>
        <w:rPr>
          <w:rFonts w:hAnsiTheme="minorEastAsia" w:eastAsiaTheme="minorEastAsia"/>
          <w:b/>
          <w:highlight w:val="none"/>
        </w:rPr>
      </w:pPr>
      <w:r>
        <w:rPr>
          <w:rFonts w:hint="eastAsia" w:hAnsiTheme="minorEastAsia" w:eastAsiaTheme="minorEastAsia"/>
          <w:b/>
          <w:highlight w:val="none"/>
        </w:rPr>
        <w:t>2</w:t>
      </w:r>
      <w:r>
        <w:rPr>
          <w:rFonts w:hAnsiTheme="minorEastAsia" w:eastAsiaTheme="minorEastAsia"/>
          <w:b/>
          <w:highlight w:val="none"/>
        </w:rPr>
        <w:t>.6.1.7</w:t>
      </w:r>
      <w:r>
        <w:rPr>
          <w:rFonts w:hint="eastAsia" w:hAnsiTheme="minorEastAsia" w:eastAsiaTheme="minorEastAsia"/>
          <w:b/>
          <w:highlight w:val="none"/>
        </w:rPr>
        <w:t>与“土十条”相符性分析</w:t>
      </w:r>
    </w:p>
    <w:p>
      <w:pPr>
        <w:spacing w:line="240" w:lineRule="auto"/>
        <w:ind w:firstLine="480"/>
        <w:rPr>
          <w:sz w:val="24"/>
          <w:szCs w:val="24"/>
          <w:highlight w:val="none"/>
        </w:rPr>
      </w:pPr>
      <w:r>
        <w:rPr>
          <w:rFonts w:hint="eastAsia"/>
          <w:sz w:val="24"/>
          <w:szCs w:val="24"/>
          <w:highlight w:val="none"/>
        </w:rPr>
        <w:t>本项目与《土壤污染防治行动计划》（即“土十条”）的相符性分析见表</w:t>
      </w:r>
      <w:r>
        <w:rPr>
          <w:sz w:val="24"/>
          <w:szCs w:val="24"/>
          <w:highlight w:val="none"/>
        </w:rPr>
        <w:t>2</w:t>
      </w:r>
      <w:r>
        <w:rPr>
          <w:rFonts w:hint="eastAsia"/>
          <w:sz w:val="24"/>
          <w:szCs w:val="24"/>
          <w:highlight w:val="none"/>
        </w:rPr>
        <w:t>.</w:t>
      </w:r>
      <w:r>
        <w:rPr>
          <w:sz w:val="24"/>
          <w:szCs w:val="24"/>
          <w:highlight w:val="none"/>
        </w:rPr>
        <w:t>6</w:t>
      </w:r>
      <w:r>
        <w:rPr>
          <w:rFonts w:hint="eastAsia"/>
          <w:sz w:val="24"/>
          <w:szCs w:val="24"/>
          <w:highlight w:val="none"/>
        </w:rPr>
        <w:t>-</w:t>
      </w:r>
      <w:r>
        <w:rPr>
          <w:sz w:val="24"/>
          <w:szCs w:val="24"/>
          <w:highlight w:val="none"/>
        </w:rPr>
        <w:t>4</w:t>
      </w:r>
      <w:r>
        <w:rPr>
          <w:rFonts w:hint="eastAsia"/>
          <w:sz w:val="24"/>
          <w:szCs w:val="24"/>
          <w:highlight w:val="none"/>
        </w:rPr>
        <w:t>。</w:t>
      </w:r>
    </w:p>
    <w:p>
      <w:pPr>
        <w:spacing w:line="240" w:lineRule="auto"/>
        <w:ind w:firstLine="0" w:firstLineChars="0"/>
        <w:jc w:val="center"/>
        <w:textAlignment w:val="auto"/>
        <w:rPr>
          <w:rFonts w:hAnsi="黑体" w:eastAsia="黑体"/>
          <w:kern w:val="2"/>
          <w:sz w:val="21"/>
          <w:szCs w:val="21"/>
          <w:highlight w:val="none"/>
        </w:rPr>
      </w:pPr>
      <w:r>
        <w:rPr>
          <w:rFonts w:hAnsi="黑体" w:eastAsia="黑体"/>
          <w:kern w:val="2"/>
          <w:sz w:val="21"/>
          <w:szCs w:val="21"/>
          <w:highlight w:val="none"/>
        </w:rPr>
        <w:t>表2</w:t>
      </w:r>
      <w:r>
        <w:rPr>
          <w:rFonts w:hint="eastAsia" w:hAnsi="黑体" w:eastAsia="黑体"/>
          <w:kern w:val="2"/>
          <w:sz w:val="21"/>
          <w:szCs w:val="21"/>
          <w:highlight w:val="none"/>
        </w:rPr>
        <w:t>.</w:t>
      </w:r>
      <w:r>
        <w:rPr>
          <w:rFonts w:hAnsi="黑体" w:eastAsia="黑体"/>
          <w:kern w:val="2"/>
          <w:sz w:val="21"/>
          <w:szCs w:val="21"/>
          <w:highlight w:val="none"/>
        </w:rPr>
        <w:t>6</w:t>
      </w:r>
      <w:r>
        <w:rPr>
          <w:rFonts w:hint="eastAsia" w:hAnsi="黑体" w:eastAsia="黑体"/>
          <w:kern w:val="2"/>
          <w:sz w:val="21"/>
          <w:szCs w:val="21"/>
          <w:highlight w:val="none"/>
        </w:rPr>
        <w:t>-</w:t>
      </w:r>
      <w:r>
        <w:rPr>
          <w:rFonts w:hAnsi="黑体" w:eastAsia="黑体"/>
          <w:kern w:val="2"/>
          <w:sz w:val="21"/>
          <w:szCs w:val="21"/>
          <w:highlight w:val="none"/>
        </w:rPr>
        <w:t xml:space="preserve">4 </w:t>
      </w:r>
      <w:r>
        <w:rPr>
          <w:rFonts w:hint="eastAsia" w:hAnsi="黑体" w:eastAsia="黑体"/>
          <w:kern w:val="2"/>
          <w:sz w:val="21"/>
          <w:szCs w:val="21"/>
          <w:highlight w:val="none"/>
        </w:rPr>
        <w:t xml:space="preserve">   </w:t>
      </w:r>
      <w:r>
        <w:rPr>
          <w:rFonts w:hAnsi="黑体" w:eastAsia="黑体"/>
          <w:kern w:val="2"/>
          <w:sz w:val="21"/>
          <w:szCs w:val="21"/>
          <w:highlight w:val="none"/>
        </w:rPr>
        <w:t>与《土壤污染防治行动计划》相符性分析</w:t>
      </w:r>
    </w:p>
    <w:tbl>
      <w:tblPr>
        <w:tblStyle w:val="48"/>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28" w:type="dxa"/>
          <w:bottom w:w="0" w:type="dxa"/>
          <w:right w:w="28" w:type="dxa"/>
        </w:tblCellMar>
      </w:tblPr>
      <w:tblGrid>
        <w:gridCol w:w="10951"/>
        <w:gridCol w:w="2189"/>
        <w:gridCol w:w="87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jc w:val="center"/>
              <w:rPr>
                <w:sz w:val="21"/>
                <w:szCs w:val="21"/>
                <w:highlight w:val="none"/>
              </w:rPr>
            </w:pPr>
            <w:r>
              <w:rPr>
                <w:sz w:val="21"/>
                <w:szCs w:val="21"/>
                <w:highlight w:val="none"/>
              </w:rPr>
              <w:t>行动计划要求</w:t>
            </w:r>
          </w:p>
        </w:tc>
        <w:tc>
          <w:tcPr>
            <w:tcW w:w="78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项目拟建</w:t>
            </w:r>
            <w:r>
              <w:rPr>
                <w:sz w:val="21"/>
                <w:szCs w:val="21"/>
                <w:highlight w:val="none"/>
              </w:rPr>
              <w:t>情况</w:t>
            </w:r>
          </w:p>
        </w:tc>
        <w:tc>
          <w:tcPr>
            <w:tcW w:w="312" w:type="pct"/>
            <w:vAlign w:val="center"/>
          </w:tcPr>
          <w:p>
            <w:pPr>
              <w:snapToGrid w:val="0"/>
              <w:spacing w:line="240" w:lineRule="auto"/>
              <w:ind w:firstLine="0" w:firstLineChars="0"/>
              <w:jc w:val="center"/>
              <w:rPr>
                <w:sz w:val="21"/>
                <w:szCs w:val="21"/>
                <w:highlight w:val="none"/>
              </w:rPr>
            </w:pPr>
            <w:r>
              <w:rPr>
                <w:sz w:val="21"/>
                <w:szCs w:val="21"/>
                <w:highlight w:val="none"/>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六、加强污染源监管，做好土壤污染预防工作</w:t>
            </w:r>
          </w:p>
          <w:p>
            <w:pPr>
              <w:snapToGrid w:val="0"/>
              <w:spacing w:line="240" w:lineRule="auto"/>
              <w:ind w:firstLine="0" w:firstLineChars="0"/>
              <w:rPr>
                <w:sz w:val="21"/>
                <w:szCs w:val="21"/>
                <w:highlight w:val="none"/>
              </w:rPr>
            </w:pPr>
            <w:r>
              <w:rPr>
                <w:rFonts w:hint="eastAsia"/>
                <w:sz w:val="21"/>
                <w:szCs w:val="21"/>
                <w:highlight w:val="none"/>
              </w:rPr>
              <w:t>（十八）严控工矿污染。 严防矿产资源开发污染土壤。自2017年起，内蒙古、江西、河南、湖北、湖南、广东、广西、四川、贵州、云南、陕西、甘肃、新疆等省（区）矿产资源开发活动集中的区域，执行重点污染物特别排放限值。全面整治历史遗留尾矿库，完善覆膜、压土、排洪、堤坝加固等隐患治理和闭库措施。有重点监管尾矿库的企业要开展环境风险评估，完善污染治理设施，储备应急物资。加强对矿产资源开发利用活动的辐射安全监管，有关企业每年要对本矿区土壤进行辐射环境监测。</w:t>
            </w:r>
          </w:p>
        </w:tc>
        <w:tc>
          <w:tcPr>
            <w:tcW w:w="781" w:type="pct"/>
            <w:vAlign w:val="center"/>
          </w:tcPr>
          <w:p>
            <w:pPr>
              <w:snapToGrid w:val="0"/>
              <w:spacing w:line="240" w:lineRule="auto"/>
              <w:ind w:firstLine="0" w:firstLineChars="0"/>
              <w:rPr>
                <w:sz w:val="21"/>
                <w:szCs w:val="21"/>
                <w:highlight w:val="none"/>
              </w:rPr>
            </w:pPr>
            <w:r>
              <w:rPr>
                <w:rFonts w:hint="eastAsia"/>
                <w:sz w:val="21"/>
                <w:szCs w:val="21"/>
                <w:highlight w:val="none"/>
              </w:rPr>
              <w:t>本项目不设尾矿库</w:t>
            </w:r>
          </w:p>
        </w:tc>
        <w:tc>
          <w:tcPr>
            <w:tcW w:w="312" w:type="pct"/>
            <w:vAlign w:val="center"/>
          </w:tcPr>
          <w:p>
            <w:pPr>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自2017年起，在京津冀、长三角、珠三角等地区的部分城市开展污水与污泥、废气与废渣协同治理试点。</w:t>
            </w:r>
          </w:p>
        </w:tc>
        <w:tc>
          <w:tcPr>
            <w:tcW w:w="781" w:type="pct"/>
            <w:vAlign w:val="center"/>
          </w:tcPr>
          <w:p>
            <w:pPr>
              <w:snapToGrid w:val="0"/>
              <w:spacing w:line="240" w:lineRule="auto"/>
              <w:ind w:firstLine="0" w:firstLineChars="0"/>
              <w:rPr>
                <w:sz w:val="21"/>
                <w:szCs w:val="21"/>
                <w:highlight w:val="none"/>
              </w:rPr>
            </w:pPr>
            <w:r>
              <w:rPr>
                <w:rFonts w:hint="eastAsia"/>
                <w:sz w:val="21"/>
                <w:szCs w:val="21"/>
                <w:highlight w:val="none"/>
              </w:rPr>
              <w:t>本项目不涉及尾矿库，浓密池、清水池等采取防渗措施。</w:t>
            </w:r>
          </w:p>
        </w:tc>
        <w:tc>
          <w:tcPr>
            <w:tcW w:w="312" w:type="pct"/>
            <w:vAlign w:val="center"/>
          </w:tcPr>
          <w:p>
            <w:pPr>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七、开展污染治理与修复，改善区域土壤环境质量（二十一）明确治理与修复主体。按照“谁污染，谁治理”原则，造成土壤污染的单位或个人要承担治理与修复的主体责任。责任主体发生变更的，由变更后继承其债权、债务的单位或个人承担相关责任；土地使用权依法转让的，由土地使用权受让人或双方约定的责任人承担相关责任。责任主体灭失或责任主体不明确的，由所在地县级人民政府依法承担相关责任。</w:t>
            </w:r>
          </w:p>
        </w:tc>
        <w:tc>
          <w:tcPr>
            <w:tcW w:w="781" w:type="pct"/>
            <w:vAlign w:val="center"/>
          </w:tcPr>
          <w:p>
            <w:pPr>
              <w:snapToGrid w:val="0"/>
              <w:spacing w:line="240" w:lineRule="auto"/>
              <w:ind w:firstLine="0" w:firstLineChars="0"/>
              <w:rPr>
                <w:sz w:val="21"/>
                <w:szCs w:val="21"/>
                <w:highlight w:val="none"/>
              </w:rPr>
            </w:pPr>
            <w:r>
              <w:rPr>
                <w:rFonts w:hint="eastAsia"/>
                <w:sz w:val="21"/>
                <w:szCs w:val="21"/>
                <w:highlight w:val="none"/>
              </w:rPr>
              <w:t>本项目采用磁选工艺，主要设备设施均室内布置</w:t>
            </w:r>
          </w:p>
        </w:tc>
        <w:tc>
          <w:tcPr>
            <w:tcW w:w="312"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二十三）有序开展治理与修复。确定治理与修复重点。各地要结合城市环境质量提升和发展布局调整，以拟开发建设居住、商业、学校、医疗和养老机构等项目的污染地块为重点，开展治理与修复。在江西、湖北、湖南、广东、广西、四川、贵州、云南等省份污染耕地集中区域优先组织开展治理与修复；其他省份要根据耕地土壤污染程度、环境风险及其影响范围，确定治理与修复的重点区域。到2020年，受污染耕地治理与修复面积达到1000万亩。</w:t>
            </w:r>
          </w:p>
        </w:tc>
        <w:tc>
          <w:tcPr>
            <w:tcW w:w="781" w:type="pct"/>
            <w:vMerge w:val="restart"/>
            <w:vAlign w:val="center"/>
          </w:tcPr>
          <w:p>
            <w:pPr>
              <w:snapToGrid w:val="0"/>
              <w:spacing w:line="240" w:lineRule="auto"/>
              <w:ind w:firstLine="0" w:firstLineChars="0"/>
              <w:rPr>
                <w:sz w:val="21"/>
                <w:szCs w:val="21"/>
                <w:highlight w:val="none"/>
              </w:rPr>
            </w:pPr>
            <w:r>
              <w:rPr>
                <w:rFonts w:hint="eastAsia"/>
                <w:sz w:val="21"/>
                <w:szCs w:val="21"/>
                <w:highlight w:val="none"/>
              </w:rPr>
              <w:t>本项目土地为建设用地，不涉及污染土壤的治理与修复工作。</w:t>
            </w:r>
          </w:p>
        </w:tc>
        <w:tc>
          <w:tcPr>
            <w:tcW w:w="312" w:type="pct"/>
            <w:vMerge w:val="restart"/>
            <w:vAlign w:val="center"/>
          </w:tcPr>
          <w:p>
            <w:pPr>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强化治理与修复工程监管。治理与修复工程原则上在原址进行，并采取必要措施防止污染土壤挖掘、堆存等造成二次污染；需要转运污染土壤的，有关责任单位要将运输时间、方式、线路和污染土壤数量、去向、最终处置措施等，提前向所在地和接收地环境保护部门报告。工程施工期间，责任单位要设立公告牌，公开工程基本情况、环境影响及其防范措施；所在地环境保护部门要对各项环境保护措施落实情况进行检查。工程完工后，责任单位要委托第三方机构对治理与修复效果进行评估，结果向社会公开。实行土壤污染治理与修复终身责任制，2017年底前，出台有关责任追究办法。</w:t>
            </w:r>
          </w:p>
        </w:tc>
        <w:tc>
          <w:tcPr>
            <w:tcW w:w="781" w:type="pct"/>
            <w:vMerge w:val="continue"/>
            <w:vAlign w:val="center"/>
          </w:tcPr>
          <w:p>
            <w:pPr>
              <w:snapToGrid w:val="0"/>
              <w:spacing w:line="240" w:lineRule="auto"/>
              <w:ind w:firstLine="0" w:firstLineChars="0"/>
              <w:rPr>
                <w:sz w:val="21"/>
                <w:szCs w:val="21"/>
                <w:highlight w:val="none"/>
              </w:rPr>
            </w:pPr>
          </w:p>
        </w:tc>
        <w:tc>
          <w:tcPr>
            <w:tcW w:w="312" w:type="pct"/>
            <w:vMerge w:val="continue"/>
            <w:vAlign w:val="center"/>
          </w:tcPr>
          <w:p>
            <w:pPr>
              <w:snapToGrid w:val="0"/>
              <w:spacing w:line="240" w:lineRule="auto"/>
              <w:ind w:firstLine="0" w:firstLineChars="0"/>
              <w:jc w:val="center"/>
              <w:rPr>
                <w:sz w:val="21"/>
                <w:szCs w:val="21"/>
                <w:highlight w:val="none"/>
              </w:rPr>
            </w:pPr>
          </w:p>
        </w:tc>
      </w:tr>
    </w:tbl>
    <w:p>
      <w:pPr>
        <w:pStyle w:val="3"/>
        <w:tabs>
          <w:tab w:val="left" w:pos="4253"/>
        </w:tabs>
        <w:rPr>
          <w:rFonts w:hAnsiTheme="minorEastAsia" w:eastAsiaTheme="minorEastAsia"/>
          <w:b/>
          <w:highlight w:val="none"/>
        </w:rPr>
      </w:pPr>
      <w:r>
        <w:rPr>
          <w:rFonts w:hint="eastAsia" w:hAnsiTheme="minorEastAsia" w:eastAsiaTheme="minorEastAsia"/>
          <w:b/>
          <w:highlight w:val="none"/>
        </w:rPr>
        <w:t>2</w:t>
      </w:r>
      <w:r>
        <w:rPr>
          <w:rFonts w:hAnsiTheme="minorEastAsia" w:eastAsiaTheme="minorEastAsia"/>
          <w:b/>
          <w:highlight w:val="none"/>
        </w:rPr>
        <w:t>.6.1.8</w:t>
      </w:r>
      <w:r>
        <w:rPr>
          <w:rFonts w:hint="eastAsia" w:hAnsiTheme="minorEastAsia" w:eastAsiaTheme="minorEastAsia"/>
          <w:b/>
          <w:highlight w:val="none"/>
        </w:rPr>
        <w:t>与“河北省水污染治理工作方案”相符性分析</w:t>
      </w:r>
    </w:p>
    <w:p>
      <w:pPr>
        <w:spacing w:line="240" w:lineRule="auto"/>
        <w:ind w:firstLine="480"/>
        <w:rPr>
          <w:sz w:val="24"/>
          <w:szCs w:val="24"/>
          <w:highlight w:val="none"/>
        </w:rPr>
      </w:pPr>
      <w:r>
        <w:rPr>
          <w:rFonts w:hint="eastAsia"/>
          <w:sz w:val="24"/>
          <w:szCs w:val="24"/>
          <w:highlight w:val="none"/>
        </w:rPr>
        <w:t>本项目与《河北省水污染防治工作方案》的相符性分析见表2.</w:t>
      </w:r>
      <w:r>
        <w:rPr>
          <w:sz w:val="24"/>
          <w:szCs w:val="24"/>
          <w:highlight w:val="none"/>
        </w:rPr>
        <w:t>6</w:t>
      </w:r>
      <w:r>
        <w:rPr>
          <w:rFonts w:hint="eastAsia"/>
          <w:sz w:val="24"/>
          <w:szCs w:val="24"/>
          <w:highlight w:val="none"/>
        </w:rPr>
        <w:t>-</w:t>
      </w:r>
      <w:r>
        <w:rPr>
          <w:sz w:val="24"/>
          <w:szCs w:val="24"/>
          <w:highlight w:val="none"/>
        </w:rPr>
        <w:t>5</w:t>
      </w:r>
      <w:r>
        <w:rPr>
          <w:rFonts w:hint="eastAsia"/>
          <w:sz w:val="24"/>
          <w:szCs w:val="24"/>
          <w:highlight w:val="none"/>
        </w:rPr>
        <w:t>。</w:t>
      </w:r>
    </w:p>
    <w:p>
      <w:pPr>
        <w:spacing w:line="240" w:lineRule="auto"/>
        <w:ind w:firstLine="0" w:firstLineChars="0"/>
        <w:jc w:val="center"/>
        <w:textAlignment w:val="auto"/>
        <w:rPr>
          <w:rFonts w:hAnsi="黑体" w:eastAsia="黑体"/>
          <w:kern w:val="2"/>
          <w:sz w:val="21"/>
          <w:szCs w:val="21"/>
          <w:highlight w:val="none"/>
        </w:rPr>
      </w:pPr>
      <w:r>
        <w:rPr>
          <w:rFonts w:hAnsi="黑体" w:eastAsia="黑体"/>
          <w:kern w:val="2"/>
          <w:sz w:val="21"/>
          <w:szCs w:val="21"/>
          <w:highlight w:val="none"/>
        </w:rPr>
        <w:t>表2</w:t>
      </w:r>
      <w:r>
        <w:rPr>
          <w:rFonts w:hint="eastAsia" w:hAnsi="黑体" w:eastAsia="黑体"/>
          <w:kern w:val="2"/>
          <w:sz w:val="21"/>
          <w:szCs w:val="21"/>
          <w:highlight w:val="none"/>
        </w:rPr>
        <w:t>.</w:t>
      </w:r>
      <w:r>
        <w:rPr>
          <w:rFonts w:hAnsi="黑体" w:eastAsia="黑体"/>
          <w:kern w:val="2"/>
          <w:sz w:val="21"/>
          <w:szCs w:val="21"/>
          <w:highlight w:val="none"/>
        </w:rPr>
        <w:t>6</w:t>
      </w:r>
      <w:r>
        <w:rPr>
          <w:rFonts w:hint="eastAsia" w:hAnsi="黑体" w:eastAsia="黑体"/>
          <w:kern w:val="2"/>
          <w:sz w:val="21"/>
          <w:szCs w:val="21"/>
          <w:highlight w:val="none"/>
        </w:rPr>
        <w:t>-</w:t>
      </w:r>
      <w:r>
        <w:rPr>
          <w:rFonts w:hAnsi="黑体" w:eastAsia="黑体"/>
          <w:kern w:val="2"/>
          <w:sz w:val="21"/>
          <w:szCs w:val="21"/>
          <w:highlight w:val="none"/>
        </w:rPr>
        <w:t xml:space="preserve">5 </w:t>
      </w:r>
      <w:r>
        <w:rPr>
          <w:rFonts w:hint="eastAsia" w:hAnsi="黑体" w:eastAsia="黑体"/>
          <w:kern w:val="2"/>
          <w:sz w:val="21"/>
          <w:szCs w:val="21"/>
          <w:highlight w:val="none"/>
        </w:rPr>
        <w:t xml:space="preserve">    </w:t>
      </w:r>
      <w:r>
        <w:rPr>
          <w:rFonts w:hAnsi="黑体" w:eastAsia="黑体"/>
          <w:kern w:val="2"/>
          <w:sz w:val="21"/>
          <w:szCs w:val="21"/>
          <w:highlight w:val="none"/>
        </w:rPr>
        <w:t>与《河北省水污染防治工作方案》相符性分析</w:t>
      </w:r>
    </w:p>
    <w:tbl>
      <w:tblPr>
        <w:tblStyle w:val="48"/>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28" w:type="dxa"/>
          <w:bottom w:w="0" w:type="dxa"/>
          <w:right w:w="28" w:type="dxa"/>
        </w:tblCellMar>
      </w:tblPr>
      <w:tblGrid>
        <w:gridCol w:w="12220"/>
        <w:gridCol w:w="1275"/>
        <w:gridCol w:w="51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行动计划要求</w:t>
            </w:r>
          </w:p>
        </w:tc>
        <w:tc>
          <w:tcPr>
            <w:tcW w:w="45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项目情况</w:t>
            </w: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鼓励发展节水高效现代农业、低耗水高新技术产业以及生态保护型旅游业，严格控制缺水地区、水污染严重地区和敏感区域高耗水、高污染行业发展。</w:t>
            </w:r>
          </w:p>
        </w:tc>
        <w:tc>
          <w:tcPr>
            <w:tcW w:w="455"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本项目选矿废水经处理循环使用不外排；</w:t>
            </w:r>
            <w:r>
              <w:rPr>
                <w:sz w:val="21"/>
                <w:szCs w:val="21"/>
                <w:highlight w:val="none"/>
              </w:rPr>
              <w:t>不属于过剩产能、落后产能行业，项目废水不外排</w:t>
            </w: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推进污染企业退出。各市于2016年底前，结合化解过剩产能、节能减排和企业兼并重组，出台辖区城市建成区内现有钢铁、造纸、石油化工、制革、印染、食品发酵、原料药制造、化工等污染较重企业搬迁改造或依法关闭实施方案，明确完成时限，推动污染企业有序退出。</w:t>
            </w:r>
          </w:p>
        </w:tc>
        <w:tc>
          <w:tcPr>
            <w:tcW w:w="455" w:type="pct"/>
            <w:vMerge w:val="continue"/>
            <w:vAlign w:val="center"/>
          </w:tcPr>
          <w:p>
            <w:pPr>
              <w:adjustRightInd w:val="0"/>
              <w:snapToGrid w:val="0"/>
              <w:spacing w:line="240" w:lineRule="auto"/>
              <w:ind w:firstLine="0" w:firstLineChars="0"/>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严格控制高污染、高耗水行业新增产能。产能过剩产业实行新增产能等量替代、涉水主要污染物排放同行业倍量替代。对造纸、焦化、氮肥、石油化工、印染、农副食品加工、原料药制造、制革、农药、电镀等“十大”重点行业，新建、改建、扩建项目实行新增主要污染物排放倍量替代。加大落后产能淘汰力度。</w:t>
            </w:r>
          </w:p>
        </w:tc>
        <w:tc>
          <w:tcPr>
            <w:tcW w:w="455" w:type="pct"/>
            <w:vMerge w:val="continue"/>
            <w:vAlign w:val="center"/>
          </w:tcPr>
          <w:p>
            <w:pPr>
              <w:adjustRightInd w:val="0"/>
              <w:snapToGrid w:val="0"/>
              <w:spacing w:line="240" w:lineRule="auto"/>
              <w:ind w:firstLine="0" w:firstLineChars="0"/>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推进产业升级转型。各市要结合实际，推进循环发展和工业企业绿色转型。围绕全省钢铁、水泥、玻璃、焦化、石化、轻工、食品、纺织服装、医药等传统产业，加大技术改造力度，提高节能减排水平和资源综合利用水平，实现向低投入、低消耗、低污染、高产出的“三低一高”转变，突出节能降耗减排治污，大力发展战略性新兴产业。</w:t>
            </w:r>
          </w:p>
        </w:tc>
        <w:tc>
          <w:tcPr>
            <w:tcW w:w="455" w:type="pct"/>
            <w:vMerge w:val="continue"/>
            <w:vAlign w:val="center"/>
          </w:tcPr>
          <w:p>
            <w:pPr>
              <w:adjustRightInd w:val="0"/>
              <w:snapToGrid w:val="0"/>
              <w:spacing w:line="240" w:lineRule="auto"/>
              <w:ind w:firstLine="0" w:firstLineChars="0"/>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严格控制工业污染源排放。全面取缔“十小”落后企业。2016年6月底前，完成全省装备水平低、环保设施差的小型企业排查，制定和实施不符合国家产业政策的小型造纸、制革、印染、染料、炼焦、炼砷、炼硫、炼油、电镀、农药等严重污染水环境的生产项目取缔实施方案，于2016年底前全部取缔。</w:t>
            </w:r>
          </w:p>
        </w:tc>
        <w:tc>
          <w:tcPr>
            <w:tcW w:w="455"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企业</w:t>
            </w:r>
            <w:r>
              <w:rPr>
                <w:sz w:val="21"/>
                <w:szCs w:val="21"/>
                <w:highlight w:val="none"/>
              </w:rPr>
              <w:t>不属于 “十小”企业及十大重点行业</w:t>
            </w:r>
            <w:r>
              <w:rPr>
                <w:rFonts w:hint="eastAsia"/>
                <w:sz w:val="21"/>
                <w:szCs w:val="21"/>
                <w:highlight w:val="none"/>
              </w:rPr>
              <w:t>；企业</w:t>
            </w:r>
            <w:r>
              <w:rPr>
                <w:sz w:val="21"/>
                <w:szCs w:val="21"/>
                <w:highlight w:val="none"/>
              </w:rPr>
              <w:t>废水不外排</w:t>
            </w: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专项整治“十大”重点行业。全面排查造纸、焦化、氮肥、有色金属、印染、农副食品加工、原料药制造、制革、农药、电镀等“十大”重点行业水污染物排放情况，到2016年6月底前，出台全省“十大”重点行业专项治理与清洁化改造方案，明确治理目标、任务和期限。</w:t>
            </w:r>
          </w:p>
        </w:tc>
        <w:tc>
          <w:tcPr>
            <w:tcW w:w="455" w:type="pct"/>
            <w:vMerge w:val="continue"/>
            <w:vAlign w:val="center"/>
          </w:tcPr>
          <w:p>
            <w:pPr>
              <w:adjustRightInd w:val="0"/>
              <w:snapToGrid w:val="0"/>
              <w:spacing w:line="240" w:lineRule="auto"/>
              <w:ind w:firstLine="0" w:firstLineChars="0"/>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推动工业企业入园进区。确因不具备入园条件需原地保留的涉水工业企业，须明确保留条件，实施尾水深度处理，实行最严格的排放标准，否则一律予以关停。</w:t>
            </w:r>
          </w:p>
        </w:tc>
        <w:tc>
          <w:tcPr>
            <w:tcW w:w="455"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项目无生产生活废水外排，并进行合理防渗，</w:t>
            </w:r>
            <w:r>
              <w:rPr>
                <w:sz w:val="21"/>
                <w:szCs w:val="21"/>
                <w:highlight w:val="none"/>
              </w:rPr>
              <w:t>防止对地下水的污染</w:t>
            </w: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所有排污单位要采取措施确保稳定达标排放。对超标或超排放总量的排污单位依法限产限排或责令停产整治，并及时通报超标排污企业的名单、超标排污时间等信息，对整治仍不能达到要求且情节严重的排污单位依法责令停业、关闭，查封、扣押污染物排放的设施、设备</w:t>
            </w:r>
            <w:r>
              <w:rPr>
                <w:rFonts w:hint="eastAsia"/>
                <w:sz w:val="21"/>
                <w:szCs w:val="21"/>
                <w:highlight w:val="none"/>
              </w:rPr>
              <w:t>。</w:t>
            </w:r>
          </w:p>
        </w:tc>
        <w:tc>
          <w:tcPr>
            <w:tcW w:w="455" w:type="pct"/>
            <w:vMerge w:val="continue"/>
            <w:vAlign w:val="center"/>
          </w:tcPr>
          <w:p>
            <w:pPr>
              <w:adjustRightInd w:val="0"/>
              <w:snapToGrid w:val="0"/>
              <w:spacing w:line="240" w:lineRule="auto"/>
              <w:ind w:firstLine="0" w:firstLineChars="0"/>
              <w:jc w:val="center"/>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严厉打击环境违法行为。重点打击私设暗管或利用渗井、渗坑、矿井、溶洞等排放、倾倒含有毒有害污染物废水、含病原体污水，监测数据弄虚作假，不正常使用水污染物处理设施，或者未经批准拆除、闲置水污染物处理设施等环境违法行为</w:t>
            </w:r>
            <w:r>
              <w:rPr>
                <w:rFonts w:hint="eastAsia"/>
                <w:sz w:val="21"/>
                <w:szCs w:val="21"/>
                <w:highlight w:val="none"/>
              </w:rPr>
              <w:t>。</w:t>
            </w:r>
          </w:p>
        </w:tc>
        <w:tc>
          <w:tcPr>
            <w:tcW w:w="455" w:type="pct"/>
            <w:vMerge w:val="continue"/>
            <w:vAlign w:val="center"/>
          </w:tcPr>
          <w:p>
            <w:pPr>
              <w:adjustRightInd w:val="0"/>
              <w:snapToGrid w:val="0"/>
              <w:spacing w:line="240" w:lineRule="auto"/>
              <w:ind w:firstLine="0" w:firstLineChars="0"/>
              <w:jc w:val="center"/>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shd w:val="clear" w:color="auto" w:fill="auto"/>
            <w:vAlign w:val="center"/>
          </w:tcPr>
          <w:p>
            <w:pPr>
              <w:adjustRightInd w:val="0"/>
              <w:snapToGrid w:val="0"/>
              <w:spacing w:line="240" w:lineRule="auto"/>
              <w:ind w:firstLine="0" w:firstLineChars="0"/>
              <w:rPr>
                <w:sz w:val="21"/>
                <w:szCs w:val="21"/>
                <w:highlight w:val="none"/>
              </w:rPr>
            </w:pPr>
            <w:r>
              <w:rPr>
                <w:rFonts w:hint="eastAsia" w:ascii="宋体" w:hAnsi="宋体" w:cs="宋体"/>
                <w:sz w:val="21"/>
                <w:szCs w:val="21"/>
                <w:highlight w:val="none"/>
              </w:rPr>
              <w:t>加强工业水循环使用，推进矿井水综合利用，煤炭矿区补充用水、周边地区生产和生态用水优先使用矿井水，加强洗煤废水循环利用。推广先进污水深度处理技术，加强高耗水企业废水再生回用。</w:t>
            </w:r>
          </w:p>
        </w:tc>
        <w:tc>
          <w:tcPr>
            <w:tcW w:w="455" w:type="pct"/>
            <w:vMerge w:val="restart"/>
            <w:shd w:val="clear" w:color="auto" w:fill="auto"/>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项目不在地下水超采区，生产废水循环使用，不外排</w:t>
            </w:r>
          </w:p>
        </w:tc>
        <w:tc>
          <w:tcPr>
            <w:tcW w:w="185"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遏制地下水超采。严格控制地下水超采。在唐山、廊坊、保定、沧州、衡水、邢台、邯郸等地面沉降、地裂缝、岩溶塌陷等地质灾害易发区开发利用地下水，应进行地质灾害危险性评估。严格控制深层承压水开采</w:t>
            </w:r>
            <w:r>
              <w:rPr>
                <w:rFonts w:hint="eastAsia"/>
                <w:sz w:val="21"/>
                <w:szCs w:val="21"/>
                <w:highlight w:val="none"/>
              </w:rPr>
              <w:t>。</w:t>
            </w:r>
          </w:p>
        </w:tc>
        <w:tc>
          <w:tcPr>
            <w:tcW w:w="455" w:type="pct"/>
            <w:vMerge w:val="continue"/>
            <w:vAlign w:val="center"/>
          </w:tcPr>
          <w:p>
            <w:pPr>
              <w:adjustRightInd w:val="0"/>
              <w:snapToGrid w:val="0"/>
              <w:spacing w:line="240" w:lineRule="auto"/>
              <w:ind w:firstLine="0" w:firstLineChars="0"/>
              <w:jc w:val="center"/>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bl>
    <w:p>
      <w:pPr>
        <w:pStyle w:val="3"/>
        <w:tabs>
          <w:tab w:val="left" w:pos="4253"/>
        </w:tabs>
        <w:rPr>
          <w:rFonts w:eastAsiaTheme="minorEastAsia"/>
          <w:b/>
          <w:highlight w:val="none"/>
        </w:rPr>
      </w:pPr>
      <w:r>
        <w:rPr>
          <w:rFonts w:hint="eastAsia" w:hAnsiTheme="minorEastAsia" w:eastAsiaTheme="minorEastAsia"/>
          <w:b/>
          <w:highlight w:val="none"/>
        </w:rPr>
        <w:t>2</w:t>
      </w:r>
      <w:r>
        <w:rPr>
          <w:rFonts w:hAnsiTheme="minorEastAsia" w:eastAsiaTheme="minorEastAsia"/>
          <w:b/>
          <w:highlight w:val="none"/>
        </w:rPr>
        <w:t>.6.1.9与《遵化市铁选矿综合治理工作实施方案》相符性分析</w:t>
      </w:r>
      <w:bookmarkEnd w:id="221"/>
    </w:p>
    <w:p>
      <w:pPr>
        <w:spacing w:line="240" w:lineRule="auto"/>
        <w:ind w:firstLine="480"/>
        <w:rPr>
          <w:sz w:val="24"/>
          <w:szCs w:val="24"/>
          <w:highlight w:val="none"/>
        </w:rPr>
      </w:pPr>
      <w:bookmarkStart w:id="222" w:name="_Hlk532029121"/>
      <w:r>
        <w:rPr>
          <w:rFonts w:hint="eastAsia"/>
          <w:sz w:val="24"/>
          <w:szCs w:val="24"/>
          <w:highlight w:val="none"/>
        </w:rPr>
        <w:t>本项目与《遵化市铁选矿综合治理工作实施方案》的相符性分析见表2.6-</w:t>
      </w:r>
      <w:r>
        <w:rPr>
          <w:sz w:val="24"/>
          <w:szCs w:val="24"/>
          <w:highlight w:val="none"/>
        </w:rPr>
        <w:t>6</w:t>
      </w:r>
      <w:r>
        <w:rPr>
          <w:rFonts w:hint="eastAsia"/>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hAnsi="黑体" w:eastAsia="黑体"/>
          <w:kern w:val="2"/>
          <w:sz w:val="21"/>
          <w:szCs w:val="21"/>
          <w:highlight w:val="none"/>
        </w:rPr>
        <w:t>表</w:t>
      </w:r>
      <w:r>
        <w:rPr>
          <w:rFonts w:eastAsia="黑体"/>
          <w:kern w:val="2"/>
          <w:sz w:val="21"/>
          <w:szCs w:val="21"/>
          <w:highlight w:val="none"/>
        </w:rPr>
        <w:t>2.</w:t>
      </w:r>
      <w:r>
        <w:rPr>
          <w:rFonts w:hint="eastAsia" w:eastAsia="黑体"/>
          <w:kern w:val="2"/>
          <w:sz w:val="21"/>
          <w:szCs w:val="21"/>
          <w:highlight w:val="none"/>
        </w:rPr>
        <w:t>6</w:t>
      </w:r>
      <w:r>
        <w:rPr>
          <w:rFonts w:eastAsia="黑体"/>
          <w:kern w:val="2"/>
          <w:sz w:val="21"/>
          <w:szCs w:val="21"/>
          <w:highlight w:val="none"/>
        </w:rPr>
        <w:t xml:space="preserve">-6     </w:t>
      </w:r>
      <w:r>
        <w:rPr>
          <w:rFonts w:hAnsi="黑体" w:eastAsia="黑体"/>
          <w:kern w:val="2"/>
          <w:sz w:val="21"/>
          <w:szCs w:val="21"/>
          <w:highlight w:val="none"/>
        </w:rPr>
        <w:t>与《遵化市铁选矿综合治理工作实施方案》相符性分析</w:t>
      </w:r>
    </w:p>
    <w:tbl>
      <w:tblPr>
        <w:tblStyle w:val="48"/>
        <w:tblW w:w="14174" w:type="dxa"/>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870"/>
        <w:gridCol w:w="6177"/>
        <w:gridCol w:w="6305"/>
        <w:gridCol w:w="82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trPr>
        <w:tc>
          <w:tcPr>
            <w:tcW w:w="870" w:type="dxa"/>
            <w:vAlign w:val="center"/>
          </w:tcPr>
          <w:p>
            <w:pPr>
              <w:spacing w:line="240" w:lineRule="auto"/>
              <w:ind w:firstLine="0" w:firstLineChars="0"/>
              <w:jc w:val="center"/>
              <w:rPr>
                <w:bCs/>
                <w:sz w:val="21"/>
                <w:szCs w:val="21"/>
                <w:highlight w:val="none"/>
              </w:rPr>
            </w:pPr>
            <w:r>
              <w:rPr>
                <w:rFonts w:hint="eastAsia" w:cs="宋体"/>
                <w:bCs/>
                <w:sz w:val="21"/>
                <w:szCs w:val="21"/>
                <w:highlight w:val="none"/>
              </w:rPr>
              <w:t>内容</w:t>
            </w:r>
          </w:p>
        </w:tc>
        <w:tc>
          <w:tcPr>
            <w:tcW w:w="6177" w:type="dxa"/>
            <w:vAlign w:val="center"/>
          </w:tcPr>
          <w:p>
            <w:pPr>
              <w:spacing w:line="240" w:lineRule="auto"/>
              <w:ind w:firstLine="0" w:firstLineChars="0"/>
              <w:jc w:val="center"/>
              <w:rPr>
                <w:rFonts w:cs="宋体"/>
                <w:bCs/>
                <w:sz w:val="21"/>
                <w:szCs w:val="21"/>
                <w:highlight w:val="none"/>
              </w:rPr>
            </w:pPr>
            <w:r>
              <w:rPr>
                <w:rFonts w:hint="eastAsia" w:hAnsi="宋体"/>
                <w:bCs/>
                <w:sz w:val="21"/>
                <w:szCs w:val="21"/>
                <w:highlight w:val="none"/>
              </w:rPr>
              <w:t>《遵化市铁选矿综合治理工作实施方案》</w:t>
            </w:r>
            <w:r>
              <w:rPr>
                <w:rFonts w:hint="eastAsia" w:cs="宋体"/>
                <w:bCs/>
                <w:sz w:val="21"/>
                <w:szCs w:val="21"/>
                <w:highlight w:val="none"/>
              </w:rPr>
              <w:t>要求</w:t>
            </w:r>
          </w:p>
        </w:tc>
        <w:tc>
          <w:tcPr>
            <w:tcW w:w="6305" w:type="dxa"/>
            <w:vAlign w:val="center"/>
          </w:tcPr>
          <w:p>
            <w:pPr>
              <w:spacing w:line="240" w:lineRule="auto"/>
              <w:ind w:firstLine="0" w:firstLineChars="0"/>
              <w:jc w:val="center"/>
              <w:rPr>
                <w:bCs/>
                <w:sz w:val="21"/>
                <w:szCs w:val="21"/>
                <w:highlight w:val="none"/>
              </w:rPr>
            </w:pPr>
            <w:r>
              <w:rPr>
                <w:rFonts w:hint="eastAsia"/>
                <w:sz w:val="21"/>
                <w:szCs w:val="21"/>
                <w:highlight w:val="none"/>
              </w:rPr>
              <w:t>项目拟建</w:t>
            </w:r>
            <w:r>
              <w:rPr>
                <w:sz w:val="21"/>
                <w:szCs w:val="21"/>
                <w:highlight w:val="none"/>
              </w:rPr>
              <w:t>情况</w:t>
            </w:r>
          </w:p>
        </w:tc>
        <w:tc>
          <w:tcPr>
            <w:tcW w:w="822" w:type="dxa"/>
            <w:vAlign w:val="center"/>
          </w:tcPr>
          <w:p>
            <w:pPr>
              <w:spacing w:line="240" w:lineRule="auto"/>
              <w:ind w:firstLine="0" w:firstLineChars="0"/>
              <w:jc w:val="center"/>
              <w:rPr>
                <w:rFonts w:cs="宋体"/>
                <w:bCs/>
                <w:sz w:val="21"/>
                <w:szCs w:val="21"/>
                <w:highlight w:val="none"/>
              </w:rPr>
            </w:pPr>
            <w:r>
              <w:rPr>
                <w:rFonts w:hint="eastAsia" w:cs="宋体"/>
                <w:bCs/>
                <w:sz w:val="21"/>
                <w:szCs w:val="21"/>
                <w:highlight w:val="none"/>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原料堆场</w:t>
            </w:r>
          </w:p>
        </w:tc>
        <w:tc>
          <w:tcPr>
            <w:tcW w:w="6177" w:type="dxa"/>
            <w:vAlign w:val="center"/>
          </w:tcPr>
          <w:p>
            <w:pPr>
              <w:spacing w:line="240" w:lineRule="auto"/>
              <w:ind w:firstLine="0" w:firstLineChars="0"/>
              <w:jc w:val="center"/>
              <w:rPr>
                <w:sz w:val="21"/>
                <w:szCs w:val="21"/>
                <w:highlight w:val="none"/>
              </w:rPr>
            </w:pPr>
            <w:r>
              <w:rPr>
                <w:rFonts w:hint="eastAsia" w:hAnsi="宋体"/>
                <w:bCs/>
                <w:sz w:val="21"/>
                <w:szCs w:val="21"/>
                <w:highlight w:val="none"/>
              </w:rPr>
              <w:t>原料堆场不能露天堆放，设置原料库，加装喷淋抑尘装置。</w:t>
            </w:r>
          </w:p>
        </w:tc>
        <w:tc>
          <w:tcPr>
            <w:tcW w:w="6305" w:type="dxa"/>
            <w:vAlign w:val="center"/>
          </w:tcPr>
          <w:p>
            <w:pPr>
              <w:spacing w:line="240" w:lineRule="auto"/>
              <w:ind w:firstLine="0" w:firstLineChars="0"/>
              <w:jc w:val="center"/>
              <w:rPr>
                <w:sz w:val="21"/>
                <w:szCs w:val="21"/>
                <w:highlight w:val="none"/>
              </w:rPr>
            </w:pPr>
            <w:r>
              <w:rPr>
                <w:rFonts w:hint="eastAsia"/>
                <w:bCs/>
                <w:sz w:val="21"/>
                <w:szCs w:val="21"/>
                <w:highlight w:val="none"/>
              </w:rPr>
              <w:t>原料</w:t>
            </w:r>
            <w:r>
              <w:rPr>
                <w:rFonts w:hint="eastAsia"/>
                <w:bCs/>
                <w:sz w:val="21"/>
                <w:szCs w:val="21"/>
                <w:highlight w:val="none"/>
                <w:lang w:val="en-US" w:eastAsia="zh-CN"/>
              </w:rPr>
              <w:t>不在厂区</w:t>
            </w:r>
            <w:r>
              <w:rPr>
                <w:rFonts w:hint="eastAsia"/>
                <w:bCs/>
                <w:sz w:val="21"/>
                <w:szCs w:val="21"/>
                <w:highlight w:val="none"/>
              </w:rPr>
              <w:t>堆存，</w:t>
            </w:r>
            <w:r>
              <w:rPr>
                <w:bCs/>
                <w:sz w:val="21"/>
                <w:szCs w:val="21"/>
                <w:highlight w:val="none"/>
              </w:rPr>
              <w:t>设置</w:t>
            </w:r>
            <w:r>
              <w:rPr>
                <w:rFonts w:hint="eastAsia" w:cs="宋体"/>
                <w:sz w:val="21"/>
                <w:szCs w:val="21"/>
                <w:highlight w:val="none"/>
              </w:rPr>
              <w:t>建</w:t>
            </w:r>
            <w:r>
              <w:rPr>
                <w:rFonts w:hint="eastAsia" w:cs="宋体"/>
                <w:sz w:val="21"/>
                <w:szCs w:val="21"/>
                <w:highlight w:val="none"/>
                <w:lang w:val="en-US" w:eastAsia="zh-CN"/>
              </w:rPr>
              <w:t>有</w:t>
            </w:r>
            <w:r>
              <w:rPr>
                <w:rFonts w:hint="eastAsia" w:cs="宋体"/>
                <w:sz w:val="21"/>
                <w:szCs w:val="21"/>
                <w:highlight w:val="none"/>
              </w:rPr>
              <w:t>三面围挡并带顶的料棚，料棚进深尺度不小于</w:t>
            </w:r>
            <w:r>
              <w:rPr>
                <w:sz w:val="21"/>
                <w:szCs w:val="21"/>
                <w:highlight w:val="none"/>
              </w:rPr>
              <w:t>8</w:t>
            </w:r>
            <w:r>
              <w:rPr>
                <w:rFonts w:hint="eastAsia" w:cs="宋体"/>
                <w:sz w:val="21"/>
                <w:szCs w:val="21"/>
                <w:highlight w:val="none"/>
              </w:rPr>
              <w:t>米，受料仓设置除尘器或喷淋抑尘装置</w:t>
            </w:r>
            <w:r>
              <w:rPr>
                <w:rFonts w:hint="eastAsia" w:cs="宋体"/>
                <w:sz w:val="21"/>
                <w:szCs w:val="21"/>
                <w:highlight w:val="none"/>
                <w:lang w:eastAsia="zh-CN"/>
              </w:rPr>
              <w:t>，</w:t>
            </w:r>
            <w:r>
              <w:rPr>
                <w:rFonts w:hint="eastAsia" w:cs="宋体"/>
                <w:sz w:val="21"/>
                <w:szCs w:val="21"/>
                <w:highlight w:val="none"/>
                <w:lang w:val="en-US" w:eastAsia="zh-CN"/>
              </w:rPr>
              <w:t>运输车辆直接将原料卸入受料仓，不在厂区堆存</w:t>
            </w:r>
            <w:r>
              <w:rPr>
                <w:rFonts w:hint="eastAsia"/>
                <w:sz w:val="21"/>
                <w:szCs w:val="21"/>
                <w:highlight w:val="none"/>
              </w:rPr>
              <w:t>。</w:t>
            </w:r>
          </w:p>
        </w:tc>
        <w:tc>
          <w:tcPr>
            <w:tcW w:w="822" w:type="dxa"/>
            <w:vAlign w:val="center"/>
          </w:tcPr>
          <w:p>
            <w:pPr>
              <w:spacing w:line="240" w:lineRule="auto"/>
              <w:ind w:firstLine="0" w:firstLineChars="0"/>
              <w:jc w:val="center"/>
              <w:rPr>
                <w:rFonts w:hAnsi="宋体"/>
                <w:bCs/>
                <w:sz w:val="21"/>
                <w:szCs w:val="21"/>
                <w:highlight w:val="none"/>
              </w:rPr>
            </w:pPr>
            <w:r>
              <w:rPr>
                <w:rFonts w:hint="eastAsia" w:hAnsi="宋体"/>
                <w:bCs/>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尾矿库</w:t>
            </w:r>
          </w:p>
        </w:tc>
        <w:tc>
          <w:tcPr>
            <w:tcW w:w="6177" w:type="dxa"/>
            <w:vAlign w:val="center"/>
          </w:tcPr>
          <w:p>
            <w:pPr>
              <w:spacing w:line="240" w:lineRule="auto"/>
              <w:ind w:firstLine="0" w:firstLineChars="0"/>
              <w:jc w:val="center"/>
              <w:rPr>
                <w:sz w:val="21"/>
                <w:szCs w:val="21"/>
                <w:highlight w:val="none"/>
              </w:rPr>
            </w:pPr>
            <w:r>
              <w:rPr>
                <w:rFonts w:hint="eastAsia" w:cs="宋体"/>
                <w:sz w:val="21"/>
                <w:szCs w:val="21"/>
                <w:highlight w:val="none"/>
              </w:rPr>
              <w:t>尾矿库铺设喷淋管路实施喷淋抑尘，堆存及卸料作业采取喷淋抑尘措施，并及时清运。</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本项目不建设尾矿库。</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受料仓</w:t>
            </w:r>
          </w:p>
        </w:tc>
        <w:tc>
          <w:tcPr>
            <w:tcW w:w="6177" w:type="dxa"/>
            <w:vAlign w:val="center"/>
          </w:tcPr>
          <w:p>
            <w:pPr>
              <w:spacing w:line="240" w:lineRule="auto"/>
              <w:ind w:firstLine="0" w:firstLineChars="0"/>
              <w:jc w:val="center"/>
              <w:rPr>
                <w:sz w:val="21"/>
                <w:szCs w:val="21"/>
                <w:highlight w:val="none"/>
              </w:rPr>
            </w:pPr>
            <w:r>
              <w:rPr>
                <w:rFonts w:hint="eastAsia" w:cs="宋体"/>
                <w:sz w:val="21"/>
                <w:szCs w:val="21"/>
                <w:highlight w:val="none"/>
              </w:rPr>
              <w:t>一级破碎受料仓要建三面围挡并带顶的料棚，料棚进深尺度不小于</w:t>
            </w:r>
            <w:r>
              <w:rPr>
                <w:sz w:val="21"/>
                <w:szCs w:val="21"/>
                <w:highlight w:val="none"/>
              </w:rPr>
              <w:t>8</w:t>
            </w:r>
            <w:r>
              <w:rPr>
                <w:rFonts w:hint="eastAsia" w:cs="宋体"/>
                <w:sz w:val="21"/>
                <w:szCs w:val="21"/>
                <w:highlight w:val="none"/>
              </w:rPr>
              <w:t>米，受料仓设置除尘器或喷淋抑尘装置，有效防止卸料扬尘外溢，受料仓围挡发生破损时必须及时维修完善。</w:t>
            </w:r>
          </w:p>
        </w:tc>
        <w:tc>
          <w:tcPr>
            <w:tcW w:w="6305"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一级破碎受料仓位于</w:t>
            </w:r>
            <w:r>
              <w:rPr>
                <w:rFonts w:hint="eastAsia" w:cs="宋体"/>
                <w:sz w:val="21"/>
                <w:szCs w:val="21"/>
                <w:highlight w:val="none"/>
                <w:lang w:val="en-US" w:eastAsia="zh-CN"/>
              </w:rPr>
              <w:t>原料棚</w:t>
            </w:r>
            <w:r>
              <w:rPr>
                <w:rFonts w:hint="eastAsia" w:cs="宋体"/>
                <w:sz w:val="21"/>
                <w:szCs w:val="21"/>
                <w:highlight w:val="none"/>
              </w:rPr>
              <w:t>内，在受料仓处设置喷淋抑尘装置，发现受料仓围挡发生破损时，及时维修完善。</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破碎及磁选</w:t>
            </w:r>
          </w:p>
        </w:tc>
        <w:tc>
          <w:tcPr>
            <w:tcW w:w="6177" w:type="dxa"/>
            <w:vAlign w:val="center"/>
          </w:tcPr>
          <w:p>
            <w:pPr>
              <w:spacing w:line="240" w:lineRule="auto"/>
              <w:ind w:firstLine="0" w:firstLineChars="0"/>
              <w:jc w:val="center"/>
              <w:rPr>
                <w:sz w:val="21"/>
                <w:szCs w:val="21"/>
                <w:highlight w:val="none"/>
              </w:rPr>
            </w:pPr>
            <w:r>
              <w:rPr>
                <w:rFonts w:hint="eastAsia" w:cs="宋体"/>
                <w:sz w:val="21"/>
                <w:szCs w:val="21"/>
                <w:highlight w:val="none"/>
              </w:rPr>
              <w:t>一级破碎、二级破碎及球磨机设备必须全部建设封闭式厂房，并配套建设抑尘、除尘设施</w:t>
            </w:r>
            <w:r>
              <w:rPr>
                <w:sz w:val="21"/>
                <w:szCs w:val="21"/>
                <w:highlight w:val="none"/>
              </w:rPr>
              <w:t>,</w:t>
            </w:r>
            <w:r>
              <w:rPr>
                <w:rFonts w:hint="eastAsia" w:cs="宋体"/>
                <w:sz w:val="21"/>
                <w:szCs w:val="21"/>
                <w:highlight w:val="none"/>
              </w:rPr>
              <w:t>除尘器排气筒高度不低于</w:t>
            </w:r>
            <w:r>
              <w:rPr>
                <w:sz w:val="21"/>
                <w:szCs w:val="21"/>
                <w:highlight w:val="none"/>
              </w:rPr>
              <w:t>15</w:t>
            </w:r>
            <w:r>
              <w:rPr>
                <w:rFonts w:hint="eastAsia" w:cs="宋体"/>
                <w:sz w:val="21"/>
                <w:szCs w:val="21"/>
                <w:highlight w:val="none"/>
              </w:rPr>
              <w:t>米，生产废水循环利用，不允许外排。</w:t>
            </w:r>
          </w:p>
        </w:tc>
        <w:tc>
          <w:tcPr>
            <w:tcW w:w="6305" w:type="dxa"/>
            <w:vAlign w:val="center"/>
          </w:tcPr>
          <w:p>
            <w:pPr>
              <w:spacing w:line="240" w:lineRule="auto"/>
              <w:ind w:firstLine="0" w:firstLineChars="0"/>
              <w:jc w:val="center"/>
              <w:rPr>
                <w:rFonts w:cs="宋体"/>
                <w:sz w:val="21"/>
                <w:szCs w:val="21"/>
                <w:highlight w:val="none"/>
              </w:rPr>
            </w:pPr>
            <w:r>
              <w:rPr>
                <w:sz w:val="21"/>
                <w:szCs w:val="21"/>
                <w:highlight w:val="none"/>
              </w:rPr>
              <w:t>本项目破碎及球磨设备</w:t>
            </w:r>
            <w:r>
              <w:rPr>
                <w:rFonts w:hint="eastAsia"/>
                <w:sz w:val="21"/>
                <w:szCs w:val="21"/>
                <w:highlight w:val="none"/>
              </w:rPr>
              <w:t>均布置在封闭生产车间内</w:t>
            </w:r>
            <w:r>
              <w:rPr>
                <w:sz w:val="21"/>
                <w:szCs w:val="21"/>
                <w:highlight w:val="none"/>
              </w:rPr>
              <w:t>，</w:t>
            </w:r>
            <w:r>
              <w:rPr>
                <w:rFonts w:hint="eastAsia"/>
                <w:sz w:val="21"/>
                <w:szCs w:val="21"/>
                <w:highlight w:val="none"/>
              </w:rPr>
              <w:t>并配套建设喷雾抑尘装置</w:t>
            </w:r>
            <w:r>
              <w:rPr>
                <w:rFonts w:hint="eastAsia" w:ascii="仿宋" w:hAnsi="仿宋" w:eastAsia="仿宋" w:cs="仿宋"/>
                <w:sz w:val="21"/>
                <w:szCs w:val="21"/>
                <w:highlight w:val="none"/>
              </w:rPr>
              <w:t>、</w:t>
            </w:r>
            <w:r>
              <w:rPr>
                <w:rFonts w:hint="eastAsia"/>
                <w:sz w:val="21"/>
                <w:szCs w:val="21"/>
                <w:highlight w:val="none"/>
              </w:rPr>
              <w:t>脉冲布袋除尘器，除尘器排气筒高度为20</w:t>
            </w:r>
            <w:r>
              <w:rPr>
                <w:sz w:val="21"/>
                <w:szCs w:val="21"/>
                <w:highlight w:val="none"/>
              </w:rPr>
              <w:t>m</w:t>
            </w:r>
            <w:r>
              <w:rPr>
                <w:rFonts w:hint="eastAsia"/>
                <w:sz w:val="21"/>
                <w:szCs w:val="21"/>
                <w:highlight w:val="none"/>
              </w:rPr>
              <w:t>；</w:t>
            </w:r>
            <w:r>
              <w:rPr>
                <w:sz w:val="21"/>
                <w:szCs w:val="21"/>
                <w:highlight w:val="none"/>
              </w:rPr>
              <w:t>生产废水</w:t>
            </w:r>
            <w:r>
              <w:rPr>
                <w:rFonts w:hint="eastAsia"/>
                <w:sz w:val="21"/>
                <w:szCs w:val="21"/>
                <w:highlight w:val="none"/>
              </w:rPr>
              <w:t>经处理后</w:t>
            </w:r>
            <w:r>
              <w:rPr>
                <w:sz w:val="21"/>
                <w:szCs w:val="21"/>
                <w:highlight w:val="none"/>
              </w:rPr>
              <w:t>循环使用不外排。</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restart"/>
            <w:vAlign w:val="center"/>
          </w:tcPr>
          <w:p>
            <w:pPr>
              <w:spacing w:line="240" w:lineRule="auto"/>
              <w:ind w:firstLine="0" w:firstLineChars="0"/>
              <w:jc w:val="center"/>
              <w:rPr>
                <w:sz w:val="21"/>
                <w:szCs w:val="21"/>
                <w:highlight w:val="none"/>
              </w:rPr>
            </w:pPr>
            <w:r>
              <w:rPr>
                <w:rFonts w:hint="eastAsia" w:cs="宋体"/>
                <w:sz w:val="21"/>
                <w:szCs w:val="21"/>
                <w:highlight w:val="none"/>
              </w:rPr>
              <w:t>原料输送转运</w:t>
            </w:r>
          </w:p>
        </w:tc>
        <w:tc>
          <w:tcPr>
            <w:tcW w:w="6177" w:type="dxa"/>
            <w:vAlign w:val="center"/>
          </w:tcPr>
          <w:p>
            <w:pPr>
              <w:spacing w:line="240" w:lineRule="auto"/>
              <w:ind w:firstLine="0" w:firstLineChars="0"/>
              <w:jc w:val="center"/>
              <w:rPr>
                <w:sz w:val="21"/>
                <w:szCs w:val="21"/>
                <w:highlight w:val="none"/>
              </w:rPr>
            </w:pPr>
            <w:r>
              <w:rPr>
                <w:rFonts w:hAnsi="宋体"/>
                <w:sz w:val="21"/>
                <w:szCs w:val="21"/>
                <w:highlight w:val="none"/>
              </w:rPr>
              <w:t>从一级破碎出料口</w:t>
            </w:r>
            <w:r>
              <w:rPr>
                <w:rFonts w:hint="eastAsia" w:hAnsi="宋体"/>
                <w:sz w:val="21"/>
                <w:szCs w:val="21"/>
                <w:highlight w:val="none"/>
              </w:rPr>
              <w:t>（加装收尘、抑尘设施）</w:t>
            </w:r>
            <w:r>
              <w:rPr>
                <w:rFonts w:hAnsi="宋体"/>
                <w:sz w:val="21"/>
                <w:szCs w:val="21"/>
                <w:highlight w:val="none"/>
              </w:rPr>
              <w:t>至二级破碎</w:t>
            </w:r>
            <w:r>
              <w:rPr>
                <w:rFonts w:hint="eastAsia" w:hAnsi="宋体"/>
                <w:sz w:val="21"/>
                <w:szCs w:val="21"/>
                <w:highlight w:val="none"/>
              </w:rPr>
              <w:t>（入料口加装收尘、抑尘设施，出料口加装抑尘设施）</w:t>
            </w:r>
            <w:r>
              <w:rPr>
                <w:rFonts w:hAnsi="宋体"/>
                <w:sz w:val="21"/>
                <w:szCs w:val="21"/>
                <w:highlight w:val="none"/>
              </w:rPr>
              <w:t>、</w:t>
            </w:r>
            <w:r>
              <w:rPr>
                <w:rFonts w:hint="eastAsia" w:hAnsi="宋体"/>
                <w:sz w:val="21"/>
                <w:szCs w:val="21"/>
                <w:highlight w:val="none"/>
              </w:rPr>
              <w:t>磁选</w:t>
            </w:r>
            <w:r>
              <w:rPr>
                <w:rFonts w:hAnsi="宋体"/>
                <w:sz w:val="21"/>
                <w:szCs w:val="21"/>
                <w:highlight w:val="none"/>
              </w:rPr>
              <w:t>、成品库的物料输送以及二级破碎、返矿输送</w:t>
            </w:r>
            <w:r>
              <w:rPr>
                <w:rFonts w:hint="eastAsia" w:hAnsi="宋体"/>
                <w:sz w:val="21"/>
                <w:szCs w:val="21"/>
                <w:highlight w:val="none"/>
              </w:rPr>
              <w:t>，室外输送系统必须全部建设满足日常检修、清扫落料要求的全封闭皮带通廊，</w:t>
            </w:r>
            <w:r>
              <w:rPr>
                <w:rFonts w:hAnsi="宋体"/>
                <w:sz w:val="21"/>
                <w:szCs w:val="21"/>
                <w:highlight w:val="none"/>
              </w:rPr>
              <w:t>皮带通廊落料转运端</w:t>
            </w:r>
            <w:r>
              <w:rPr>
                <w:rFonts w:hint="eastAsia" w:hAnsi="宋体"/>
                <w:sz w:val="21"/>
                <w:szCs w:val="21"/>
                <w:highlight w:val="none"/>
              </w:rPr>
              <w:t>根据物料的含水率设置收尘、抑尘设施。</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皮带输送机全部设置全封闭皮带通廊，车间内的皮带转运落料端在产尘节点设置抑尘、收尘措施，并派专人进行日常检修、清扫落料。</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continue"/>
            <w:vAlign w:val="center"/>
          </w:tcPr>
          <w:p>
            <w:pPr>
              <w:spacing w:line="240" w:lineRule="auto"/>
              <w:ind w:firstLine="0" w:firstLineChars="0"/>
              <w:rPr>
                <w:rFonts w:eastAsia="Times New Roman"/>
                <w:sz w:val="21"/>
                <w:szCs w:val="21"/>
                <w:highlight w:val="none"/>
              </w:rPr>
            </w:pPr>
          </w:p>
        </w:tc>
        <w:tc>
          <w:tcPr>
            <w:tcW w:w="6177" w:type="dxa"/>
            <w:vAlign w:val="center"/>
          </w:tcPr>
          <w:p>
            <w:pPr>
              <w:spacing w:line="240" w:lineRule="auto"/>
              <w:ind w:firstLine="0" w:firstLineChars="0"/>
              <w:jc w:val="center"/>
              <w:rPr>
                <w:sz w:val="21"/>
                <w:szCs w:val="21"/>
                <w:highlight w:val="none"/>
              </w:rPr>
            </w:pPr>
            <w:r>
              <w:rPr>
                <w:rFonts w:hint="eastAsia" w:cs="宋体"/>
                <w:sz w:val="21"/>
                <w:szCs w:val="21"/>
                <w:highlight w:val="none"/>
              </w:rPr>
              <w:t>物料转运系统必须实现封闭，发生破损及时维修完善。</w:t>
            </w:r>
          </w:p>
        </w:tc>
        <w:tc>
          <w:tcPr>
            <w:tcW w:w="6305" w:type="dxa"/>
            <w:vAlign w:val="center"/>
          </w:tcPr>
          <w:p>
            <w:pPr>
              <w:spacing w:line="240" w:lineRule="auto"/>
              <w:ind w:firstLine="0" w:firstLineChars="0"/>
              <w:rPr>
                <w:sz w:val="21"/>
                <w:szCs w:val="21"/>
                <w:highlight w:val="none"/>
              </w:rPr>
            </w:pPr>
            <w:r>
              <w:rPr>
                <w:rFonts w:hint="eastAsia"/>
                <w:sz w:val="21"/>
                <w:szCs w:val="21"/>
                <w:highlight w:val="none"/>
              </w:rPr>
              <w:t>物料转运设置封闭皮带廊道和汽车运输通廊，发生破损及时维修完善。</w:t>
            </w:r>
          </w:p>
        </w:tc>
        <w:tc>
          <w:tcPr>
            <w:tcW w:w="822" w:type="dxa"/>
            <w:vAlign w:val="center"/>
          </w:tcPr>
          <w:p>
            <w:pPr>
              <w:spacing w:line="240" w:lineRule="auto"/>
              <w:ind w:firstLine="0" w:firstLineChars="0"/>
              <w:jc w:val="center"/>
              <w:rPr>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hint="eastAsia" w:cs="宋体"/>
                <w:sz w:val="21"/>
                <w:szCs w:val="21"/>
                <w:highlight w:val="none"/>
              </w:rPr>
            </w:pPr>
            <w:r>
              <w:rPr>
                <w:rFonts w:hint="eastAsia" w:cs="宋体"/>
                <w:sz w:val="21"/>
                <w:szCs w:val="21"/>
                <w:highlight w:val="none"/>
              </w:rPr>
              <w:t>成品</w:t>
            </w:r>
          </w:p>
          <w:p>
            <w:pPr>
              <w:spacing w:line="240" w:lineRule="auto"/>
              <w:ind w:firstLine="0" w:firstLineChars="0"/>
              <w:jc w:val="center"/>
              <w:rPr>
                <w:sz w:val="21"/>
                <w:szCs w:val="21"/>
                <w:highlight w:val="none"/>
              </w:rPr>
            </w:pPr>
            <w:r>
              <w:rPr>
                <w:rFonts w:hint="eastAsia" w:cs="宋体"/>
                <w:sz w:val="21"/>
                <w:szCs w:val="21"/>
                <w:highlight w:val="none"/>
              </w:rPr>
              <w:t>堆场</w:t>
            </w:r>
          </w:p>
        </w:tc>
        <w:tc>
          <w:tcPr>
            <w:tcW w:w="6177" w:type="dxa"/>
            <w:vAlign w:val="center"/>
          </w:tcPr>
          <w:p>
            <w:pPr>
              <w:spacing w:line="240" w:lineRule="auto"/>
              <w:ind w:firstLine="0" w:firstLineChars="0"/>
              <w:jc w:val="center"/>
              <w:rPr>
                <w:sz w:val="21"/>
                <w:szCs w:val="21"/>
                <w:highlight w:val="none"/>
              </w:rPr>
            </w:pPr>
            <w:r>
              <w:rPr>
                <w:rFonts w:hAnsi="宋体"/>
                <w:sz w:val="21"/>
                <w:szCs w:val="21"/>
                <w:highlight w:val="none"/>
              </w:rPr>
              <w:t>成品、半成品物料</w:t>
            </w:r>
            <w:r>
              <w:rPr>
                <w:rFonts w:hint="eastAsia" w:hAnsi="宋体"/>
                <w:sz w:val="21"/>
                <w:szCs w:val="21"/>
                <w:highlight w:val="none"/>
              </w:rPr>
              <w:t>不能</w:t>
            </w:r>
            <w:r>
              <w:rPr>
                <w:rFonts w:hAnsi="宋体"/>
                <w:sz w:val="21"/>
                <w:szCs w:val="21"/>
                <w:highlight w:val="none"/>
              </w:rPr>
              <w:t>露天堆存</w:t>
            </w:r>
            <w:r>
              <w:rPr>
                <w:rFonts w:hint="eastAsia" w:hAnsi="宋体"/>
                <w:sz w:val="21"/>
                <w:szCs w:val="21"/>
                <w:highlight w:val="none"/>
              </w:rPr>
              <w:t>，进封闭料库，设置喷淋抑尘措施。场区要全部实现硬化或绿化，每天定时清扫保洁、洒水抑尘。</w:t>
            </w:r>
          </w:p>
        </w:tc>
        <w:tc>
          <w:tcPr>
            <w:tcW w:w="6305" w:type="dxa"/>
            <w:vAlign w:val="center"/>
          </w:tcPr>
          <w:p>
            <w:pPr>
              <w:spacing w:line="240" w:lineRule="auto"/>
              <w:ind w:firstLine="0" w:firstLineChars="0"/>
              <w:rPr>
                <w:sz w:val="21"/>
                <w:szCs w:val="21"/>
                <w:highlight w:val="none"/>
              </w:rPr>
            </w:pPr>
            <w:r>
              <w:rPr>
                <w:sz w:val="21"/>
                <w:szCs w:val="21"/>
                <w:highlight w:val="none"/>
              </w:rPr>
              <w:t>本项目</w:t>
            </w:r>
            <w:r>
              <w:rPr>
                <w:rFonts w:hint="eastAsia"/>
                <w:sz w:val="21"/>
                <w:szCs w:val="21"/>
                <w:highlight w:val="none"/>
                <w:lang w:val="en-US" w:eastAsia="zh-CN"/>
              </w:rPr>
              <w:t>物料</w:t>
            </w:r>
            <w:r>
              <w:rPr>
                <w:sz w:val="21"/>
                <w:szCs w:val="21"/>
                <w:highlight w:val="none"/>
              </w:rPr>
              <w:t>储存在</w:t>
            </w:r>
            <w:r>
              <w:rPr>
                <w:rFonts w:hint="eastAsia"/>
                <w:sz w:val="21"/>
                <w:szCs w:val="21"/>
                <w:highlight w:val="none"/>
              </w:rPr>
              <w:t>封闭库</w:t>
            </w:r>
            <w:r>
              <w:rPr>
                <w:sz w:val="21"/>
                <w:szCs w:val="21"/>
                <w:highlight w:val="none"/>
              </w:rPr>
              <w:t>内，</w:t>
            </w:r>
            <w:r>
              <w:rPr>
                <w:rFonts w:hint="eastAsia"/>
                <w:sz w:val="21"/>
                <w:szCs w:val="21"/>
                <w:highlight w:val="none"/>
              </w:rPr>
              <w:t>中间粉矿设置于封闭</w:t>
            </w:r>
            <w:r>
              <w:rPr>
                <w:rFonts w:hint="eastAsia"/>
                <w:sz w:val="21"/>
                <w:szCs w:val="21"/>
                <w:highlight w:val="none"/>
                <w:lang w:val="en-US" w:eastAsia="zh-CN"/>
              </w:rPr>
              <w:t>车间</w:t>
            </w:r>
            <w:r>
              <w:rPr>
                <w:rFonts w:hint="eastAsia"/>
                <w:sz w:val="21"/>
                <w:szCs w:val="21"/>
                <w:highlight w:val="none"/>
              </w:rPr>
              <w:t>内。精粉库为1.5</w:t>
            </w:r>
            <w:r>
              <w:rPr>
                <w:sz w:val="21"/>
                <w:szCs w:val="21"/>
                <w:highlight w:val="none"/>
              </w:rPr>
              <w:t>m混凝土基础+彩钢</w:t>
            </w:r>
            <w:r>
              <w:rPr>
                <w:rFonts w:hint="eastAsia"/>
                <w:sz w:val="21"/>
                <w:szCs w:val="21"/>
                <w:highlight w:val="none"/>
              </w:rPr>
              <w:t>结构，库顶部</w:t>
            </w:r>
            <w:r>
              <w:rPr>
                <w:sz w:val="21"/>
                <w:szCs w:val="21"/>
                <w:highlight w:val="none"/>
              </w:rPr>
              <w:t>设置喷雾抑尘装置（电伴热）</w:t>
            </w:r>
            <w:r>
              <w:rPr>
                <w:rFonts w:hint="eastAsia"/>
                <w:sz w:val="21"/>
                <w:szCs w:val="21"/>
                <w:highlight w:val="none"/>
              </w:rPr>
              <w:t>，喷雾抑尘装置喷雾面积覆盖整个库</w:t>
            </w:r>
            <w:r>
              <w:rPr>
                <w:sz w:val="21"/>
                <w:szCs w:val="21"/>
                <w:highlight w:val="none"/>
              </w:rPr>
              <w:t>。</w:t>
            </w:r>
          </w:p>
          <w:p>
            <w:pPr>
              <w:spacing w:line="240" w:lineRule="auto"/>
              <w:ind w:firstLine="0" w:firstLineChars="0"/>
              <w:rPr>
                <w:sz w:val="21"/>
                <w:szCs w:val="21"/>
                <w:highlight w:val="none"/>
              </w:rPr>
            </w:pPr>
            <w:r>
              <w:rPr>
                <w:rFonts w:hint="eastAsia" w:cs="宋体"/>
                <w:sz w:val="21"/>
                <w:szCs w:val="21"/>
                <w:highlight w:val="none"/>
              </w:rPr>
              <w:t>厂区“非硬即绿”，并安排专人每天定时清扫保洁、洒水抑尘。</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喷淋供水设施</w:t>
            </w:r>
          </w:p>
        </w:tc>
        <w:tc>
          <w:tcPr>
            <w:tcW w:w="6177" w:type="dxa"/>
            <w:vAlign w:val="center"/>
          </w:tcPr>
          <w:p>
            <w:pPr>
              <w:spacing w:line="240" w:lineRule="auto"/>
              <w:ind w:firstLine="0" w:firstLineChars="0"/>
              <w:rPr>
                <w:sz w:val="21"/>
                <w:szCs w:val="21"/>
                <w:highlight w:val="none"/>
              </w:rPr>
            </w:pPr>
            <w:r>
              <w:rPr>
                <w:rFonts w:hint="eastAsia" w:cs="宋体"/>
                <w:sz w:val="21"/>
                <w:szCs w:val="21"/>
                <w:highlight w:val="none"/>
              </w:rPr>
              <w:t>一级破碎入料口、落料口、皮带落料转运端、选矿厂、原料堆场、尾矿库等建设的喷淋设施</w:t>
            </w:r>
            <w:r>
              <w:rPr>
                <w:rFonts w:hint="eastAsia"/>
                <w:sz w:val="21"/>
                <w:szCs w:val="21"/>
                <w:highlight w:val="none"/>
              </w:rPr>
              <w:t>，</w:t>
            </w:r>
            <w:r>
              <w:rPr>
                <w:rFonts w:hint="eastAsia" w:cs="宋体"/>
                <w:sz w:val="21"/>
                <w:szCs w:val="21"/>
                <w:highlight w:val="none"/>
              </w:rPr>
              <w:t>供水管路采取保溫措施确保冬季正常使用。</w:t>
            </w:r>
          </w:p>
        </w:tc>
        <w:tc>
          <w:tcPr>
            <w:tcW w:w="6305"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本项目在一级破碎入料口、落料口、皮带落料转运端、原料</w:t>
            </w:r>
            <w:r>
              <w:rPr>
                <w:rFonts w:hint="eastAsia" w:cs="宋体"/>
                <w:sz w:val="21"/>
                <w:szCs w:val="21"/>
                <w:highlight w:val="none"/>
                <w:lang w:val="en-US" w:eastAsia="zh-CN"/>
              </w:rPr>
              <w:t>棚</w:t>
            </w:r>
            <w:r>
              <w:rPr>
                <w:rFonts w:hint="eastAsia" w:cs="宋体"/>
                <w:sz w:val="21"/>
                <w:szCs w:val="21"/>
                <w:highlight w:val="none"/>
              </w:rPr>
              <w:t>、铁精粉库等处设置了的喷淋设施，供水管路使用保温棉包裹并设置电伴热，确保冬季正常使用。</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cs="宋体"/>
                <w:b/>
                <w:bCs/>
                <w:sz w:val="21"/>
                <w:szCs w:val="21"/>
                <w:highlight w:val="none"/>
              </w:rPr>
            </w:pPr>
            <w:r>
              <w:rPr>
                <w:rFonts w:hint="eastAsia" w:cs="宋体"/>
                <w:sz w:val="21"/>
                <w:szCs w:val="21"/>
                <w:highlight w:val="none"/>
              </w:rPr>
              <w:t>除尘设施</w:t>
            </w:r>
          </w:p>
        </w:tc>
        <w:tc>
          <w:tcPr>
            <w:tcW w:w="6177" w:type="dxa"/>
            <w:vAlign w:val="center"/>
          </w:tcPr>
          <w:p>
            <w:pPr>
              <w:spacing w:line="240" w:lineRule="auto"/>
              <w:ind w:firstLine="0" w:firstLineChars="0"/>
              <w:jc w:val="center"/>
              <w:rPr>
                <w:sz w:val="21"/>
                <w:szCs w:val="21"/>
                <w:highlight w:val="none"/>
              </w:rPr>
            </w:pPr>
            <w:r>
              <w:rPr>
                <w:rFonts w:hAnsi="宋体"/>
                <w:sz w:val="21"/>
                <w:szCs w:val="21"/>
                <w:highlight w:val="none"/>
              </w:rPr>
              <w:t>除尘设施采用高效脉冲布袋除尘器等先进除尘方式，</w:t>
            </w:r>
            <w:r>
              <w:rPr>
                <w:rFonts w:hint="eastAsia" w:hAnsi="宋体"/>
                <w:sz w:val="21"/>
                <w:szCs w:val="21"/>
                <w:highlight w:val="none"/>
              </w:rPr>
              <w:t>破碎设备的</w:t>
            </w:r>
            <w:r>
              <w:rPr>
                <w:bCs/>
                <w:sz w:val="21"/>
                <w:szCs w:val="21"/>
                <w:highlight w:val="none"/>
              </w:rPr>
              <w:t>除尘风量、集气罩尺寸以及管道直径的设计要完全满足彻底解决生产设备粉尘无组织外溢需要(单台破碎设备的除尘设计风量按大于12000m</w:t>
            </w:r>
            <w:r>
              <w:rPr>
                <w:bCs/>
                <w:sz w:val="21"/>
                <w:szCs w:val="21"/>
                <w:highlight w:val="none"/>
                <w:vertAlign w:val="superscript"/>
              </w:rPr>
              <w:t>3</w:t>
            </w:r>
            <w:r>
              <w:rPr>
                <w:bCs/>
                <w:sz w:val="21"/>
                <w:szCs w:val="21"/>
                <w:highlight w:val="none"/>
              </w:rPr>
              <w:t>/h计算）</w:t>
            </w:r>
          </w:p>
        </w:tc>
        <w:tc>
          <w:tcPr>
            <w:tcW w:w="6305" w:type="dxa"/>
            <w:vAlign w:val="center"/>
          </w:tcPr>
          <w:p>
            <w:pPr>
              <w:spacing w:line="240" w:lineRule="auto"/>
              <w:ind w:firstLine="0" w:firstLineChars="0"/>
              <w:rPr>
                <w:rFonts w:ascii="宋体" w:hAnsi="宋体"/>
                <w:b/>
                <w:bCs/>
                <w:sz w:val="21"/>
                <w:szCs w:val="21"/>
                <w:highlight w:val="none"/>
              </w:rPr>
            </w:pPr>
            <w:r>
              <w:rPr>
                <w:rFonts w:hint="eastAsia" w:cs="宋体"/>
                <w:sz w:val="21"/>
                <w:szCs w:val="21"/>
                <w:highlight w:val="none"/>
              </w:rPr>
              <w:t>本项目设1条破碎筛分生产线，在破碎、筛分环节及落料点除尘设施各采用1台离线脉冲布袋除尘器，除尘风量为</w:t>
            </w:r>
            <w:r>
              <w:rPr>
                <w:rFonts w:hint="eastAsia"/>
                <w:bCs/>
                <w:sz w:val="21"/>
                <w:szCs w:val="21"/>
                <w:highlight w:val="none"/>
              </w:rPr>
              <w:t>40000</w:t>
            </w:r>
            <w:r>
              <w:rPr>
                <w:bCs/>
                <w:sz w:val="21"/>
                <w:szCs w:val="21"/>
                <w:highlight w:val="none"/>
              </w:rPr>
              <w:t>m</w:t>
            </w:r>
            <w:r>
              <w:rPr>
                <w:bCs/>
                <w:sz w:val="21"/>
                <w:szCs w:val="21"/>
                <w:highlight w:val="none"/>
                <w:vertAlign w:val="superscript"/>
              </w:rPr>
              <w:t>3</w:t>
            </w:r>
            <w:r>
              <w:rPr>
                <w:bCs/>
                <w:sz w:val="21"/>
                <w:szCs w:val="21"/>
                <w:highlight w:val="none"/>
              </w:rPr>
              <w:t>/h</w:t>
            </w:r>
            <w:r>
              <w:rPr>
                <w:rFonts w:hint="eastAsia" w:cs="宋体"/>
                <w:sz w:val="21"/>
                <w:szCs w:val="21"/>
                <w:highlight w:val="none"/>
              </w:rPr>
              <w:t>，集气罩尺寸以及管道直径满足彻底解决生产设备粉尘无组织外溢需要</w:t>
            </w:r>
            <w:r>
              <w:rPr>
                <w:rFonts w:hint="eastAsia"/>
                <w:sz w:val="21"/>
                <w:szCs w:val="21"/>
                <w:highlight w:val="none"/>
              </w:rPr>
              <w:t>。</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eastAsia="Times New Roman"/>
                <w:sz w:val="21"/>
                <w:szCs w:val="21"/>
                <w:highlight w:val="none"/>
              </w:rPr>
            </w:pPr>
            <w:r>
              <w:rPr>
                <w:rFonts w:hint="eastAsia" w:cs="宋体"/>
                <w:sz w:val="21"/>
                <w:szCs w:val="21"/>
                <w:highlight w:val="none"/>
              </w:rPr>
              <w:t>噪声控制</w:t>
            </w:r>
          </w:p>
        </w:tc>
        <w:tc>
          <w:tcPr>
            <w:tcW w:w="6177" w:type="dxa"/>
            <w:vAlign w:val="center"/>
          </w:tcPr>
          <w:p>
            <w:pPr>
              <w:spacing w:line="240" w:lineRule="auto"/>
              <w:ind w:firstLine="0" w:firstLineChars="0"/>
              <w:rPr>
                <w:sz w:val="21"/>
                <w:szCs w:val="21"/>
                <w:highlight w:val="none"/>
              </w:rPr>
            </w:pPr>
            <w:r>
              <w:rPr>
                <w:rFonts w:hint="eastAsia" w:cs="宋体"/>
                <w:sz w:val="21"/>
                <w:szCs w:val="21"/>
                <w:highlight w:val="none"/>
              </w:rPr>
              <w:t>破碎机、振动筛、球磨机等噪声振动较大的生产设备，机座采用基础减震措施，加装減震器，并采取相应降噪措施，噪声排放达到工矿企业厂界噪声排放标准。</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本项目生产设备等均加装了基础减震垫，置于封闭带夹心彩钢板车间内，综合降噪25dB（A）以上，</w:t>
            </w:r>
            <w:r>
              <w:rPr>
                <w:rFonts w:cs="宋体"/>
                <w:sz w:val="21"/>
                <w:szCs w:val="21"/>
                <w:highlight w:val="none"/>
              </w:rPr>
              <w:t>项目厂界的噪声</w:t>
            </w:r>
            <w:r>
              <w:rPr>
                <w:rFonts w:hint="eastAsia" w:cs="宋体"/>
                <w:sz w:val="21"/>
                <w:szCs w:val="21"/>
                <w:highlight w:val="none"/>
              </w:rPr>
              <w:t>满足</w:t>
            </w:r>
            <w:r>
              <w:rPr>
                <w:rFonts w:cs="宋体"/>
                <w:sz w:val="21"/>
                <w:szCs w:val="21"/>
                <w:highlight w:val="none"/>
              </w:rPr>
              <w:t>《工业企业厂界</w:t>
            </w:r>
            <w:r>
              <w:rPr>
                <w:rFonts w:hint="eastAsia" w:cs="宋体"/>
                <w:sz w:val="21"/>
                <w:szCs w:val="21"/>
                <w:highlight w:val="none"/>
              </w:rPr>
              <w:t>环境</w:t>
            </w:r>
            <w:r>
              <w:rPr>
                <w:rFonts w:cs="宋体"/>
                <w:sz w:val="21"/>
                <w:szCs w:val="21"/>
                <w:highlight w:val="none"/>
              </w:rPr>
              <w:t>噪声排放标准》（GB12348-2008）2类标准。</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eastAsia="Times New Roman"/>
                <w:sz w:val="21"/>
                <w:szCs w:val="21"/>
                <w:highlight w:val="none"/>
              </w:rPr>
            </w:pPr>
            <w:r>
              <w:rPr>
                <w:rFonts w:hint="eastAsia" w:cs="宋体"/>
                <w:sz w:val="21"/>
                <w:szCs w:val="21"/>
                <w:highlight w:val="none"/>
              </w:rPr>
              <w:t>视频监控</w:t>
            </w:r>
          </w:p>
        </w:tc>
        <w:tc>
          <w:tcPr>
            <w:tcW w:w="6177" w:type="dxa"/>
            <w:vAlign w:val="center"/>
          </w:tcPr>
          <w:p>
            <w:pPr>
              <w:spacing w:line="240" w:lineRule="auto"/>
              <w:ind w:firstLine="0" w:firstLineChars="0"/>
              <w:rPr>
                <w:sz w:val="21"/>
                <w:szCs w:val="21"/>
                <w:highlight w:val="none"/>
              </w:rPr>
            </w:pPr>
            <w:r>
              <w:rPr>
                <w:rFonts w:hint="eastAsia" w:cs="宋体"/>
                <w:sz w:val="21"/>
                <w:szCs w:val="21"/>
                <w:highlight w:val="none"/>
              </w:rPr>
              <w:t>生产作业区按要求设置视频监控，并与唐山市环保局遵化市分局联网</w:t>
            </w:r>
            <w:r>
              <w:rPr>
                <w:rFonts w:hint="eastAsia"/>
                <w:sz w:val="21"/>
                <w:szCs w:val="21"/>
                <w:highlight w:val="none"/>
              </w:rPr>
              <w:t>，</w:t>
            </w:r>
            <w:r>
              <w:rPr>
                <w:rFonts w:hint="eastAsia" w:cs="宋体"/>
                <w:sz w:val="21"/>
                <w:szCs w:val="21"/>
                <w:highlight w:val="none"/>
              </w:rPr>
              <w:t>实现</w:t>
            </w:r>
            <w:r>
              <w:rPr>
                <w:sz w:val="21"/>
                <w:szCs w:val="21"/>
                <w:highlight w:val="none"/>
              </w:rPr>
              <w:t>24</w:t>
            </w:r>
            <w:r>
              <w:rPr>
                <w:rFonts w:hint="eastAsia" w:cs="宋体"/>
                <w:sz w:val="21"/>
                <w:szCs w:val="21"/>
                <w:highlight w:val="none"/>
              </w:rPr>
              <w:t>小时视频监控。对发现的超标排放、无组织粉尘、扬尘污染问题，按照相关法律法规子以从严处罚。</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本项目</w:t>
            </w:r>
            <w:r>
              <w:rPr>
                <w:rFonts w:hint="eastAsia" w:cs="宋体"/>
                <w:sz w:val="21"/>
                <w:szCs w:val="21"/>
                <w:highlight w:val="none"/>
                <w:lang w:val="en-US" w:eastAsia="zh-CN"/>
              </w:rPr>
              <w:t>成品</w:t>
            </w:r>
            <w:r>
              <w:rPr>
                <w:rFonts w:hint="eastAsia" w:cs="宋体"/>
                <w:sz w:val="21"/>
                <w:szCs w:val="21"/>
                <w:highlight w:val="none"/>
              </w:rPr>
              <w:t>库门口及库房内、生产车间内、布袋除尘器设置视频监控，并与唐山市环境保护局遵化市分局联网，实现24小时视频监控。</w:t>
            </w:r>
          </w:p>
        </w:tc>
        <w:tc>
          <w:tcPr>
            <w:tcW w:w="822" w:type="dxa"/>
            <w:vAlign w:val="center"/>
          </w:tcPr>
          <w:p>
            <w:pPr>
              <w:spacing w:line="240" w:lineRule="auto"/>
              <w:ind w:firstLine="0" w:firstLineChars="0"/>
              <w:jc w:val="center"/>
              <w:rPr>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eastAsia="Times New Roman"/>
                <w:sz w:val="21"/>
                <w:szCs w:val="21"/>
                <w:highlight w:val="none"/>
              </w:rPr>
            </w:pPr>
            <w:r>
              <w:rPr>
                <w:rFonts w:hint="eastAsia" w:cs="宋体"/>
                <w:sz w:val="21"/>
                <w:szCs w:val="21"/>
                <w:highlight w:val="none"/>
              </w:rPr>
              <w:t>排放限值</w:t>
            </w:r>
          </w:p>
        </w:tc>
        <w:tc>
          <w:tcPr>
            <w:tcW w:w="6177" w:type="dxa"/>
            <w:vAlign w:val="center"/>
          </w:tcPr>
          <w:p>
            <w:pPr>
              <w:spacing w:line="240" w:lineRule="auto"/>
              <w:ind w:firstLine="0" w:firstLineChars="0"/>
              <w:jc w:val="both"/>
              <w:rPr>
                <w:sz w:val="21"/>
                <w:szCs w:val="21"/>
                <w:highlight w:val="none"/>
              </w:rPr>
            </w:pPr>
            <w:r>
              <w:rPr>
                <w:rFonts w:hint="eastAsia" w:cs="宋体"/>
                <w:sz w:val="21"/>
                <w:szCs w:val="21"/>
                <w:highlight w:val="none"/>
              </w:rPr>
              <w:t>按照环境保护部发布的《铁矿采选工业污染物排放标准》（GB28661-2012），执行表5新建企业大气污染物排放限值，选矿厂的矿石运输、转载、矿仓、破碎等生产工序或设施颗粒物最高允许排放限值为</w:t>
            </w:r>
            <w:r>
              <w:rPr>
                <w:rFonts w:hint="eastAsia"/>
                <w:sz w:val="21"/>
                <w:szCs w:val="21"/>
                <w:highlight w:val="none"/>
              </w:rPr>
              <w:t>2</w:t>
            </w:r>
            <w:r>
              <w:rPr>
                <w:sz w:val="21"/>
                <w:szCs w:val="21"/>
                <w:highlight w:val="none"/>
              </w:rPr>
              <w:t>0mg/m</w:t>
            </w:r>
            <w:r>
              <w:rPr>
                <w:sz w:val="21"/>
                <w:szCs w:val="21"/>
                <w:highlight w:val="none"/>
                <w:vertAlign w:val="superscript"/>
              </w:rPr>
              <w:t>3</w:t>
            </w:r>
            <w:r>
              <w:rPr>
                <w:rFonts w:hint="eastAsia" w:cs="宋体"/>
                <w:sz w:val="21"/>
                <w:szCs w:val="21"/>
                <w:highlight w:val="none"/>
              </w:rPr>
              <w:t>，选矿厂、尾矿库等作业场所颗粒物无组织排放限值为</w:t>
            </w:r>
            <w:r>
              <w:rPr>
                <w:rFonts w:hint="eastAsia"/>
                <w:sz w:val="21"/>
                <w:szCs w:val="21"/>
                <w:highlight w:val="none"/>
              </w:rPr>
              <w:t>1.0</w:t>
            </w:r>
            <w:r>
              <w:rPr>
                <w:sz w:val="21"/>
                <w:szCs w:val="21"/>
                <w:highlight w:val="none"/>
              </w:rPr>
              <w:t>mg/m</w:t>
            </w:r>
            <w:r>
              <w:rPr>
                <w:sz w:val="21"/>
                <w:szCs w:val="21"/>
                <w:highlight w:val="none"/>
                <w:vertAlign w:val="superscript"/>
              </w:rPr>
              <w:t>3</w:t>
            </w:r>
            <w:r>
              <w:rPr>
                <w:sz w:val="21"/>
                <w:szCs w:val="21"/>
                <w:highlight w:val="none"/>
              </w:rPr>
              <w:t xml:space="preserve"> (</w:t>
            </w:r>
            <w:r>
              <w:rPr>
                <w:rFonts w:hint="eastAsia" w:cs="宋体"/>
                <w:sz w:val="21"/>
                <w:szCs w:val="21"/>
                <w:highlight w:val="none"/>
              </w:rPr>
              <w:t>厂界外</w:t>
            </w:r>
            <w:r>
              <w:rPr>
                <w:sz w:val="21"/>
                <w:szCs w:val="21"/>
                <w:highlight w:val="none"/>
              </w:rPr>
              <w:t>10</w:t>
            </w:r>
            <w:r>
              <w:rPr>
                <w:rFonts w:hint="eastAsia" w:cs="宋体"/>
                <w:sz w:val="21"/>
                <w:szCs w:val="21"/>
                <w:highlight w:val="none"/>
              </w:rPr>
              <w:t>米处</w:t>
            </w:r>
            <w:r>
              <w:rPr>
                <w:sz w:val="21"/>
                <w:szCs w:val="21"/>
                <w:highlight w:val="none"/>
              </w:rPr>
              <w:t>)</w:t>
            </w:r>
            <w:r>
              <w:rPr>
                <w:rFonts w:hint="eastAsia" w:ascii="宋体" w:hAnsi="宋体" w:cs="宋体"/>
                <w:sz w:val="21"/>
                <w:szCs w:val="21"/>
                <w:highlight w:val="none"/>
              </w:rPr>
              <w:t>。</w:t>
            </w:r>
          </w:p>
        </w:tc>
        <w:tc>
          <w:tcPr>
            <w:tcW w:w="6305" w:type="dxa"/>
            <w:vAlign w:val="center"/>
          </w:tcPr>
          <w:p>
            <w:pPr>
              <w:spacing w:line="240" w:lineRule="auto"/>
              <w:ind w:firstLine="0" w:firstLineChars="0"/>
              <w:jc w:val="both"/>
              <w:rPr>
                <w:sz w:val="21"/>
                <w:szCs w:val="21"/>
                <w:highlight w:val="none"/>
              </w:rPr>
            </w:pPr>
            <w:r>
              <w:rPr>
                <w:rFonts w:hint="eastAsia" w:cs="宋体"/>
                <w:sz w:val="21"/>
                <w:szCs w:val="21"/>
                <w:highlight w:val="none"/>
              </w:rPr>
              <w:t>采取相应措施后颗粒物排放满足《铁矿采选工业污染物排放标准》（GB28661-2012）表6新建企业大气污染物特别排放限值，选矿厂的矿石运输、转载、矿仓、破碎等生产工序或设施颗粒物最高允许排放限值为</w:t>
            </w:r>
            <w:r>
              <w:rPr>
                <w:rFonts w:hint="eastAsia"/>
                <w:sz w:val="21"/>
                <w:szCs w:val="21"/>
                <w:highlight w:val="none"/>
              </w:rPr>
              <w:t>10</w:t>
            </w:r>
            <w:r>
              <w:rPr>
                <w:sz w:val="21"/>
                <w:szCs w:val="21"/>
                <w:highlight w:val="none"/>
              </w:rPr>
              <w:t>mg/m</w:t>
            </w:r>
            <w:r>
              <w:rPr>
                <w:sz w:val="21"/>
                <w:szCs w:val="21"/>
                <w:highlight w:val="none"/>
                <w:vertAlign w:val="superscript"/>
              </w:rPr>
              <w:t>3</w:t>
            </w:r>
            <w:r>
              <w:rPr>
                <w:rFonts w:hint="eastAsia" w:cs="宋体"/>
                <w:sz w:val="21"/>
                <w:szCs w:val="21"/>
                <w:highlight w:val="none"/>
              </w:rPr>
              <w:t>，选矿厂、尾矿库等作业场所颗粒物无组织排放限值为</w:t>
            </w:r>
            <w:r>
              <w:rPr>
                <w:rFonts w:hint="eastAsia"/>
                <w:sz w:val="21"/>
                <w:szCs w:val="21"/>
                <w:highlight w:val="none"/>
              </w:rPr>
              <w:t>1.0</w:t>
            </w:r>
            <w:r>
              <w:rPr>
                <w:sz w:val="21"/>
                <w:szCs w:val="21"/>
                <w:highlight w:val="none"/>
              </w:rPr>
              <w:t>mg/m</w:t>
            </w:r>
            <w:r>
              <w:rPr>
                <w:sz w:val="21"/>
                <w:szCs w:val="21"/>
                <w:highlight w:val="none"/>
                <w:vertAlign w:val="superscript"/>
              </w:rPr>
              <w:t>3</w:t>
            </w:r>
            <w:r>
              <w:rPr>
                <w:rFonts w:hint="eastAsia"/>
                <w:sz w:val="21"/>
                <w:szCs w:val="21"/>
                <w:highlight w:val="none"/>
              </w:rPr>
              <w:t>（</w:t>
            </w:r>
            <w:r>
              <w:rPr>
                <w:rFonts w:hint="eastAsia" w:cs="宋体"/>
                <w:sz w:val="21"/>
                <w:szCs w:val="21"/>
                <w:highlight w:val="none"/>
              </w:rPr>
              <w:t>厂界外</w:t>
            </w:r>
            <w:r>
              <w:rPr>
                <w:sz w:val="21"/>
                <w:szCs w:val="21"/>
                <w:highlight w:val="none"/>
              </w:rPr>
              <w:t>10</w:t>
            </w:r>
            <w:r>
              <w:rPr>
                <w:rFonts w:hint="eastAsia" w:cs="宋体"/>
                <w:sz w:val="21"/>
                <w:szCs w:val="21"/>
                <w:highlight w:val="none"/>
              </w:rPr>
              <w:t>米处）</w:t>
            </w:r>
            <w:r>
              <w:rPr>
                <w:rFonts w:hint="eastAsia" w:ascii="宋体" w:hAnsi="宋体" w:cs="宋体"/>
                <w:sz w:val="21"/>
                <w:szCs w:val="21"/>
                <w:highlight w:val="none"/>
              </w:rPr>
              <w:t>。</w:t>
            </w:r>
          </w:p>
        </w:tc>
        <w:tc>
          <w:tcPr>
            <w:tcW w:w="822" w:type="dxa"/>
            <w:vAlign w:val="center"/>
          </w:tcPr>
          <w:p>
            <w:pPr>
              <w:spacing w:line="240" w:lineRule="auto"/>
              <w:ind w:firstLine="0" w:firstLineChars="0"/>
              <w:jc w:val="center"/>
              <w:rPr>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restart"/>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规范管理</w:t>
            </w:r>
          </w:p>
        </w:tc>
        <w:tc>
          <w:tcPr>
            <w:tcW w:w="6177"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设置专职环保管理人员，管理人员要熟悉环保业务，具备企业日常环境管理经验。</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设有专职环保管理人员，熟悉环保业务，具备相关管理经验。</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continue"/>
            <w:vAlign w:val="center"/>
          </w:tcPr>
          <w:p>
            <w:pPr>
              <w:spacing w:line="240" w:lineRule="auto"/>
              <w:ind w:firstLine="0" w:firstLineChars="0"/>
              <w:rPr>
                <w:rFonts w:cs="宋体"/>
                <w:sz w:val="21"/>
                <w:szCs w:val="21"/>
                <w:highlight w:val="none"/>
              </w:rPr>
            </w:pPr>
          </w:p>
        </w:tc>
        <w:tc>
          <w:tcPr>
            <w:tcW w:w="6177"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建立企业环境管理制度、严格岗位管理及排污口规范化管理，建立健全运行管理制度，明确岗位环保职责和日常环保行为规范、建立和落实环保岗位考核制度。</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制定企业环境管理制度，明确了岗位环保职责和日常环保行为规范、建立和落实环保岗位考核制度。</w:t>
            </w:r>
          </w:p>
        </w:tc>
        <w:tc>
          <w:tcPr>
            <w:tcW w:w="822" w:type="dxa"/>
            <w:vMerge w:val="restart"/>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continue"/>
            <w:vAlign w:val="center"/>
          </w:tcPr>
          <w:p>
            <w:pPr>
              <w:spacing w:line="240" w:lineRule="auto"/>
              <w:ind w:firstLine="0" w:firstLineChars="0"/>
              <w:rPr>
                <w:rFonts w:cs="宋体"/>
                <w:sz w:val="21"/>
                <w:szCs w:val="21"/>
                <w:highlight w:val="none"/>
              </w:rPr>
            </w:pPr>
          </w:p>
        </w:tc>
        <w:tc>
          <w:tcPr>
            <w:tcW w:w="6177"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制定和落实生产设备设施和污染防治设施运行维护和管理制度，建立环保设施运行台账，确保各项设备设施稳定、正常运行。</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制定《环保管理制度》、《环保岗位考核制度》、《环保设备管理制度》、《污染防治设施运行管理制度》，建立环保设施运行台账，保证各项设备设施稳定、正常运行。</w:t>
            </w:r>
          </w:p>
        </w:tc>
        <w:tc>
          <w:tcPr>
            <w:tcW w:w="822" w:type="dxa"/>
            <w:vMerge w:val="continue"/>
            <w:vAlign w:val="center"/>
          </w:tcPr>
          <w:p>
            <w:pPr>
              <w:spacing w:line="240" w:lineRule="auto"/>
              <w:ind w:firstLine="0" w:firstLineChars="0"/>
              <w:jc w:val="center"/>
              <w:rPr>
                <w:rFonts w:cs="宋体"/>
                <w:sz w:val="21"/>
                <w:szCs w:val="21"/>
                <w:highlight w:val="none"/>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continue"/>
            <w:vAlign w:val="center"/>
          </w:tcPr>
          <w:p>
            <w:pPr>
              <w:spacing w:line="240" w:lineRule="auto"/>
              <w:ind w:firstLine="0" w:firstLineChars="0"/>
              <w:rPr>
                <w:rFonts w:cs="宋体"/>
                <w:sz w:val="21"/>
                <w:szCs w:val="21"/>
                <w:highlight w:val="none"/>
              </w:rPr>
            </w:pPr>
          </w:p>
        </w:tc>
        <w:tc>
          <w:tcPr>
            <w:tcW w:w="6177" w:type="dxa"/>
            <w:vAlign w:val="center"/>
          </w:tcPr>
          <w:p>
            <w:pPr>
              <w:spacing w:line="240" w:lineRule="auto"/>
              <w:ind w:firstLine="0" w:firstLineChars="0"/>
              <w:rPr>
                <w:rFonts w:cs="宋体"/>
                <w:sz w:val="21"/>
                <w:szCs w:val="21"/>
                <w:highlight w:val="none"/>
              </w:rPr>
            </w:pPr>
            <w:r>
              <w:rPr>
                <w:rFonts w:hint="eastAsia" w:cs="宋体"/>
                <w:sz w:val="21"/>
                <w:szCs w:val="21"/>
                <w:highlight w:val="none"/>
              </w:rPr>
              <w:t>落实环境污染报告制度、环境巡查制度、环保事故管理制度。</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落实环境污染报告制度、环境巡查制度、环保事故管理制度。</w:t>
            </w:r>
          </w:p>
        </w:tc>
        <w:tc>
          <w:tcPr>
            <w:tcW w:w="822" w:type="dxa"/>
            <w:vMerge w:val="continue"/>
            <w:vAlign w:val="center"/>
          </w:tcPr>
          <w:p>
            <w:pPr>
              <w:spacing w:line="240" w:lineRule="auto"/>
              <w:ind w:firstLine="0" w:firstLineChars="0"/>
              <w:jc w:val="center"/>
              <w:rPr>
                <w:rFonts w:cs="宋体"/>
                <w:sz w:val="21"/>
                <w:szCs w:val="21"/>
                <w:highlight w:val="none"/>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场区及道路硬化绿化</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配套采矿至公路路网、铁选矿厂区运输通道及成品库房至公路路网道路的硬化、绿化，路面宽度6米，水泥混凝土厚度不低于0.3米，路基宽度6.5米（按照田间道路的标准执行），要在合理位置安装自动洗车设备。两侧要参照三级公路绿化标准进行绿化，每侧需栽植两行胸径不低于10厘米的绿化树木，株距5米，并保证整体绿化效果。每座选矿必须配备一台清扫车和一台洒水车，生产期间，道路路面不间断清扫保洁、洒水抑尘，保持路面整洁、湿润不起尘，有效防止运输环节扬尘污染，同时车辆拉货上路时不允许沥水。两家以上铁选矿共用的运输道路，其硬化、绿化、清扫洒水工作，由所在乡镇政府组织协调，相关企业共同出资解决。</w:t>
            </w:r>
          </w:p>
        </w:tc>
        <w:tc>
          <w:tcPr>
            <w:tcW w:w="6305" w:type="dxa"/>
            <w:vAlign w:val="center"/>
          </w:tcPr>
          <w:p>
            <w:pPr>
              <w:spacing w:line="240" w:lineRule="auto"/>
              <w:ind w:firstLine="0" w:firstLineChars="0"/>
              <w:rPr>
                <w:sz w:val="21"/>
                <w:szCs w:val="21"/>
                <w:highlight w:val="none"/>
              </w:rPr>
            </w:pPr>
            <w:r>
              <w:rPr>
                <w:rFonts w:hint="eastAsia"/>
                <w:sz w:val="21"/>
                <w:szCs w:val="21"/>
                <w:highlight w:val="none"/>
              </w:rPr>
              <w:t>建设配套原料及产品运输道路（厂区距离邦宽线0.</w:t>
            </w:r>
            <w:r>
              <w:rPr>
                <w:sz w:val="21"/>
                <w:szCs w:val="21"/>
                <w:highlight w:val="none"/>
              </w:rPr>
              <w:t>4</w:t>
            </w:r>
            <w:r>
              <w:rPr>
                <w:rFonts w:hint="eastAsia"/>
                <w:sz w:val="21"/>
                <w:szCs w:val="21"/>
                <w:highlight w:val="none"/>
              </w:rPr>
              <w:t>km，均为村外乡间道路，水泥硬化），路面宽度6m，水泥混凝土厚度不低于0.3m，路基宽度6.5m，在精粉库及厂区门口安装洗车设备。道路两侧按照三级公路绿化标准进行绿化。</w:t>
            </w:r>
          </w:p>
          <w:p>
            <w:pPr>
              <w:spacing w:line="240" w:lineRule="auto"/>
              <w:ind w:firstLine="0" w:firstLineChars="0"/>
              <w:rPr>
                <w:sz w:val="21"/>
                <w:szCs w:val="21"/>
                <w:highlight w:val="none"/>
              </w:rPr>
            </w:pPr>
            <w:r>
              <w:rPr>
                <w:rFonts w:hint="eastAsia"/>
                <w:sz w:val="21"/>
                <w:szCs w:val="21"/>
                <w:highlight w:val="none"/>
              </w:rPr>
              <w:t>厂区内配备1台清扫车和1台洒水车，生产期间，保证道路路面不间断清扫保洁、洒水抑尘，保持路面整洁、湿润不起尘，有效防止运输环节扬尘污染，同时车辆拉货上路时不允许沥水。</w:t>
            </w:r>
          </w:p>
          <w:p>
            <w:pPr>
              <w:spacing w:line="240" w:lineRule="auto"/>
              <w:ind w:firstLine="0" w:firstLineChars="0"/>
              <w:jc w:val="both"/>
              <w:rPr>
                <w:sz w:val="21"/>
                <w:szCs w:val="21"/>
                <w:highlight w:val="none"/>
              </w:rPr>
            </w:pPr>
            <w:r>
              <w:rPr>
                <w:rFonts w:hint="eastAsia"/>
                <w:sz w:val="21"/>
                <w:szCs w:val="21"/>
                <w:highlight w:val="none"/>
              </w:rPr>
              <w:t>企业厂区外运输道路的绿化、硬化、清扫、洒水工作，由本企业出资解决。</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sz w:val="21"/>
                <w:szCs w:val="21"/>
                <w:highlight w:val="none"/>
              </w:rPr>
              <w:t>生产规模</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粗选年处理原矿能力不得低于15万吨，精选年处理铁粉能力不得低于20万吨。</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本项目</w:t>
            </w:r>
            <w:r>
              <w:rPr>
                <w:rFonts w:hint="eastAsia"/>
                <w:sz w:val="21"/>
                <w:szCs w:val="21"/>
                <w:highlight w:val="none"/>
                <w:lang w:val="en-US" w:eastAsia="zh-CN"/>
              </w:rPr>
              <w:t>实施后全厂</w:t>
            </w:r>
            <w:r>
              <w:rPr>
                <w:rFonts w:hint="eastAsia"/>
                <w:sz w:val="21"/>
                <w:szCs w:val="21"/>
                <w:highlight w:val="none"/>
              </w:rPr>
              <w:t>年处理铁矿石（原矿）</w:t>
            </w:r>
            <w:r>
              <w:rPr>
                <w:rFonts w:hint="eastAsia"/>
                <w:sz w:val="21"/>
                <w:szCs w:val="21"/>
                <w:highlight w:val="none"/>
                <w:lang w:val="en-US" w:eastAsia="zh-CN"/>
              </w:rPr>
              <w:t>6</w:t>
            </w:r>
            <w:r>
              <w:rPr>
                <w:rFonts w:hint="eastAsia"/>
                <w:sz w:val="21"/>
                <w:szCs w:val="21"/>
                <w:highlight w:val="none"/>
              </w:rPr>
              <w:t>0万吨、粗精矿30万吨。</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sz w:val="21"/>
                <w:szCs w:val="21"/>
                <w:highlight w:val="none"/>
              </w:rPr>
              <w:t>无入河排污口</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对于临河建设的选矿企业均不得设置入河排污口，生产过程中产生的污水必须排入低于地面的尾矿库，并定期进行清理；建设沉砂池及净水池，提高水循环利用率。</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本项目不临河道，无入河排污口。项目不建设尾矿库，生产废水循环利用不外排。</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sz w:val="21"/>
                <w:szCs w:val="21"/>
                <w:highlight w:val="none"/>
              </w:rPr>
              <w:t>符合河库安全保护距离</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水库安全保护距离为淹没线以外500米；重点河道黎河、沙河、淋河、魏进河为河提外坡脚以外100米，其中尾矿库距离河道不低于150米；一般性河道为50米，其中尾矿库距离不能低于100米；支流及排水沟渠为20米，其中尾矿库距离不能低于50米。河库安全保护范围内不再新设铁选矿。对保护距离范围内已有的铁选矿，实施绿化隔离，在河提与选矿间建立绿化隔离带，其中重点保护区域在河堤外绿化厚度不低于30米、一般性河道河堤外绿化厚度不低于20米、支流及其他河流河堤外绿化厚度不低于10米，种植要求乔木与灌木相结合。</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本项目周边500m范围内无河流及水库，同时取得遵化市水务局满足河库安全距离的证明。</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旅游景区、景点周边或通往景区的旅游线路两侧有碍观瞻的铁选矿，合理设置景观墙或景观带消除观瞻影响。</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项目不在旅游景区、景点周边或通往景区的旅游线路两侧。</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bookmarkEnd w:id="222"/>
    </w:tbl>
    <w:p>
      <w:pPr>
        <w:ind w:firstLine="0" w:firstLineChars="0"/>
        <w:jc w:val="both"/>
        <w:rPr>
          <w:b/>
          <w:highlight w:val="green"/>
        </w:rPr>
      </w:pPr>
    </w:p>
    <w:p>
      <w:pPr>
        <w:ind w:firstLine="480"/>
        <w:jc w:val="center"/>
        <w:rPr>
          <w:sz w:val="24"/>
          <w:szCs w:val="24"/>
          <w:highlight w:val="green"/>
        </w:rPr>
      </w:pPr>
    </w:p>
    <w:p>
      <w:pPr>
        <w:ind w:firstLine="480"/>
        <w:jc w:val="center"/>
        <w:rPr>
          <w:sz w:val="24"/>
          <w:szCs w:val="24"/>
          <w:highlight w:val="gree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linePitch="381" w:charSpace="0"/>
        </w:sectPr>
      </w:pPr>
    </w:p>
    <w:p>
      <w:pPr>
        <w:pStyle w:val="234"/>
        <w:tabs>
          <w:tab w:val="left" w:pos="1038"/>
        </w:tabs>
        <w:spacing w:line="480" w:lineRule="exact"/>
        <w:ind w:firstLine="0" w:firstLineChars="0"/>
        <w:outlineLvl w:val="3"/>
        <w:rPr>
          <w:sz w:val="24"/>
          <w:szCs w:val="24"/>
          <w:highlight w:val="none"/>
        </w:rPr>
      </w:pPr>
      <w:r>
        <w:rPr>
          <w:rFonts w:hint="eastAsia"/>
          <w:sz w:val="24"/>
          <w:szCs w:val="24"/>
          <w:highlight w:val="none"/>
        </w:rPr>
        <w:t>2.6.1.10</w:t>
      </w:r>
      <w:r>
        <w:rPr>
          <w:sz w:val="24"/>
          <w:szCs w:val="24"/>
          <w:highlight w:val="none"/>
        </w:rPr>
        <w:t>与《</w:t>
      </w:r>
      <w:r>
        <w:rPr>
          <w:rFonts w:hint="eastAsia"/>
          <w:sz w:val="24"/>
          <w:szCs w:val="24"/>
          <w:highlight w:val="none"/>
        </w:rPr>
        <w:t>唐山市大气污染防治工作领导小组办公室关于印发《唐山市钢铁行业整治提升工作方案》等10项方案的通知</w:t>
      </w:r>
      <w:r>
        <w:rPr>
          <w:sz w:val="24"/>
          <w:szCs w:val="24"/>
          <w:highlight w:val="none"/>
        </w:rPr>
        <w:t>》（</w:t>
      </w:r>
      <w:r>
        <w:rPr>
          <w:rFonts w:hint="eastAsia"/>
          <w:sz w:val="24"/>
          <w:szCs w:val="24"/>
          <w:highlight w:val="none"/>
        </w:rPr>
        <w:t>唐气领</w:t>
      </w:r>
      <w:r>
        <w:rPr>
          <w:sz w:val="24"/>
          <w:szCs w:val="24"/>
          <w:highlight w:val="none"/>
        </w:rPr>
        <w:t>办[20</w:t>
      </w:r>
      <w:r>
        <w:rPr>
          <w:rFonts w:hint="eastAsia"/>
          <w:sz w:val="24"/>
          <w:szCs w:val="24"/>
          <w:highlight w:val="none"/>
        </w:rPr>
        <w:t>21</w:t>
      </w:r>
      <w:r>
        <w:rPr>
          <w:sz w:val="24"/>
          <w:szCs w:val="24"/>
          <w:highlight w:val="none"/>
        </w:rPr>
        <w:t>]</w:t>
      </w:r>
      <w:r>
        <w:rPr>
          <w:rFonts w:hint="eastAsia"/>
          <w:sz w:val="24"/>
          <w:szCs w:val="24"/>
          <w:highlight w:val="none"/>
        </w:rPr>
        <w:t>15</w:t>
      </w:r>
      <w:r>
        <w:rPr>
          <w:sz w:val="24"/>
          <w:szCs w:val="24"/>
          <w:highlight w:val="none"/>
        </w:rPr>
        <w:t>号）相符性分析</w:t>
      </w:r>
    </w:p>
    <w:p>
      <w:pPr>
        <w:pStyle w:val="234"/>
        <w:widowControl/>
        <w:tabs>
          <w:tab w:val="left" w:pos="1038"/>
        </w:tabs>
        <w:spacing w:line="480" w:lineRule="exact"/>
        <w:ind w:firstLine="480"/>
        <w:rPr>
          <w:sz w:val="24"/>
          <w:szCs w:val="24"/>
          <w:highlight w:val="none"/>
        </w:rPr>
      </w:pPr>
      <w:r>
        <w:rPr>
          <w:rFonts w:hint="eastAsia"/>
          <w:sz w:val="24"/>
          <w:szCs w:val="24"/>
          <w:highlight w:val="none"/>
        </w:rPr>
        <w:t>参照该文件对相关行业原料存储转运、破碎上料、厂容厂貌、运输方式和运输监管等相关要求，结合本项目的建设特点，进行如下符合性分析。</w:t>
      </w:r>
    </w:p>
    <w:p>
      <w:pPr>
        <w:pStyle w:val="13"/>
        <w:spacing w:line="480" w:lineRule="exact"/>
        <w:ind w:firstLine="480"/>
        <w:rPr>
          <w:rFonts w:eastAsia="黑体"/>
          <w:color w:val="auto"/>
          <w:kern w:val="2"/>
          <w:sz w:val="21"/>
          <w:szCs w:val="21"/>
          <w:highlight w:val="none"/>
        </w:rPr>
      </w:pPr>
      <w:r>
        <w:rPr>
          <w:rFonts w:hint="eastAsia"/>
          <w:szCs w:val="24"/>
          <w:highlight w:val="none"/>
        </w:rPr>
        <w:t xml:space="preserve">    </w:t>
      </w:r>
      <w:r>
        <w:rPr>
          <w:color w:val="auto"/>
          <w:highlight w:val="none"/>
        </w:rPr>
        <w:t xml:space="preserve">表 </w:t>
      </w:r>
      <w:r>
        <w:rPr>
          <w:rFonts w:hint="eastAsia"/>
          <w:color w:val="auto"/>
          <w:highlight w:val="none"/>
          <w:lang w:val="en-US" w:eastAsia="zh-CN"/>
        </w:rPr>
        <w:t>2.</w:t>
      </w:r>
      <w:r>
        <w:rPr>
          <w:rFonts w:hint="eastAsia"/>
          <w:color w:val="auto"/>
          <w:highlight w:val="none"/>
        </w:rPr>
        <w:t>6</w:t>
      </w:r>
      <w:r>
        <w:rPr>
          <w:color w:val="auto"/>
          <w:highlight w:val="none"/>
        </w:rPr>
        <w:t>–</w:t>
      </w:r>
      <w:r>
        <w:rPr>
          <w:rFonts w:hint="eastAsia"/>
          <w:color w:val="auto"/>
          <w:highlight w:val="none"/>
        </w:rPr>
        <w:t>7</w:t>
      </w:r>
      <w:r>
        <w:rPr>
          <w:color w:val="auto"/>
          <w:highlight w:val="none"/>
        </w:rPr>
        <w:t xml:space="preserve">     与《</w:t>
      </w:r>
      <w:r>
        <w:rPr>
          <w:rFonts w:hint="eastAsia"/>
          <w:color w:val="auto"/>
          <w:highlight w:val="none"/>
        </w:rPr>
        <w:t>唐山市大气污染防治工作领导小组办公室关于印发《唐山市钢铁行业整治提升工作方案》等10项方案的通知</w:t>
      </w:r>
      <w:r>
        <w:rPr>
          <w:color w:val="auto"/>
          <w:highlight w:val="none"/>
        </w:rPr>
        <w:t>》相符性分析</w:t>
      </w:r>
    </w:p>
    <w:tbl>
      <w:tblPr>
        <w:tblStyle w:val="48"/>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15"/>
        <w:gridCol w:w="3715"/>
        <w:gridCol w:w="3795"/>
        <w:gridCol w:w="49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内容</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210" w:firstLineChars="100"/>
              <w:rPr>
                <w:sz w:val="21"/>
                <w:szCs w:val="21"/>
                <w:highlight w:val="none"/>
                <w:lang w:val="zh-CN"/>
              </w:rPr>
            </w:pPr>
            <w:r>
              <w:rPr>
                <w:rFonts w:hint="eastAsia"/>
                <w:sz w:val="21"/>
                <w:szCs w:val="21"/>
                <w:highlight w:val="none"/>
                <w:lang w:val="zh-CN"/>
              </w:rPr>
              <w:t>参照唐气领办[20</w:t>
            </w:r>
            <w:r>
              <w:rPr>
                <w:rFonts w:hint="eastAsia"/>
                <w:sz w:val="21"/>
                <w:szCs w:val="21"/>
                <w:highlight w:val="none"/>
              </w:rPr>
              <w:t>21</w:t>
            </w:r>
            <w:r>
              <w:rPr>
                <w:rFonts w:hint="eastAsia"/>
                <w:sz w:val="21"/>
                <w:szCs w:val="21"/>
                <w:highlight w:val="none"/>
                <w:lang w:val="zh-CN"/>
              </w:rPr>
              <w:t>]</w:t>
            </w:r>
            <w:r>
              <w:rPr>
                <w:rFonts w:hint="eastAsia"/>
                <w:sz w:val="21"/>
                <w:szCs w:val="21"/>
                <w:highlight w:val="none"/>
              </w:rPr>
              <w:t>15</w:t>
            </w:r>
            <w:r>
              <w:rPr>
                <w:rFonts w:hint="eastAsia"/>
                <w:sz w:val="21"/>
                <w:szCs w:val="21"/>
                <w:highlight w:val="none"/>
                <w:lang w:val="zh-CN"/>
              </w:rPr>
              <w:t>号相关要求</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1050" w:firstLineChars="500"/>
              <w:rPr>
                <w:sz w:val="21"/>
                <w:szCs w:val="21"/>
                <w:highlight w:val="none"/>
                <w:lang w:val="zh-CN"/>
              </w:rPr>
            </w:pPr>
            <w:r>
              <w:rPr>
                <w:rFonts w:hint="eastAsia"/>
                <w:sz w:val="21"/>
                <w:szCs w:val="21"/>
                <w:highlight w:val="none"/>
                <w:lang w:val="zh-CN"/>
              </w:rPr>
              <w:t>项目拟建情况</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vMerge w:val="restart"/>
            <w:tcBorders>
              <w:top w:val="single" w:color="auto" w:sz="4" w:space="0"/>
              <w:left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原料储存转运</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所有散状物料全部采用封闭的料棚（料仓）储存，且料棚地面全部硬化，不得露天堆存。料棚内部采取顶部雾化喷淋、重点区域喷雾等抑尘措施，做到抑尘全覆盖。非冷冻期采用顶部雾化喷淋方式；冷冻期采取温水、添加防冻物质或辅助电加热等防冻方式，或产尘作业面采用局部雾炮方式达到抑尘效果。料棚主要出入口改为自动感应门，确保作业时料场处于全封闭状态。</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bCs/>
                <w:sz w:val="21"/>
                <w:szCs w:val="21"/>
                <w:highlight w:val="none"/>
              </w:rPr>
              <w:t>原料</w:t>
            </w:r>
            <w:r>
              <w:rPr>
                <w:rFonts w:hint="eastAsia"/>
                <w:bCs/>
                <w:sz w:val="21"/>
                <w:szCs w:val="21"/>
                <w:highlight w:val="none"/>
                <w:lang w:val="en-US" w:eastAsia="zh-CN"/>
              </w:rPr>
              <w:t>不在厂区</w:t>
            </w:r>
            <w:r>
              <w:rPr>
                <w:rFonts w:hint="eastAsia"/>
                <w:bCs/>
                <w:sz w:val="21"/>
                <w:szCs w:val="21"/>
                <w:highlight w:val="none"/>
              </w:rPr>
              <w:t>堆存，</w:t>
            </w:r>
            <w:r>
              <w:rPr>
                <w:bCs/>
                <w:sz w:val="21"/>
                <w:szCs w:val="21"/>
                <w:highlight w:val="none"/>
              </w:rPr>
              <w:t>设置</w:t>
            </w:r>
            <w:r>
              <w:rPr>
                <w:rFonts w:hint="eastAsia" w:cs="宋体"/>
                <w:sz w:val="21"/>
                <w:szCs w:val="21"/>
                <w:highlight w:val="none"/>
              </w:rPr>
              <w:t>建三面围挡并带顶的料棚，料棚进深尺度不小于</w:t>
            </w:r>
            <w:r>
              <w:rPr>
                <w:sz w:val="21"/>
                <w:szCs w:val="21"/>
                <w:highlight w:val="none"/>
              </w:rPr>
              <w:t>8</w:t>
            </w:r>
            <w:r>
              <w:rPr>
                <w:rFonts w:hint="eastAsia" w:cs="宋体"/>
                <w:sz w:val="21"/>
                <w:szCs w:val="21"/>
                <w:highlight w:val="none"/>
              </w:rPr>
              <w:t>米，受料仓设置除尘器或喷淋抑尘装置</w:t>
            </w:r>
            <w:r>
              <w:rPr>
                <w:rFonts w:hint="eastAsia" w:cs="宋体"/>
                <w:sz w:val="21"/>
                <w:szCs w:val="21"/>
                <w:highlight w:val="none"/>
                <w:lang w:eastAsia="zh-CN"/>
              </w:rPr>
              <w:t>，</w:t>
            </w:r>
            <w:r>
              <w:rPr>
                <w:rFonts w:hint="eastAsia" w:cs="宋体"/>
                <w:sz w:val="21"/>
                <w:szCs w:val="21"/>
                <w:highlight w:val="none"/>
                <w:lang w:val="en-US" w:eastAsia="zh-CN"/>
              </w:rPr>
              <w:t>运输车辆直接将原料卸入受料仓</w:t>
            </w:r>
            <w:r>
              <w:rPr>
                <w:rFonts w:hint="eastAsia"/>
                <w:sz w:val="21"/>
                <w:szCs w:val="21"/>
                <w:highlight w:val="none"/>
              </w:rPr>
              <w:t>。</w:t>
            </w:r>
            <w:r>
              <w:rPr>
                <w:rFonts w:hint="eastAsia"/>
                <w:sz w:val="21"/>
                <w:szCs w:val="21"/>
                <w:highlight w:val="none"/>
                <w:lang w:val="zh-CN"/>
              </w:rPr>
              <w:t>本项目设全封闭</w:t>
            </w:r>
            <w:r>
              <w:rPr>
                <w:rFonts w:hint="eastAsia"/>
                <w:sz w:val="21"/>
                <w:szCs w:val="21"/>
                <w:highlight w:val="none"/>
                <w:lang w:val="en-US" w:eastAsia="zh-CN"/>
              </w:rPr>
              <w:t>成品</w:t>
            </w:r>
            <w:r>
              <w:rPr>
                <w:rFonts w:hint="eastAsia"/>
                <w:sz w:val="21"/>
                <w:szCs w:val="21"/>
                <w:highlight w:val="none"/>
                <w:lang w:val="zh-CN"/>
              </w:rPr>
              <w:t>库，</w:t>
            </w:r>
            <w:r>
              <w:rPr>
                <w:rFonts w:hint="eastAsia"/>
                <w:sz w:val="21"/>
                <w:szCs w:val="21"/>
                <w:highlight w:val="none"/>
                <w:lang w:val="en-US" w:eastAsia="zh-CN"/>
              </w:rPr>
              <w:t>并</w:t>
            </w:r>
            <w:r>
              <w:rPr>
                <w:rFonts w:hint="eastAsia"/>
                <w:sz w:val="21"/>
                <w:szCs w:val="21"/>
                <w:highlight w:val="none"/>
                <w:lang w:val="zh-CN"/>
              </w:rPr>
              <w:t>设置喷淋设施，供水管路使用保温棉包裹并设置电伴热，确保冬季正常使用，。</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vMerge w:val="continue"/>
            <w:tcBorders>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厂区内禁止汽车、装载机露天装卸及倒运物料。</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bCs/>
                <w:sz w:val="21"/>
                <w:szCs w:val="21"/>
                <w:highlight w:val="none"/>
              </w:rPr>
              <w:t>原料</w:t>
            </w:r>
            <w:r>
              <w:rPr>
                <w:rFonts w:hint="eastAsia"/>
                <w:bCs/>
                <w:sz w:val="21"/>
                <w:szCs w:val="21"/>
                <w:highlight w:val="none"/>
                <w:lang w:val="en-US" w:eastAsia="zh-CN"/>
              </w:rPr>
              <w:t>不在厂区</w:t>
            </w:r>
            <w:r>
              <w:rPr>
                <w:rFonts w:hint="eastAsia"/>
                <w:bCs/>
                <w:sz w:val="21"/>
                <w:szCs w:val="21"/>
                <w:highlight w:val="none"/>
              </w:rPr>
              <w:t>堆存，</w:t>
            </w:r>
            <w:r>
              <w:rPr>
                <w:bCs/>
                <w:sz w:val="21"/>
                <w:szCs w:val="21"/>
                <w:highlight w:val="none"/>
              </w:rPr>
              <w:t>设置</w:t>
            </w:r>
            <w:r>
              <w:rPr>
                <w:rFonts w:hint="eastAsia" w:cs="宋体"/>
                <w:sz w:val="21"/>
                <w:szCs w:val="21"/>
                <w:highlight w:val="none"/>
              </w:rPr>
              <w:t>建三面围挡并带顶的料棚，料棚进深尺度不小于</w:t>
            </w:r>
            <w:r>
              <w:rPr>
                <w:sz w:val="21"/>
                <w:szCs w:val="21"/>
                <w:highlight w:val="none"/>
              </w:rPr>
              <w:t>8</w:t>
            </w:r>
            <w:r>
              <w:rPr>
                <w:rFonts w:hint="eastAsia" w:cs="宋体"/>
                <w:sz w:val="21"/>
                <w:szCs w:val="21"/>
                <w:highlight w:val="none"/>
              </w:rPr>
              <w:t>米，受料仓设置除尘器或喷淋抑尘装置</w:t>
            </w:r>
            <w:r>
              <w:rPr>
                <w:rFonts w:hint="eastAsia" w:cs="宋体"/>
                <w:sz w:val="21"/>
                <w:szCs w:val="21"/>
                <w:highlight w:val="none"/>
                <w:lang w:eastAsia="zh-CN"/>
              </w:rPr>
              <w:t>，</w:t>
            </w:r>
            <w:r>
              <w:rPr>
                <w:rFonts w:hint="eastAsia" w:cs="宋体"/>
                <w:sz w:val="21"/>
                <w:szCs w:val="21"/>
                <w:highlight w:val="none"/>
                <w:lang w:val="en-US" w:eastAsia="zh-CN"/>
              </w:rPr>
              <w:t>运输车辆直接将原料卸入受料仓</w:t>
            </w:r>
            <w:r>
              <w:rPr>
                <w:rFonts w:hint="eastAsia"/>
                <w:sz w:val="21"/>
                <w:szCs w:val="21"/>
                <w:highlight w:val="none"/>
                <w:lang w:val="zh-CN"/>
              </w:rPr>
              <w:t>，不使用汽车、装载机露天装卸及倒运物料</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破碎上料</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破碎机上方至落料点以上全封闭并安装废气收集装置。原料上料在封闭车间内，上料口采取区域侧、顶三面密封措施并加装集气除尘设施，颗粒物</w:t>
            </w:r>
            <w:r>
              <w:rPr>
                <w:rFonts w:hint="eastAsia"/>
                <w:sz w:val="21"/>
                <w:szCs w:val="21"/>
                <w:highlight w:val="none"/>
              </w:rPr>
              <w:t>排放浓度</w:t>
            </w:r>
            <w:r>
              <w:rPr>
                <w:rFonts w:hint="eastAsia"/>
                <w:sz w:val="21"/>
                <w:szCs w:val="21"/>
                <w:highlight w:val="none"/>
                <w:lang w:val="zh-CN"/>
              </w:rPr>
              <w:t>不高于10mg/Nm</w:t>
            </w:r>
            <w:r>
              <w:rPr>
                <w:rFonts w:hint="eastAsia"/>
                <w:sz w:val="21"/>
                <w:szCs w:val="21"/>
                <w:highlight w:val="none"/>
                <w:vertAlign w:val="superscript"/>
                <w:lang w:val="zh-CN"/>
              </w:rPr>
              <w:t>3</w:t>
            </w:r>
            <w:r>
              <w:rPr>
                <w:rFonts w:hint="eastAsia"/>
                <w:sz w:val="21"/>
                <w:szCs w:val="21"/>
                <w:highlight w:val="none"/>
                <w:lang w:val="zh-CN"/>
              </w:rPr>
              <w:t>。上料时采用远红外等自动感应控制独立喷淋抑尘系统或加装自动感应门，与铲车作业上料同步运行，确保抑尘效果。</w:t>
            </w:r>
          </w:p>
          <w:p>
            <w:pPr>
              <w:spacing w:line="240" w:lineRule="auto"/>
              <w:ind w:firstLine="0" w:firstLineChars="0"/>
              <w:rPr>
                <w:sz w:val="21"/>
                <w:szCs w:val="21"/>
                <w:highlight w:val="none"/>
                <w:lang w:val="zh-CN"/>
              </w:rPr>
            </w:pPr>
            <w:r>
              <w:rPr>
                <w:rFonts w:hint="eastAsia"/>
                <w:sz w:val="21"/>
                <w:szCs w:val="21"/>
                <w:highlight w:val="none"/>
                <w:lang w:val="zh-CN"/>
              </w:rPr>
              <w:t>物料运输系统必须全封闭，运输过程中不得有可视性物料。</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原料上料在原料</w:t>
            </w:r>
            <w:r>
              <w:rPr>
                <w:rFonts w:hint="eastAsia"/>
                <w:sz w:val="21"/>
                <w:szCs w:val="21"/>
                <w:highlight w:val="none"/>
                <w:lang w:val="en-US" w:eastAsia="zh-CN"/>
              </w:rPr>
              <w:t>棚</w:t>
            </w:r>
            <w:r>
              <w:rPr>
                <w:rFonts w:hint="eastAsia"/>
                <w:sz w:val="21"/>
                <w:szCs w:val="21"/>
                <w:highlight w:val="none"/>
                <w:lang w:val="zh-CN"/>
              </w:rPr>
              <w:t>内进行，在受料仓处设置喷淋抑尘装置，皮带输送机全部设置全封闭皮带通廊，振动筛筛面全封闭，破碎机、振动筛进出料口处设置废气收集装置，送脉冲袋式除尘器处理，颗粒物</w:t>
            </w:r>
            <w:r>
              <w:rPr>
                <w:rFonts w:hint="eastAsia"/>
                <w:sz w:val="21"/>
                <w:szCs w:val="21"/>
                <w:highlight w:val="none"/>
              </w:rPr>
              <w:t>排放浓度</w:t>
            </w:r>
            <w:r>
              <w:rPr>
                <w:rFonts w:hint="eastAsia"/>
                <w:sz w:val="21"/>
                <w:szCs w:val="21"/>
                <w:highlight w:val="none"/>
                <w:lang w:val="zh-CN"/>
              </w:rPr>
              <w:t>不高于10mg/Nm</w:t>
            </w:r>
            <w:r>
              <w:rPr>
                <w:rFonts w:hint="eastAsia"/>
                <w:sz w:val="21"/>
                <w:szCs w:val="21"/>
                <w:highlight w:val="none"/>
                <w:vertAlign w:val="superscript"/>
                <w:lang w:val="zh-CN"/>
              </w:rPr>
              <w:t>3</w:t>
            </w:r>
            <w:r>
              <w:rPr>
                <w:rFonts w:hint="eastAsia"/>
                <w:sz w:val="21"/>
                <w:szCs w:val="21"/>
                <w:highlight w:val="none"/>
                <w:lang w:val="zh-CN"/>
              </w:rPr>
              <w:t>。</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vMerge w:val="restart"/>
            <w:tcBorders>
              <w:top w:val="single" w:color="auto" w:sz="4" w:space="0"/>
              <w:left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厂容厂貌</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厂区路面硬化无破损，增大厂区绿化面积，实现“非硬即绿，以绿为主”，厂区路面采取洒水、水雾喷淋等降尘控制措施。每家企业至少配备一台湿扫车和一台洒水车，每天加强对厂区湿扫、洒水。</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厂区路面实现“非硬即绿，以绿为主”，厂区路面采取洒水、水雾喷淋等降尘控制措施。公司配备一台湿扫车和一台洒水车，每天加强对厂区湿扫、洒水。</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vMerge w:val="continue"/>
            <w:tcBorders>
              <w:left w:val="single" w:color="auto" w:sz="4" w:space="0"/>
              <w:right w:val="single" w:color="auto" w:sz="4" w:space="0"/>
            </w:tcBorders>
            <w:vAlign w:val="center"/>
          </w:tcPr>
          <w:p>
            <w:pPr>
              <w:spacing w:line="240" w:lineRule="auto"/>
              <w:ind w:firstLine="0" w:firstLineChars="0"/>
              <w:rPr>
                <w:sz w:val="21"/>
                <w:szCs w:val="21"/>
                <w:highlight w:val="none"/>
                <w:lang w:val="zh-CN"/>
              </w:rPr>
            </w:pP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出入口，安装运输车辆侧向全覆盖式强制喷淋清洗设施，清洗设施应保证车辆冲洗效果，长度不少于6米、高度不低于2.5米，地面至少设置一排花式喷射喷头。冲洗介质可使用温水、添加防冻物质等有效防冻措施；冲洗水循环利用，不外排。</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厂区出入口设置洗车平台并保证车辆冲洗效果，长度不少于6米、高度不低于2.5米，地面至少设置一排花式喷射喷头。冲洗介质使用温水或添加防冻物质等有效防冻措施；冲洗水循环利用，不外排</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运输方式</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厂区所有车辆出入口全部安装重型货车门禁系统，严禁国四及以下排放标准车辆运输，严禁私开偏门进行车辆运输。</w:t>
            </w:r>
          </w:p>
          <w:p>
            <w:pPr>
              <w:spacing w:line="240" w:lineRule="auto"/>
              <w:ind w:firstLine="0" w:firstLineChars="0"/>
              <w:rPr>
                <w:sz w:val="21"/>
                <w:szCs w:val="21"/>
                <w:highlight w:val="none"/>
                <w:lang w:val="zh-CN"/>
              </w:rPr>
            </w:pPr>
            <w:r>
              <w:rPr>
                <w:rFonts w:hint="eastAsia"/>
                <w:sz w:val="21"/>
                <w:szCs w:val="21"/>
                <w:highlight w:val="none"/>
                <w:lang w:val="zh-CN"/>
              </w:rPr>
              <w:t>物料公路运输全部使用国五及以上排放标准重型载货车辆（含燃气）或新能源车辆；厂内运输车辆全部使用国五及以上排放标准（含燃气）或使用新能源车辆</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厂区车辆出入口安装重型货车门禁系统，严禁国四及以下排放标准车辆运输，严禁私开偏门进行车辆运输。</w:t>
            </w:r>
          </w:p>
          <w:p>
            <w:pPr>
              <w:spacing w:line="240" w:lineRule="auto"/>
              <w:ind w:firstLine="0" w:firstLineChars="0"/>
              <w:rPr>
                <w:sz w:val="21"/>
                <w:szCs w:val="21"/>
                <w:highlight w:val="none"/>
                <w:lang w:val="zh-CN"/>
              </w:rPr>
            </w:pPr>
            <w:r>
              <w:rPr>
                <w:rFonts w:hint="eastAsia"/>
                <w:sz w:val="21"/>
                <w:szCs w:val="21"/>
                <w:highlight w:val="none"/>
                <w:lang w:val="zh-CN"/>
              </w:rPr>
              <w:t>物料公路运输全部使用国五及以上排放标准重型载货车辆（含燃气）或新能源车辆</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运输监管</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厂内非道路移动机械全部使用国三及以上排放标准或新能源机械。</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厂内非道路移动机械全部使用国三及以上排放标准或新能源机械。</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bl>
    <w:p>
      <w:pPr>
        <w:pStyle w:val="3"/>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.1.1</w:t>
      </w:r>
      <w:r>
        <w:rPr>
          <w:rFonts w:hint="eastAsia" w:eastAsiaTheme="minorEastAsia"/>
          <w:b/>
          <w:highlight w:val="none"/>
        </w:rPr>
        <w:t>1</w:t>
      </w:r>
      <w:r>
        <w:rPr>
          <w:rFonts w:hAnsiTheme="minorEastAsia" w:eastAsiaTheme="minorEastAsia"/>
          <w:b/>
          <w:highlight w:val="none"/>
        </w:rPr>
        <w:t>产业政策符合性分析</w:t>
      </w:r>
    </w:p>
    <w:p>
      <w:pPr>
        <w:ind w:firstLine="480"/>
        <w:jc w:val="both"/>
        <w:rPr>
          <w:sz w:val="24"/>
          <w:highlight w:val="none"/>
        </w:rPr>
      </w:pPr>
      <w:r>
        <w:rPr>
          <w:sz w:val="24"/>
          <w:highlight w:val="none"/>
        </w:rPr>
        <w:t>根据国家发改委《产业结构调整指导目录（201</w:t>
      </w:r>
      <w:r>
        <w:rPr>
          <w:rFonts w:hint="eastAsia"/>
          <w:sz w:val="24"/>
          <w:highlight w:val="none"/>
        </w:rPr>
        <w:t>9</w:t>
      </w:r>
      <w:r>
        <w:rPr>
          <w:sz w:val="24"/>
          <w:highlight w:val="none"/>
        </w:rPr>
        <w:t>年本）》，本项目不在淘汰类、限制类之列，符合产业政策。</w:t>
      </w:r>
    </w:p>
    <w:p>
      <w:pPr>
        <w:ind w:firstLine="480"/>
        <w:jc w:val="both"/>
        <w:rPr>
          <w:sz w:val="24"/>
          <w:highlight w:val="none"/>
        </w:rPr>
      </w:pPr>
      <w:r>
        <w:rPr>
          <w:sz w:val="24"/>
          <w:highlight w:val="none"/>
        </w:rPr>
        <w:t>本项目为选矿项目，不涉及采矿，不属于《河北省新增限制和淘汰类产业目录（2015年版）》中淘汰类、限制类项目，项目建设符合河北省政策要求。</w:t>
      </w:r>
    </w:p>
    <w:p>
      <w:pPr>
        <w:snapToGrid w:val="0"/>
        <w:ind w:firstLine="480"/>
        <w:jc w:val="both"/>
        <w:rPr>
          <w:rFonts w:hint="eastAsia"/>
          <w:sz w:val="24"/>
          <w:szCs w:val="24"/>
          <w:highlight w:val="none"/>
        </w:rPr>
      </w:pPr>
      <w:r>
        <w:rPr>
          <w:sz w:val="24"/>
          <w:highlight w:val="none"/>
        </w:rPr>
        <w:t>本项目</w:t>
      </w:r>
      <w:r>
        <w:rPr>
          <w:rFonts w:hint="eastAsia"/>
          <w:sz w:val="24"/>
          <w:highlight w:val="none"/>
          <w:lang w:val="en-US" w:eastAsia="zh-CN"/>
        </w:rPr>
        <w:t>由</w:t>
      </w:r>
      <w:r>
        <w:rPr>
          <w:rFonts w:hint="eastAsia"/>
          <w:sz w:val="24"/>
          <w:szCs w:val="24"/>
          <w:highlight w:val="none"/>
        </w:rPr>
        <w:t>河北省发展和改革委员会20</w:t>
      </w:r>
      <w:r>
        <w:rPr>
          <w:rFonts w:hint="eastAsia"/>
          <w:sz w:val="24"/>
          <w:szCs w:val="24"/>
          <w:highlight w:val="none"/>
          <w:lang w:val="en-US" w:eastAsia="zh-CN"/>
        </w:rPr>
        <w:t>23</w:t>
      </w:r>
      <w:r>
        <w:rPr>
          <w:rFonts w:hint="eastAsia"/>
          <w:sz w:val="24"/>
          <w:szCs w:val="24"/>
          <w:highlight w:val="none"/>
        </w:rPr>
        <w:t>年</w:t>
      </w:r>
      <w:r>
        <w:rPr>
          <w:rFonts w:hint="eastAsia"/>
          <w:sz w:val="24"/>
          <w:szCs w:val="24"/>
          <w:highlight w:val="none"/>
          <w:lang w:val="en-US" w:eastAsia="zh-CN"/>
        </w:rPr>
        <w:t>2</w:t>
      </w:r>
      <w:r>
        <w:rPr>
          <w:rFonts w:hint="eastAsia"/>
          <w:sz w:val="24"/>
          <w:szCs w:val="24"/>
          <w:highlight w:val="none"/>
        </w:rPr>
        <w:t>月</w:t>
      </w:r>
      <w:r>
        <w:rPr>
          <w:rFonts w:hint="eastAsia"/>
          <w:sz w:val="24"/>
          <w:szCs w:val="24"/>
          <w:highlight w:val="none"/>
          <w:lang w:val="en-US" w:eastAsia="zh-CN"/>
        </w:rPr>
        <w:t>24</w:t>
      </w:r>
      <w:r>
        <w:rPr>
          <w:rFonts w:hint="eastAsia"/>
          <w:sz w:val="24"/>
          <w:szCs w:val="24"/>
          <w:highlight w:val="none"/>
        </w:rPr>
        <w:t>日以冀发改政务备字[202</w:t>
      </w:r>
      <w:r>
        <w:rPr>
          <w:rFonts w:hint="eastAsia"/>
          <w:sz w:val="24"/>
          <w:szCs w:val="24"/>
          <w:highlight w:val="none"/>
          <w:lang w:val="en-US" w:eastAsia="zh-CN"/>
        </w:rPr>
        <w:t>3</w:t>
      </w:r>
      <w:r>
        <w:rPr>
          <w:rFonts w:hint="eastAsia"/>
          <w:sz w:val="24"/>
          <w:szCs w:val="24"/>
          <w:highlight w:val="none"/>
        </w:rPr>
        <w:t>]</w:t>
      </w:r>
      <w:r>
        <w:rPr>
          <w:rFonts w:hint="eastAsia"/>
          <w:sz w:val="24"/>
          <w:szCs w:val="24"/>
          <w:highlight w:val="none"/>
          <w:lang w:val="en-US" w:eastAsia="zh-CN"/>
        </w:rPr>
        <w:t>2</w:t>
      </w:r>
      <w:r>
        <w:rPr>
          <w:rFonts w:hint="eastAsia"/>
          <w:sz w:val="24"/>
          <w:szCs w:val="24"/>
          <w:highlight w:val="none"/>
        </w:rPr>
        <w:t>9号文予以备案。</w:t>
      </w:r>
    </w:p>
    <w:p>
      <w:pPr>
        <w:ind w:firstLine="480"/>
        <w:jc w:val="both"/>
        <w:rPr>
          <w:sz w:val="24"/>
          <w:highlight w:val="none"/>
        </w:rPr>
      </w:pPr>
      <w:bookmarkStart w:id="223" w:name="_Hlk532030252"/>
      <w:r>
        <w:rPr>
          <w:sz w:val="24"/>
          <w:highlight w:val="none"/>
        </w:rPr>
        <w:t>本项目</w:t>
      </w:r>
      <w:r>
        <w:rPr>
          <w:rFonts w:hint="eastAsia"/>
          <w:sz w:val="24"/>
          <w:highlight w:val="none"/>
          <w:lang w:val="en-US" w:eastAsia="zh-CN"/>
        </w:rPr>
        <w:t>实施后</w:t>
      </w:r>
      <w:r>
        <w:rPr>
          <w:sz w:val="24"/>
          <w:highlight w:val="none"/>
        </w:rPr>
        <w:t>，以铁矿石为原料，采取破碎→筛分→球磨→磁选→过滤的选矿工艺，生产品位6</w:t>
      </w:r>
      <w:r>
        <w:rPr>
          <w:rFonts w:hint="eastAsia"/>
          <w:sz w:val="24"/>
          <w:highlight w:val="none"/>
        </w:rPr>
        <w:t>6</w:t>
      </w:r>
      <w:r>
        <w:rPr>
          <w:sz w:val="24"/>
          <w:highlight w:val="none"/>
        </w:rPr>
        <w:t>%铁精粉，年处理铁矿石</w:t>
      </w:r>
      <w:r>
        <w:rPr>
          <w:rFonts w:hint="eastAsia"/>
          <w:sz w:val="24"/>
          <w:highlight w:val="none"/>
          <w:lang w:val="en-US" w:eastAsia="zh-CN"/>
        </w:rPr>
        <w:t>60</w:t>
      </w:r>
      <w:r>
        <w:rPr>
          <w:sz w:val="24"/>
          <w:highlight w:val="none"/>
        </w:rPr>
        <w:t>万吨</w:t>
      </w:r>
      <w:r>
        <w:rPr>
          <w:rFonts w:hint="eastAsia"/>
          <w:sz w:val="24"/>
          <w:highlight w:val="none"/>
        </w:rPr>
        <w:t>、粗精矿</w:t>
      </w:r>
      <w:r>
        <w:rPr>
          <w:rFonts w:hint="eastAsia"/>
          <w:sz w:val="24"/>
          <w:highlight w:val="none"/>
          <w:lang w:val="en-US" w:eastAsia="zh-CN"/>
        </w:rPr>
        <w:t>30</w:t>
      </w:r>
      <w:r>
        <w:rPr>
          <w:rFonts w:hint="eastAsia"/>
          <w:sz w:val="24"/>
          <w:highlight w:val="none"/>
        </w:rPr>
        <w:t>万吨</w:t>
      </w:r>
      <w:r>
        <w:rPr>
          <w:sz w:val="24"/>
          <w:highlight w:val="none"/>
        </w:rPr>
        <w:t>，符合备案文件要求。</w:t>
      </w:r>
      <w:bookmarkEnd w:id="223"/>
    </w:p>
    <w:p>
      <w:pPr>
        <w:pStyle w:val="3"/>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.1.1</w:t>
      </w:r>
      <w:r>
        <w:rPr>
          <w:rFonts w:hint="eastAsia" w:eastAsiaTheme="minorEastAsia"/>
          <w:b/>
          <w:highlight w:val="none"/>
        </w:rPr>
        <w:t>2</w:t>
      </w:r>
      <w:r>
        <w:rPr>
          <w:rFonts w:eastAsiaTheme="minorEastAsia"/>
          <w:b/>
          <w:highlight w:val="none"/>
        </w:rPr>
        <w:t xml:space="preserve"> </w:t>
      </w:r>
      <w:r>
        <w:rPr>
          <w:rFonts w:hAnsiTheme="minorEastAsia" w:eastAsiaTheme="minorEastAsia"/>
          <w:b/>
          <w:highlight w:val="none"/>
        </w:rPr>
        <w:t>与</w:t>
      </w:r>
      <w:r>
        <w:rPr>
          <w:rFonts w:eastAsiaTheme="minorEastAsia"/>
          <w:b/>
          <w:highlight w:val="none"/>
        </w:rPr>
        <w:t>“</w:t>
      </w:r>
      <w:r>
        <w:rPr>
          <w:rFonts w:hAnsiTheme="minorEastAsia" w:eastAsiaTheme="minorEastAsia"/>
          <w:b/>
          <w:highlight w:val="none"/>
        </w:rPr>
        <w:t>三线一单</w:t>
      </w:r>
      <w:r>
        <w:rPr>
          <w:rFonts w:eastAsiaTheme="minorEastAsia"/>
          <w:b/>
          <w:highlight w:val="none"/>
        </w:rPr>
        <w:t>”</w:t>
      </w:r>
      <w:r>
        <w:rPr>
          <w:rFonts w:hAnsiTheme="minorEastAsia" w:eastAsiaTheme="minorEastAsia"/>
          <w:b/>
          <w:highlight w:val="none"/>
        </w:rPr>
        <w:t>符合性分析</w:t>
      </w:r>
    </w:p>
    <w:p>
      <w:pPr>
        <w:ind w:firstLine="480"/>
        <w:textAlignment w:val="auto"/>
        <w:rPr>
          <w:kern w:val="2"/>
          <w:sz w:val="24"/>
          <w:szCs w:val="24"/>
          <w:highlight w:val="none"/>
        </w:rPr>
      </w:pPr>
      <w:r>
        <w:rPr>
          <w:kern w:val="2"/>
          <w:sz w:val="24"/>
          <w:szCs w:val="24"/>
          <w:highlight w:val="none"/>
        </w:rPr>
        <w:t>根据《关于以改善环境质量为核心加强环境影响评价管理的通知》（环环评[2016]150号），要求以生态保护红线、环境质量底线、资源利用上线和环境准入负面清单（以下简称“三线一单”）为手段，强化空间、总量和准入环境管理。本项目建设与上述要求的符合性分析如下：</w:t>
      </w:r>
    </w:p>
    <w:p>
      <w:pPr>
        <w:ind w:firstLine="480"/>
        <w:textAlignment w:val="auto"/>
        <w:rPr>
          <w:kern w:val="2"/>
          <w:sz w:val="24"/>
          <w:szCs w:val="24"/>
          <w:highlight w:val="none"/>
        </w:rPr>
      </w:pPr>
      <w:r>
        <w:rPr>
          <w:rFonts w:hint="eastAsia" w:ascii="宋体" w:hAnsi="宋体" w:cs="宋体"/>
          <w:kern w:val="2"/>
          <w:sz w:val="24"/>
          <w:szCs w:val="24"/>
          <w:highlight w:val="none"/>
        </w:rPr>
        <w:t>①</w:t>
      </w:r>
      <w:r>
        <w:rPr>
          <w:kern w:val="2"/>
          <w:sz w:val="24"/>
          <w:szCs w:val="24"/>
          <w:highlight w:val="none"/>
        </w:rPr>
        <w:t>生态保护红线</w:t>
      </w:r>
    </w:p>
    <w:p>
      <w:pPr>
        <w:ind w:firstLine="480"/>
        <w:textAlignment w:val="auto"/>
        <w:rPr>
          <w:kern w:val="2"/>
          <w:sz w:val="24"/>
          <w:szCs w:val="24"/>
          <w:highlight w:val="none"/>
        </w:rPr>
      </w:pPr>
      <w:r>
        <w:rPr>
          <w:kern w:val="2"/>
          <w:sz w:val="24"/>
          <w:szCs w:val="24"/>
          <w:highlight w:val="none"/>
        </w:rPr>
        <w:t>生态保护红线包括重点生态功能区保护红线、生态敏感脆弱区保护红线和禁止开发区保护红线。根据经</w:t>
      </w:r>
      <w:bookmarkStart w:id="224" w:name="_Hlk532030405"/>
      <w:r>
        <w:rPr>
          <w:rFonts w:hint="eastAsia"/>
          <w:kern w:val="2"/>
          <w:sz w:val="24"/>
          <w:szCs w:val="24"/>
          <w:highlight w:val="none"/>
        </w:rPr>
        <w:t>河北省政府</w:t>
      </w:r>
      <w:r>
        <w:rPr>
          <w:kern w:val="2"/>
          <w:sz w:val="24"/>
          <w:szCs w:val="24"/>
          <w:highlight w:val="none"/>
        </w:rPr>
        <w:t>审定</w:t>
      </w:r>
      <w:bookmarkEnd w:id="224"/>
      <w:r>
        <w:rPr>
          <w:kern w:val="2"/>
          <w:sz w:val="24"/>
          <w:szCs w:val="24"/>
          <w:highlight w:val="none"/>
        </w:rPr>
        <w:t>的《河北省生态保护红线划定方案》，本项目位于</w:t>
      </w:r>
      <w:r>
        <w:rPr>
          <w:sz w:val="24"/>
          <w:highlight w:val="none"/>
        </w:rPr>
        <w:t>遵化市堡子店镇西新店子村</w:t>
      </w:r>
      <w:r>
        <w:rPr>
          <w:kern w:val="2"/>
          <w:sz w:val="24"/>
          <w:szCs w:val="24"/>
          <w:highlight w:val="none"/>
        </w:rPr>
        <w:t>，</w:t>
      </w:r>
      <w:r>
        <w:rPr>
          <w:rFonts w:hint="eastAsia"/>
          <w:kern w:val="2"/>
          <w:sz w:val="24"/>
          <w:szCs w:val="24"/>
          <w:highlight w:val="none"/>
        </w:rPr>
        <w:t>本项目距离</w:t>
      </w:r>
      <w:r>
        <w:rPr>
          <w:kern w:val="2"/>
          <w:sz w:val="24"/>
          <w:szCs w:val="24"/>
          <w:highlight w:val="none"/>
        </w:rPr>
        <w:t>生态保护红线</w:t>
      </w:r>
      <w:r>
        <w:rPr>
          <w:rFonts w:hint="eastAsia"/>
          <w:kern w:val="2"/>
          <w:sz w:val="24"/>
          <w:szCs w:val="24"/>
          <w:highlight w:val="none"/>
        </w:rPr>
        <w:t>最近距离约2600米</w:t>
      </w:r>
      <w:r>
        <w:rPr>
          <w:kern w:val="2"/>
          <w:sz w:val="24"/>
          <w:szCs w:val="24"/>
          <w:highlight w:val="none"/>
        </w:rPr>
        <w:t>，</w:t>
      </w:r>
      <w:bookmarkStart w:id="225" w:name="_Hlk4967353"/>
      <w:r>
        <w:rPr>
          <w:rFonts w:hint="eastAsia"/>
          <w:kern w:val="2"/>
          <w:sz w:val="24"/>
          <w:szCs w:val="24"/>
          <w:highlight w:val="none"/>
        </w:rPr>
        <w:t>不在遵化市划定的生态保护红线范围内</w:t>
      </w:r>
      <w:bookmarkEnd w:id="225"/>
      <w:r>
        <w:rPr>
          <w:rFonts w:hint="eastAsia"/>
          <w:kern w:val="2"/>
          <w:sz w:val="24"/>
          <w:szCs w:val="24"/>
          <w:highlight w:val="none"/>
        </w:rPr>
        <w:t>。</w:t>
      </w:r>
    </w:p>
    <w:p>
      <w:pPr>
        <w:ind w:firstLine="480"/>
        <w:textAlignment w:val="auto"/>
        <w:rPr>
          <w:kern w:val="2"/>
          <w:sz w:val="24"/>
          <w:szCs w:val="24"/>
          <w:highlight w:val="none"/>
        </w:rPr>
      </w:pPr>
      <w:r>
        <w:rPr>
          <w:rFonts w:hint="eastAsia" w:ascii="宋体" w:hAnsi="宋体" w:cs="宋体"/>
          <w:kern w:val="2"/>
          <w:sz w:val="24"/>
          <w:szCs w:val="24"/>
          <w:highlight w:val="none"/>
        </w:rPr>
        <w:t>②</w:t>
      </w:r>
      <w:r>
        <w:rPr>
          <w:kern w:val="2"/>
          <w:sz w:val="24"/>
          <w:szCs w:val="24"/>
          <w:highlight w:val="none"/>
        </w:rPr>
        <w:t>环境质量底线</w:t>
      </w:r>
    </w:p>
    <w:p>
      <w:pPr>
        <w:ind w:firstLine="480"/>
        <w:textAlignment w:val="auto"/>
        <w:rPr>
          <w:kern w:val="2"/>
          <w:sz w:val="24"/>
          <w:szCs w:val="24"/>
          <w:highlight w:val="none"/>
        </w:rPr>
      </w:pPr>
      <w:r>
        <w:rPr>
          <w:kern w:val="2"/>
          <w:sz w:val="24"/>
          <w:szCs w:val="24"/>
          <w:highlight w:val="none"/>
        </w:rPr>
        <w:t>项目所在区域环境空气属《环境空气质量标准》 (GB3095-2012)二类区；区域地下水主要适用于分散式生活饮用水水源及工、农业用水，根据《地下水质量标准》（GB/T14848-2017)，区域地下水质量执行III类标准；项目所在区域属于《声环境质量标准》（GB3096-2008)中的2类功能区标准。</w:t>
      </w:r>
    </w:p>
    <w:p>
      <w:pPr>
        <w:ind w:firstLine="480"/>
        <w:textAlignment w:val="auto"/>
        <w:rPr>
          <w:kern w:val="2"/>
          <w:sz w:val="24"/>
          <w:szCs w:val="24"/>
          <w:highlight w:val="none"/>
        </w:rPr>
      </w:pPr>
      <w:bookmarkStart w:id="226" w:name="_Hlk532030589"/>
      <w:r>
        <w:rPr>
          <w:kern w:val="2"/>
          <w:sz w:val="24"/>
          <w:szCs w:val="24"/>
          <w:highlight w:val="none"/>
        </w:rPr>
        <w:t>项目各产污环节采取了完善的污染防治措施，严格控制污染物排放。本项目采取完善的污染源处理措施，各类污染物均能够实现达标排放。项目各生产环节产生的废气采取集气罩收集、水喷淋、除尘器除尘、封闭厂房等措施后，各生产环节废气能够达标排放</w:t>
      </w:r>
      <w:r>
        <w:rPr>
          <w:rFonts w:hint="eastAsia"/>
          <w:kern w:val="2"/>
          <w:sz w:val="24"/>
          <w:szCs w:val="24"/>
          <w:highlight w:val="none"/>
        </w:rPr>
        <w:t>，同时本项目落实颗粒物排放倍量削减方案，将会对区域环境空气质量起到一定改善作用</w:t>
      </w:r>
      <w:r>
        <w:rPr>
          <w:kern w:val="2"/>
          <w:sz w:val="24"/>
          <w:szCs w:val="24"/>
          <w:highlight w:val="none"/>
        </w:rPr>
        <w:t>。项目无生产生活污水排放。尾矿砂、生活垃圾等固体废物全部综合利用或妥善处置。通过对危废间、浓密池、清水池、事故池、车间等采取防渗措施，不会对地下水产生污染影响。经预测，项目实施后各厂界噪声贡献值满足《工业企业厂界环境噪声排放标准》（GB12348-2008）表中的2类标准的要求。因此，在严格落实废气、废水、噪声、固废等污染防治措施前提下，项目的实施不会对周围环境产生明显影响，不会改变区域的环境质量功能类别。</w:t>
      </w:r>
      <w:bookmarkEnd w:id="226"/>
    </w:p>
    <w:p>
      <w:pPr>
        <w:ind w:firstLine="480"/>
        <w:textAlignment w:val="auto"/>
        <w:rPr>
          <w:kern w:val="2"/>
          <w:sz w:val="24"/>
          <w:szCs w:val="24"/>
          <w:highlight w:val="none"/>
        </w:rPr>
      </w:pPr>
      <w:r>
        <w:rPr>
          <w:rFonts w:hint="eastAsia" w:ascii="宋体" w:hAnsi="宋体" w:cs="宋体"/>
          <w:kern w:val="2"/>
          <w:sz w:val="24"/>
          <w:szCs w:val="24"/>
          <w:highlight w:val="none"/>
        </w:rPr>
        <w:t>③</w:t>
      </w:r>
      <w:r>
        <w:rPr>
          <w:kern w:val="2"/>
          <w:sz w:val="24"/>
          <w:szCs w:val="24"/>
          <w:highlight w:val="none"/>
        </w:rPr>
        <w:t>资源利用上线</w:t>
      </w:r>
    </w:p>
    <w:p>
      <w:pPr>
        <w:ind w:firstLine="480"/>
        <w:textAlignment w:val="auto"/>
        <w:rPr>
          <w:kern w:val="2"/>
          <w:sz w:val="24"/>
          <w:szCs w:val="24"/>
          <w:highlight w:val="none"/>
        </w:rPr>
      </w:pPr>
      <w:r>
        <w:rPr>
          <w:kern w:val="2"/>
          <w:sz w:val="24"/>
          <w:szCs w:val="24"/>
          <w:highlight w:val="none"/>
        </w:rPr>
        <w:t>本项目建设生产过程中，主要利用的资源是铁矿石、水。项目原料为铁矿石，来源于冀东及周边地区，资源丰富，原料供应有保障</w:t>
      </w:r>
      <w:r>
        <w:rPr>
          <w:rFonts w:hint="eastAsia"/>
          <w:kern w:val="2"/>
          <w:sz w:val="24"/>
          <w:szCs w:val="24"/>
          <w:highlight w:val="none"/>
        </w:rPr>
        <w:t>，</w:t>
      </w:r>
      <w:r>
        <w:rPr>
          <w:kern w:val="2"/>
          <w:sz w:val="24"/>
          <w:szCs w:val="24"/>
          <w:highlight w:val="none"/>
        </w:rPr>
        <w:t>项目用水为地下水。根据《河北省人民政府关于公布地下水超采区、禁止开采区和限制开采区范围的通知》冀政字〔2017〕48号，项目所在地不属于超采、禁采和限采范围内，项目所在区地下水资源丰富，水资源供应有保障。</w:t>
      </w:r>
    </w:p>
    <w:p>
      <w:pPr>
        <w:ind w:firstLine="480"/>
        <w:textAlignment w:val="auto"/>
        <w:rPr>
          <w:kern w:val="2"/>
          <w:sz w:val="24"/>
          <w:szCs w:val="24"/>
          <w:highlight w:val="none"/>
        </w:rPr>
      </w:pPr>
      <w:r>
        <w:rPr>
          <w:rFonts w:hint="eastAsia" w:ascii="宋体" w:hAnsi="宋体" w:cs="宋体"/>
          <w:kern w:val="2"/>
          <w:sz w:val="24"/>
          <w:szCs w:val="24"/>
          <w:highlight w:val="none"/>
        </w:rPr>
        <w:t>④</w:t>
      </w:r>
      <w:r>
        <w:rPr>
          <w:kern w:val="2"/>
          <w:sz w:val="24"/>
          <w:szCs w:val="24"/>
          <w:highlight w:val="none"/>
        </w:rPr>
        <w:t>环境准入负面清单</w:t>
      </w:r>
    </w:p>
    <w:p>
      <w:pPr>
        <w:ind w:firstLine="480"/>
        <w:textAlignment w:val="auto"/>
        <w:rPr>
          <w:kern w:val="2"/>
          <w:sz w:val="24"/>
          <w:szCs w:val="24"/>
          <w:highlight w:val="none"/>
        </w:rPr>
      </w:pPr>
      <w:r>
        <w:rPr>
          <w:kern w:val="2"/>
          <w:sz w:val="24"/>
          <w:szCs w:val="24"/>
          <w:highlight w:val="none"/>
        </w:rPr>
        <w:t>本项目生产规模为</w:t>
      </w:r>
      <w:r>
        <w:rPr>
          <w:rFonts w:hint="eastAsia"/>
          <w:kern w:val="2"/>
          <w:sz w:val="24"/>
          <w:szCs w:val="24"/>
          <w:highlight w:val="none"/>
        </w:rPr>
        <w:t>年处理</w:t>
      </w:r>
      <w:r>
        <w:rPr>
          <w:rFonts w:hint="eastAsia"/>
          <w:kern w:val="2"/>
          <w:sz w:val="24"/>
          <w:szCs w:val="24"/>
          <w:highlight w:val="none"/>
          <w:lang w:val="en-US" w:eastAsia="zh-CN"/>
        </w:rPr>
        <w:t>60</w:t>
      </w:r>
      <w:r>
        <w:rPr>
          <w:rFonts w:hint="eastAsia"/>
          <w:kern w:val="2"/>
          <w:sz w:val="24"/>
          <w:szCs w:val="24"/>
          <w:highlight w:val="none"/>
        </w:rPr>
        <w:t>万吨铁矿石、30万吨粗精矿项目</w:t>
      </w:r>
      <w:r>
        <w:rPr>
          <w:kern w:val="2"/>
          <w:sz w:val="24"/>
          <w:szCs w:val="24"/>
          <w:highlight w:val="none"/>
        </w:rPr>
        <w:t>，不属于《产业结构调整指导目录(201</w:t>
      </w:r>
      <w:r>
        <w:rPr>
          <w:rFonts w:hint="eastAsia"/>
          <w:kern w:val="2"/>
          <w:sz w:val="24"/>
          <w:szCs w:val="24"/>
          <w:highlight w:val="none"/>
        </w:rPr>
        <w:t>9</w:t>
      </w:r>
      <w:r>
        <w:rPr>
          <w:kern w:val="2"/>
          <w:sz w:val="24"/>
          <w:szCs w:val="24"/>
          <w:highlight w:val="none"/>
        </w:rPr>
        <w:t>年本）禁止或限制类工程，属于允许建设类工程；不属于《河北省人民政府办公厅关于印发河北省新增限制和淘汰类产业目录的通知》（冀政办发[2015]7号）中所规定的禁止和限制建设的工程。符合《遵化市铁选矿综合治理工作实施方案》要求。</w:t>
      </w:r>
    </w:p>
    <w:p>
      <w:pPr>
        <w:ind w:firstLine="480"/>
        <w:textAlignment w:val="auto"/>
        <w:rPr>
          <w:kern w:val="2"/>
          <w:sz w:val="24"/>
          <w:szCs w:val="24"/>
          <w:highlight w:val="none"/>
        </w:rPr>
      </w:pPr>
      <w:r>
        <w:rPr>
          <w:kern w:val="2"/>
          <w:sz w:val="24"/>
          <w:szCs w:val="24"/>
          <w:highlight w:val="none"/>
        </w:rPr>
        <w:t>经以上分析可知，本项目符合“三线一单”的要求。</w:t>
      </w:r>
    </w:p>
    <w:p>
      <w:pPr>
        <w:pStyle w:val="3"/>
        <w:rPr>
          <w:rFonts w:hAnsiTheme="minorEastAsia" w:eastAsiaTheme="minorEastAsia"/>
          <w:b/>
          <w:highlight w:val="none"/>
        </w:rPr>
      </w:pPr>
      <w:r>
        <w:rPr>
          <w:rFonts w:hAnsiTheme="minorEastAsia" w:eastAsiaTheme="minorEastAsia"/>
          <w:b/>
          <w:highlight w:val="none"/>
        </w:rPr>
        <w:t>2.</w:t>
      </w:r>
      <w:r>
        <w:rPr>
          <w:rFonts w:hint="eastAsia" w:hAnsiTheme="minorEastAsia" w:eastAsiaTheme="minorEastAsia"/>
          <w:b/>
          <w:highlight w:val="none"/>
        </w:rPr>
        <w:t>6</w:t>
      </w:r>
      <w:r>
        <w:rPr>
          <w:rFonts w:hAnsiTheme="minorEastAsia" w:eastAsiaTheme="minorEastAsia"/>
          <w:b/>
          <w:highlight w:val="none"/>
        </w:rPr>
        <w:t>.1.1</w:t>
      </w:r>
      <w:r>
        <w:rPr>
          <w:rFonts w:hint="eastAsia" w:hAnsiTheme="minorEastAsia" w:eastAsiaTheme="minorEastAsia"/>
          <w:b/>
          <w:highlight w:val="none"/>
        </w:rPr>
        <w:t>3</w:t>
      </w:r>
      <w:r>
        <w:rPr>
          <w:rFonts w:hAnsiTheme="minorEastAsia" w:eastAsiaTheme="minorEastAsia"/>
          <w:b/>
          <w:highlight w:val="none"/>
        </w:rPr>
        <w:t xml:space="preserve"> 与</w:t>
      </w:r>
      <w:r>
        <w:rPr>
          <w:rFonts w:hint="eastAsia" w:hAnsiTheme="minorEastAsia" w:eastAsiaTheme="minorEastAsia"/>
          <w:b/>
          <w:highlight w:val="none"/>
        </w:rPr>
        <w:t>《唐山市人民政府关于实施“三线一单”生态环境分区管控的意见（唐政字[2021]48号）符合性分析</w:t>
      </w:r>
    </w:p>
    <w:p>
      <w:pPr>
        <w:pStyle w:val="13"/>
        <w:spacing w:line="480" w:lineRule="exact"/>
        <w:ind w:firstLine="480"/>
        <w:rPr>
          <w:rFonts w:eastAsia="黑体"/>
          <w:color w:val="auto"/>
          <w:kern w:val="2"/>
          <w:sz w:val="21"/>
          <w:szCs w:val="21"/>
          <w:highlight w:val="none"/>
        </w:rPr>
      </w:pPr>
      <w:r>
        <w:rPr>
          <w:rFonts w:hint="eastAsia"/>
          <w:szCs w:val="24"/>
          <w:highlight w:val="none"/>
        </w:rPr>
        <w:t xml:space="preserve">  </w:t>
      </w:r>
      <w:r>
        <w:rPr>
          <w:color w:val="auto"/>
          <w:highlight w:val="none"/>
        </w:rPr>
        <w:t xml:space="preserve">表 </w:t>
      </w:r>
      <w:r>
        <w:rPr>
          <w:rFonts w:hint="eastAsia"/>
          <w:color w:val="auto"/>
          <w:highlight w:val="none"/>
          <w:lang w:val="en-US" w:eastAsia="zh-CN"/>
        </w:rPr>
        <w:t>2.</w:t>
      </w:r>
      <w:r>
        <w:rPr>
          <w:rFonts w:hint="eastAsia"/>
          <w:color w:val="auto"/>
          <w:highlight w:val="none"/>
        </w:rPr>
        <w:t>6</w:t>
      </w:r>
      <w:r>
        <w:rPr>
          <w:color w:val="auto"/>
          <w:highlight w:val="none"/>
        </w:rPr>
        <w:t>–</w:t>
      </w:r>
      <w:r>
        <w:rPr>
          <w:rFonts w:hint="eastAsia"/>
          <w:color w:val="auto"/>
          <w:highlight w:val="none"/>
          <w:lang w:val="en-US" w:eastAsia="zh-CN"/>
        </w:rPr>
        <w:t>8</w:t>
      </w:r>
      <w:r>
        <w:rPr>
          <w:color w:val="auto"/>
          <w:highlight w:val="none"/>
        </w:rPr>
        <w:t xml:space="preserve">     与</w:t>
      </w:r>
      <w:r>
        <w:rPr>
          <w:rFonts w:hint="eastAsia"/>
          <w:color w:val="auto"/>
          <w:highlight w:val="none"/>
        </w:rPr>
        <w:t>《唐山市人民政府关于实施“三线一单”生态环境分区管控的意见（唐政字[2021]48号）符合性</w:t>
      </w:r>
      <w:r>
        <w:rPr>
          <w:color w:val="auto"/>
          <w:highlight w:val="none"/>
        </w:rPr>
        <w:t>分析</w:t>
      </w:r>
    </w:p>
    <w:tbl>
      <w:tblPr>
        <w:tblStyle w:val="48"/>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14"/>
        <w:gridCol w:w="3716"/>
        <w:gridCol w:w="3796"/>
        <w:gridCol w:w="491"/>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内容</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210" w:firstLineChars="100"/>
              <w:rPr>
                <w:sz w:val="21"/>
                <w:szCs w:val="21"/>
                <w:highlight w:val="none"/>
                <w:lang w:val="zh-CN"/>
              </w:rPr>
            </w:pPr>
            <w:r>
              <w:rPr>
                <w:rFonts w:hint="eastAsia"/>
                <w:sz w:val="21"/>
                <w:szCs w:val="21"/>
                <w:highlight w:val="none"/>
                <w:lang w:val="zh-CN"/>
              </w:rPr>
              <w:t>唐政字[2021]48号相关要求</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1050" w:firstLineChars="500"/>
              <w:rPr>
                <w:sz w:val="21"/>
                <w:szCs w:val="21"/>
                <w:highlight w:val="none"/>
                <w:lang w:val="zh-CN"/>
              </w:rPr>
            </w:pPr>
            <w:r>
              <w:rPr>
                <w:rFonts w:hint="eastAsia"/>
                <w:sz w:val="21"/>
                <w:szCs w:val="21"/>
                <w:highlight w:val="none"/>
                <w:lang w:val="zh-CN"/>
              </w:rPr>
              <w:t>项目拟建情况</w:t>
            </w:r>
          </w:p>
        </w:tc>
        <w:tc>
          <w:tcPr>
            <w:tcW w:w="28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优先保护单元</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hint="eastAsia"/>
                <w:sz w:val="21"/>
                <w:szCs w:val="21"/>
                <w:highlight w:val="none"/>
                <w:lang w:val="zh-CN"/>
              </w:rPr>
            </w:pPr>
            <w:r>
              <w:rPr>
                <w:rFonts w:hint="eastAsia"/>
                <w:sz w:val="21"/>
                <w:szCs w:val="21"/>
                <w:highlight w:val="none"/>
                <w:lang w:val="zh-CN"/>
              </w:rPr>
              <w:t>遵化市堡子店镇优先保护单元包括燕山水源涵养—生物多样性维护生态保护红线、遵化市堡子店水源地以及河北小渤海寨省级森林公园</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hint="eastAsia"/>
                <w:sz w:val="21"/>
                <w:szCs w:val="21"/>
                <w:highlight w:val="none"/>
                <w:lang w:val="zh-CN"/>
              </w:rPr>
            </w:pPr>
            <w:r>
              <w:rPr>
                <w:rFonts w:hint="eastAsia"/>
                <w:sz w:val="21"/>
                <w:szCs w:val="21"/>
                <w:highlight w:val="none"/>
                <w:lang w:val="zh-CN"/>
              </w:rPr>
              <w:t>本项目位于遵化市堡子店镇西新店子村南，距离划定的生态保护红线约2600米，距离河北小渤海寨省级森林公园约3300米，本项目不在遵化市堡子店水源地准保护区范围内，距离准保护区约3200m，不在遵化市堡子店镇优先保护单元内。</w:t>
            </w:r>
          </w:p>
        </w:tc>
        <w:tc>
          <w:tcPr>
            <w:tcW w:w="28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重点管控单元</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hint="eastAsia"/>
                <w:sz w:val="21"/>
                <w:szCs w:val="21"/>
                <w:highlight w:val="none"/>
                <w:lang w:val="zh-CN"/>
              </w:rPr>
            </w:pPr>
            <w:r>
              <w:rPr>
                <w:rFonts w:hint="eastAsia"/>
                <w:sz w:val="21"/>
                <w:szCs w:val="21"/>
                <w:highlight w:val="none"/>
                <w:lang w:val="zh-CN"/>
              </w:rPr>
              <w:t>遵化市堡子店镇重点</w:t>
            </w:r>
            <w:r>
              <w:rPr>
                <w:rFonts w:hint="eastAsia"/>
                <w:sz w:val="21"/>
                <w:szCs w:val="21"/>
                <w:highlight w:val="none"/>
                <w:lang w:val="zh-CN" w:eastAsia="zh-CN"/>
              </w:rPr>
              <w:t>管控</w:t>
            </w:r>
            <w:r>
              <w:rPr>
                <w:rFonts w:hint="eastAsia"/>
                <w:sz w:val="21"/>
                <w:szCs w:val="21"/>
                <w:highlight w:val="none"/>
                <w:lang w:val="zh-CN"/>
              </w:rPr>
              <w:t>单元环境要素类别为大气环境弱扩散重点管控区，管控维度包括空间布局约束、污染物排放管控、环境风险防控、资源利用效率要求，主要针对超贫磁铁矿开采、喷漆、喷涂、喷砂、电气焊等企业提出了相应管控要求。</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hint="eastAsia"/>
                <w:sz w:val="21"/>
                <w:szCs w:val="21"/>
                <w:highlight w:val="none"/>
                <w:lang w:val="zh-CN"/>
              </w:rPr>
            </w:pPr>
            <w:r>
              <w:rPr>
                <w:rFonts w:hint="eastAsia"/>
                <w:sz w:val="21"/>
                <w:szCs w:val="21"/>
                <w:highlight w:val="none"/>
                <w:lang w:val="zh-CN"/>
              </w:rPr>
              <w:t>本项目为铁矿选矿企业，不在遵化市堡子店镇重点保护单元管控范畴之内。</w:t>
            </w:r>
          </w:p>
        </w:tc>
        <w:tc>
          <w:tcPr>
            <w:tcW w:w="28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bl>
    <w:p>
      <w:pPr>
        <w:ind w:firstLine="480"/>
        <w:jc w:val="both"/>
        <w:textAlignment w:val="auto"/>
        <w:rPr>
          <w:kern w:val="2"/>
          <w:sz w:val="24"/>
          <w:szCs w:val="24"/>
          <w:highlight w:val="none"/>
        </w:rPr>
      </w:pPr>
      <w:r>
        <w:rPr>
          <w:rFonts w:hint="eastAsia"/>
          <w:kern w:val="2"/>
          <w:sz w:val="24"/>
          <w:szCs w:val="24"/>
          <w:highlight w:val="none"/>
        </w:rPr>
        <w:t>本项目位于</w:t>
      </w:r>
      <w:r>
        <w:rPr>
          <w:sz w:val="24"/>
          <w:szCs w:val="24"/>
          <w:highlight w:val="none"/>
        </w:rPr>
        <w:t>遵化市堡子店镇西新店子村</w:t>
      </w:r>
      <w:r>
        <w:rPr>
          <w:rFonts w:hint="eastAsia"/>
          <w:sz w:val="24"/>
          <w:szCs w:val="24"/>
          <w:highlight w:val="none"/>
        </w:rPr>
        <w:t>南，</w:t>
      </w:r>
      <w:r>
        <w:rPr>
          <w:rFonts w:hint="eastAsia"/>
          <w:kern w:val="2"/>
          <w:sz w:val="24"/>
          <w:szCs w:val="24"/>
          <w:highlight w:val="none"/>
        </w:rPr>
        <w:t>距离</w:t>
      </w:r>
      <w:r>
        <w:rPr>
          <w:kern w:val="2"/>
          <w:sz w:val="24"/>
          <w:szCs w:val="24"/>
          <w:highlight w:val="none"/>
        </w:rPr>
        <w:t>划定</w:t>
      </w:r>
      <w:r>
        <w:rPr>
          <w:rFonts w:hint="eastAsia"/>
          <w:kern w:val="2"/>
          <w:sz w:val="24"/>
          <w:szCs w:val="24"/>
          <w:highlight w:val="none"/>
        </w:rPr>
        <w:t>的</w:t>
      </w:r>
      <w:r>
        <w:rPr>
          <w:kern w:val="2"/>
          <w:sz w:val="24"/>
          <w:szCs w:val="24"/>
          <w:highlight w:val="none"/>
        </w:rPr>
        <w:t>生态保护红线</w:t>
      </w:r>
      <w:r>
        <w:rPr>
          <w:rFonts w:hint="eastAsia"/>
          <w:kern w:val="2"/>
          <w:sz w:val="24"/>
          <w:szCs w:val="24"/>
          <w:highlight w:val="none"/>
        </w:rPr>
        <w:t>约2600米</w:t>
      </w:r>
      <w:r>
        <w:rPr>
          <w:kern w:val="2"/>
          <w:sz w:val="24"/>
          <w:szCs w:val="24"/>
          <w:highlight w:val="none"/>
        </w:rPr>
        <w:t>，</w:t>
      </w:r>
      <w:r>
        <w:rPr>
          <w:rFonts w:hint="eastAsia"/>
          <w:sz w:val="24"/>
          <w:szCs w:val="24"/>
          <w:highlight w:val="none"/>
        </w:rPr>
        <w:t>距离</w:t>
      </w:r>
      <w:r>
        <w:rPr>
          <w:rFonts w:hint="eastAsia"/>
          <w:kern w:val="2"/>
          <w:sz w:val="24"/>
          <w:szCs w:val="24"/>
          <w:highlight w:val="none"/>
        </w:rPr>
        <w:t>河北小渤海寨省级森林公园约3300米，</w:t>
      </w:r>
      <w:r>
        <w:rPr>
          <w:sz w:val="24"/>
          <w:szCs w:val="24"/>
          <w:highlight w:val="none"/>
        </w:rPr>
        <w:t>本项目不在遵化市堡子店水源地准保护区范围内，距离准保护区约3</w:t>
      </w:r>
      <w:r>
        <w:rPr>
          <w:rFonts w:hint="eastAsia"/>
          <w:sz w:val="24"/>
          <w:szCs w:val="24"/>
          <w:highlight w:val="none"/>
        </w:rPr>
        <w:t>200</w:t>
      </w:r>
      <w:r>
        <w:rPr>
          <w:sz w:val="24"/>
          <w:szCs w:val="24"/>
          <w:highlight w:val="none"/>
        </w:rPr>
        <w:t>m，</w:t>
      </w:r>
      <w:r>
        <w:rPr>
          <w:rFonts w:hint="eastAsia"/>
          <w:sz w:val="24"/>
          <w:szCs w:val="24"/>
          <w:highlight w:val="none"/>
        </w:rPr>
        <w:t>不在</w:t>
      </w:r>
      <w:r>
        <w:rPr>
          <w:rFonts w:hint="eastAsia"/>
          <w:kern w:val="2"/>
          <w:sz w:val="24"/>
          <w:szCs w:val="24"/>
          <w:highlight w:val="none"/>
        </w:rPr>
        <w:t>遵化市堡子店镇</w:t>
      </w:r>
      <w:r>
        <w:rPr>
          <w:rFonts w:hint="eastAsia"/>
          <w:sz w:val="24"/>
          <w:szCs w:val="24"/>
          <w:highlight w:val="none"/>
        </w:rPr>
        <w:t>优先保护单元内。本项目为铁矿选矿企业，不在</w:t>
      </w:r>
      <w:r>
        <w:rPr>
          <w:rFonts w:hint="eastAsia"/>
          <w:kern w:val="2"/>
          <w:sz w:val="24"/>
          <w:szCs w:val="24"/>
          <w:highlight w:val="none"/>
        </w:rPr>
        <w:t>遵化市堡子店镇重点保护单元管控范畴之内。</w:t>
      </w:r>
    </w:p>
    <w:p>
      <w:pPr>
        <w:pStyle w:val="6"/>
        <w:rPr>
          <w:highlight w:val="none"/>
        </w:rPr>
      </w:pPr>
      <w:bookmarkStart w:id="227" w:name="_Toc521591750"/>
      <w:bookmarkStart w:id="228" w:name="_Toc4734"/>
      <w:r>
        <w:rPr>
          <w:highlight w:val="none"/>
        </w:rPr>
        <w:t>2.</w:t>
      </w:r>
      <w:r>
        <w:rPr>
          <w:rFonts w:hint="eastAsia"/>
          <w:highlight w:val="none"/>
        </w:rPr>
        <w:t>6</w:t>
      </w:r>
      <w:r>
        <w:rPr>
          <w:highlight w:val="none"/>
        </w:rPr>
        <w:t>.2环境功能区划</w:t>
      </w:r>
      <w:bookmarkEnd w:id="227"/>
      <w:bookmarkEnd w:id="228"/>
    </w:p>
    <w:p>
      <w:pPr>
        <w:ind w:left="425" w:firstLine="0" w:firstLineChars="0"/>
        <w:jc w:val="both"/>
        <w:rPr>
          <w:sz w:val="24"/>
          <w:szCs w:val="24"/>
          <w:highlight w:val="none"/>
        </w:rPr>
      </w:pPr>
      <w:r>
        <w:rPr>
          <w:sz w:val="24"/>
          <w:szCs w:val="24"/>
          <w:highlight w:val="none"/>
        </w:rPr>
        <w:t>（1）环境空气功能区划分</w:t>
      </w:r>
    </w:p>
    <w:p>
      <w:pPr>
        <w:ind w:firstLine="480"/>
        <w:jc w:val="both"/>
        <w:rPr>
          <w:sz w:val="24"/>
          <w:szCs w:val="24"/>
          <w:highlight w:val="none"/>
        </w:rPr>
      </w:pPr>
      <w:r>
        <w:rPr>
          <w:sz w:val="24"/>
          <w:szCs w:val="24"/>
          <w:highlight w:val="none"/>
        </w:rPr>
        <w:t>根据《环境空气质量标准》（GB3095-2012）中环境空气质量功能分类规定：“二类区为城镇规划中确定的居住区、商业交通居民混合区，文化区、一般工业区和农林地区”，结合本区域的具体情况，本区属于二类区，环境空气执行二级标准。</w:t>
      </w:r>
    </w:p>
    <w:p>
      <w:pPr>
        <w:ind w:firstLine="480"/>
        <w:jc w:val="both"/>
        <w:rPr>
          <w:sz w:val="24"/>
          <w:szCs w:val="24"/>
          <w:highlight w:val="none"/>
        </w:rPr>
      </w:pPr>
      <w:r>
        <w:rPr>
          <w:sz w:val="24"/>
          <w:szCs w:val="24"/>
          <w:highlight w:val="none"/>
        </w:rPr>
        <w:t>（2）地表水环境功能区划</w:t>
      </w:r>
    </w:p>
    <w:p>
      <w:pPr>
        <w:ind w:firstLine="480"/>
        <w:jc w:val="both"/>
        <w:rPr>
          <w:sz w:val="24"/>
          <w:szCs w:val="24"/>
          <w:highlight w:val="none"/>
        </w:rPr>
      </w:pPr>
      <w:r>
        <w:rPr>
          <w:sz w:val="24"/>
          <w:szCs w:val="24"/>
          <w:highlight w:val="none"/>
        </w:rPr>
        <w:t>根据《遵化市水环境功能区划》，黎河、沙河、淋河是遵化境内的三条主要河流，执行《地表水环境质量标准》（GB3838-2002）III类标准。距离本项目最近的地表水体为项目南侧约2</w:t>
      </w:r>
      <w:r>
        <w:rPr>
          <w:rFonts w:hint="eastAsia"/>
          <w:sz w:val="24"/>
          <w:szCs w:val="24"/>
          <w:highlight w:val="none"/>
        </w:rPr>
        <w:t>4</w:t>
      </w:r>
      <w:r>
        <w:rPr>
          <w:sz w:val="24"/>
          <w:szCs w:val="24"/>
          <w:highlight w:val="none"/>
        </w:rPr>
        <w:t>00m处的魏进河，属沙河的一级支流，参照执行《地表水环境质量标准》（GB3838-2002）III类标准。</w:t>
      </w:r>
    </w:p>
    <w:p>
      <w:pPr>
        <w:ind w:firstLine="480"/>
        <w:jc w:val="both"/>
        <w:rPr>
          <w:sz w:val="24"/>
          <w:szCs w:val="24"/>
          <w:highlight w:val="none"/>
        </w:rPr>
      </w:pPr>
      <w:r>
        <w:rPr>
          <w:sz w:val="24"/>
          <w:szCs w:val="24"/>
          <w:highlight w:val="none"/>
        </w:rPr>
        <w:t>（3）地下水环境功能区划</w:t>
      </w:r>
    </w:p>
    <w:p>
      <w:pPr>
        <w:ind w:firstLine="480"/>
        <w:jc w:val="both"/>
        <w:rPr>
          <w:sz w:val="24"/>
          <w:szCs w:val="24"/>
          <w:highlight w:val="none"/>
        </w:rPr>
      </w:pPr>
      <w:r>
        <w:rPr>
          <w:sz w:val="24"/>
          <w:szCs w:val="24"/>
          <w:highlight w:val="none"/>
        </w:rPr>
        <w:t>根据《地下水质量标准》（GB/T14848-2017)中地下水的分类要求：“以人体健康基准值为依据，主要适用于集中式生活饮用水水源及工、农业用水”，本项目所在区域地下水执行III类标准。</w:t>
      </w:r>
    </w:p>
    <w:p>
      <w:pPr>
        <w:ind w:firstLine="480"/>
        <w:jc w:val="both"/>
        <w:rPr>
          <w:sz w:val="24"/>
          <w:szCs w:val="24"/>
          <w:highlight w:val="none"/>
        </w:rPr>
      </w:pPr>
      <w:r>
        <w:rPr>
          <w:sz w:val="24"/>
          <w:szCs w:val="24"/>
          <w:highlight w:val="none"/>
        </w:rPr>
        <w:t>（4）声环境功能区划</w:t>
      </w:r>
    </w:p>
    <w:p>
      <w:pPr>
        <w:ind w:firstLine="480"/>
        <w:jc w:val="both"/>
        <w:rPr>
          <w:sz w:val="24"/>
          <w:szCs w:val="24"/>
          <w:highlight w:val="none"/>
        </w:rPr>
      </w:pPr>
      <w:r>
        <w:rPr>
          <w:sz w:val="24"/>
          <w:szCs w:val="24"/>
          <w:highlight w:val="none"/>
        </w:rPr>
        <w:t>根据《声环境质量标准》（GB3096-2008）的规定，本项目评价区环境噪声执行2类标准限值。</w:t>
      </w:r>
    </w:p>
    <w:p>
      <w:pPr>
        <w:spacing w:line="500" w:lineRule="exact"/>
        <w:ind w:firstLine="0" w:firstLineChars="0"/>
        <w:rPr>
          <w:sz w:val="24"/>
          <w:szCs w:val="24"/>
          <w:highlight w:val="gree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pP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29" w:name="_Toc27875"/>
      <w:bookmarkStart w:id="230" w:name="_Toc13121"/>
      <w:bookmarkStart w:id="231" w:name="_Toc503218100"/>
      <w:bookmarkStart w:id="232" w:name="_Toc8065"/>
      <w:bookmarkStart w:id="233" w:name="_Toc521591751"/>
      <w:bookmarkStart w:id="234" w:name="_Toc536557285"/>
      <w:bookmarkStart w:id="235" w:name="_Toc524284663"/>
      <w:bookmarkStart w:id="236" w:name="_Toc499651401"/>
      <w:bookmarkStart w:id="237" w:name="_Toc477175414"/>
      <w:r>
        <w:rPr>
          <w:rFonts w:ascii="Times New Roman" w:hAnsi="Times New Roman" w:eastAsia="宋体"/>
          <w:bCs w:val="0"/>
          <w:snapToGrid w:val="0"/>
          <w:kern w:val="0"/>
          <w:sz w:val="28"/>
          <w:szCs w:val="28"/>
          <w:highlight w:val="none"/>
        </w:rPr>
        <w:t>主要环境保护目标</w:t>
      </w:r>
      <w:bookmarkEnd w:id="229"/>
      <w:bookmarkEnd w:id="230"/>
      <w:bookmarkEnd w:id="231"/>
      <w:bookmarkEnd w:id="232"/>
      <w:bookmarkEnd w:id="233"/>
      <w:bookmarkEnd w:id="234"/>
      <w:bookmarkEnd w:id="235"/>
      <w:bookmarkEnd w:id="236"/>
      <w:bookmarkEnd w:id="237"/>
    </w:p>
    <w:p>
      <w:pPr>
        <w:ind w:firstLine="480"/>
        <w:jc w:val="both"/>
        <w:rPr>
          <w:sz w:val="24"/>
          <w:szCs w:val="24"/>
          <w:highlight w:val="none"/>
        </w:rPr>
      </w:pPr>
      <w:r>
        <w:rPr>
          <w:sz w:val="24"/>
          <w:szCs w:val="24"/>
          <w:highlight w:val="none"/>
        </w:rPr>
        <w:t>本项目场区所在区域无自然保护区、风景名胜区等特殊环境敏感区。结合工程特点，确定本评价主要保护目标为：评价区环境空气、地表水、地下水及周围村庄居民。</w:t>
      </w:r>
    </w:p>
    <w:p>
      <w:pPr>
        <w:ind w:firstLine="480"/>
        <w:jc w:val="both"/>
        <w:rPr>
          <w:sz w:val="24"/>
          <w:szCs w:val="24"/>
          <w:highlight w:val="none"/>
        </w:rPr>
      </w:pPr>
      <w:r>
        <w:rPr>
          <w:sz w:val="24"/>
          <w:szCs w:val="24"/>
          <w:highlight w:val="none"/>
        </w:rPr>
        <w:t>本工程环境保护目标详细内容见表2.</w:t>
      </w:r>
      <w:r>
        <w:rPr>
          <w:rFonts w:hint="eastAsia"/>
          <w:sz w:val="24"/>
          <w:szCs w:val="24"/>
          <w:highlight w:val="none"/>
        </w:rPr>
        <w:t>7</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7</w:t>
      </w:r>
      <w:r>
        <w:rPr>
          <w:rFonts w:eastAsia="黑体"/>
          <w:kern w:val="2"/>
          <w:sz w:val="21"/>
          <w:szCs w:val="21"/>
          <w:highlight w:val="none"/>
        </w:rPr>
        <w:t>-1    项目周围环境保护目标一览表</w:t>
      </w:r>
    </w:p>
    <w:tbl>
      <w:tblPr>
        <w:tblStyle w:val="48"/>
        <w:tblW w:w="8823"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45"/>
        <w:gridCol w:w="994"/>
        <w:gridCol w:w="1065"/>
        <w:gridCol w:w="1273"/>
        <w:gridCol w:w="775"/>
        <w:gridCol w:w="851"/>
        <w:gridCol w:w="853"/>
        <w:gridCol w:w="1132"/>
        <w:gridCol w:w="123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645" w:type="dxa"/>
            <w:vMerge w:val="restart"/>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w:t>
            </w:r>
          </w:p>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要素</w:t>
            </w:r>
          </w:p>
        </w:tc>
        <w:tc>
          <w:tcPr>
            <w:tcW w:w="2059" w:type="dxa"/>
            <w:gridSpan w:val="2"/>
            <w:tcBorders>
              <w:bottom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坐标</w:t>
            </w:r>
          </w:p>
        </w:tc>
        <w:tc>
          <w:tcPr>
            <w:tcW w:w="1273" w:type="dxa"/>
            <w:vMerge w:val="restart"/>
            <w:tcBorders>
              <w:lef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保护对象</w:t>
            </w:r>
          </w:p>
        </w:tc>
        <w:tc>
          <w:tcPr>
            <w:tcW w:w="775" w:type="dxa"/>
            <w:vMerge w:val="restart"/>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保护</w:t>
            </w:r>
          </w:p>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内容</w:t>
            </w:r>
          </w:p>
        </w:tc>
        <w:tc>
          <w:tcPr>
            <w:tcW w:w="851" w:type="dxa"/>
            <w:vMerge w:val="restart"/>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环境功能区</w:t>
            </w:r>
          </w:p>
        </w:tc>
        <w:tc>
          <w:tcPr>
            <w:tcW w:w="853" w:type="dxa"/>
            <w:vMerge w:val="restart"/>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相对厂址方位</w:t>
            </w:r>
          </w:p>
        </w:tc>
        <w:tc>
          <w:tcPr>
            <w:tcW w:w="1132" w:type="dxa"/>
            <w:vMerge w:val="restart"/>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相对厂界距离（m）</w:t>
            </w:r>
          </w:p>
        </w:tc>
        <w:tc>
          <w:tcPr>
            <w:tcW w:w="1235" w:type="dxa"/>
            <w:vMerge w:val="restart"/>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保护级别</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64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top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X</w:t>
            </w:r>
          </w:p>
        </w:tc>
        <w:tc>
          <w:tcPr>
            <w:tcW w:w="1065" w:type="dxa"/>
            <w:tcBorders>
              <w:top w:val="single" w:color="auto" w:sz="4" w:space="0"/>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Y</w:t>
            </w:r>
          </w:p>
        </w:tc>
        <w:tc>
          <w:tcPr>
            <w:tcW w:w="1273" w:type="dxa"/>
            <w:vMerge w:val="continue"/>
            <w:tcBorders>
              <w:lef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77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1132"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restart"/>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w:t>
            </w:r>
          </w:p>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空气</w:t>
            </w: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117.8092</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40.1508</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西新店子村</w:t>
            </w:r>
          </w:p>
        </w:tc>
        <w:tc>
          <w:tcPr>
            <w:tcW w:w="775"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restart"/>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二类区</w:t>
            </w: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N</w:t>
            </w:r>
          </w:p>
        </w:tc>
        <w:tc>
          <w:tcPr>
            <w:tcW w:w="1132" w:type="dxa"/>
            <w:tcBorders>
              <w:bottom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620</w:t>
            </w:r>
          </w:p>
        </w:tc>
        <w:tc>
          <w:tcPr>
            <w:tcW w:w="1235" w:type="dxa"/>
            <w:vMerge w:val="restart"/>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《环境空气质量标准》（GB3095-2012）二级</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117.8228</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40.1590</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堡子店村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NE</w:t>
            </w:r>
          </w:p>
        </w:tc>
        <w:tc>
          <w:tcPr>
            <w:tcW w:w="1132" w:type="dxa"/>
            <w:tcBorders>
              <w:top w:val="single" w:color="auto" w:sz="4" w:space="0"/>
              <w:bottom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1800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117.8131</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40.1348</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贾庄子村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S</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680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117.8136</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40.1311</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季庄子村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S</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1160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117.8027</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40.1308</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窄各庄村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SW</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1400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117.7835</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40.1402</w:t>
            </w:r>
          </w:p>
        </w:tc>
        <w:tc>
          <w:tcPr>
            <w:tcW w:w="1273" w:type="dxa"/>
            <w:tcBorders>
              <w:lef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九间房</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W</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2410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117.7891</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40.1474</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屈家铺村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NW</w:t>
            </w:r>
          </w:p>
        </w:tc>
        <w:tc>
          <w:tcPr>
            <w:tcW w:w="1132" w:type="dxa"/>
            <w:tcBorders>
              <w:top w:val="single" w:color="auto" w:sz="4" w:space="0"/>
              <w:bottom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2050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117.7880</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40.1517</w:t>
            </w:r>
          </w:p>
        </w:tc>
        <w:tc>
          <w:tcPr>
            <w:tcW w:w="1273" w:type="dxa"/>
            <w:tcBorders>
              <w:lef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傅家铺村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NW</w:t>
            </w:r>
          </w:p>
        </w:tc>
        <w:tc>
          <w:tcPr>
            <w:tcW w:w="1132" w:type="dxa"/>
            <w:tcBorders>
              <w:top w:val="single" w:color="auto" w:sz="4" w:space="0"/>
              <w:bottom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2330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117.7924</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40.1574</w:t>
            </w:r>
          </w:p>
        </w:tc>
        <w:tc>
          <w:tcPr>
            <w:tcW w:w="1273" w:type="dxa"/>
            <w:tcBorders>
              <w:lef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王家铺村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N</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1200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117.8070</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40.1666</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孟家铺村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NE</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1950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117.8324</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40.1436</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大曹各寨村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E</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1580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117.8109</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40.1275</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小渤海寨村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S</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1670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117.7956</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40.1255</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提举坞村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SW</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2260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117.7809</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40.1607</w:t>
            </w:r>
          </w:p>
        </w:tc>
        <w:tc>
          <w:tcPr>
            <w:tcW w:w="1273" w:type="dxa"/>
            <w:tcBorders>
              <w:left w:val="single" w:color="auto" w:sz="4" w:space="0"/>
            </w:tcBorders>
            <w:vAlign w:val="center"/>
          </w:tcPr>
          <w:p>
            <w:pPr>
              <w:widowControl/>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北窑村</w:t>
            </w:r>
          </w:p>
        </w:tc>
        <w:tc>
          <w:tcPr>
            <w:tcW w:w="775" w:type="dxa"/>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居民</w:t>
            </w:r>
          </w:p>
        </w:tc>
        <w:tc>
          <w:tcPr>
            <w:tcW w:w="851"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c>
          <w:tcPr>
            <w:tcW w:w="853" w:type="dxa"/>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NW</w:t>
            </w:r>
          </w:p>
        </w:tc>
        <w:tc>
          <w:tcPr>
            <w:tcW w:w="1132" w:type="dxa"/>
            <w:tcBorders>
              <w:top w:val="single" w:color="auto" w:sz="4" w:space="0"/>
              <w:bottom w:val="single" w:color="auto" w:sz="4" w:space="0"/>
            </w:tcBorders>
            <w:vAlign w:val="center"/>
          </w:tcPr>
          <w:p>
            <w:pPr>
              <w:pStyle w:val="129"/>
              <w:spacing w:line="240" w:lineRule="auto"/>
              <w:rPr>
                <w:rFonts w:hint="default" w:ascii="Times New Roman" w:hAnsi="Times New Roman" w:cs="Times New Roman"/>
                <w:highlight w:val="none"/>
              </w:rPr>
            </w:pPr>
            <w:r>
              <w:rPr>
                <w:rFonts w:hint="default" w:ascii="Times New Roman" w:hAnsi="Times New Roman" w:cs="Times New Roman"/>
                <w:highlight w:val="none"/>
              </w:rPr>
              <w:t>2050</w:t>
            </w:r>
          </w:p>
        </w:tc>
        <w:tc>
          <w:tcPr>
            <w:tcW w:w="1235" w:type="dxa"/>
            <w:vMerge w:val="continue"/>
            <w:vAlign w:val="center"/>
          </w:tcPr>
          <w:p>
            <w:pPr>
              <w:snapToGrid w:val="0"/>
              <w:spacing w:line="240" w:lineRule="auto"/>
              <w:ind w:firstLine="0" w:firstLineChars="0"/>
              <w:jc w:val="center"/>
              <w:rPr>
                <w:rFonts w:hint="default" w:ascii="Times New Roman" w:hAnsi="Times New Roman" w:cs="Times New Roman"/>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15" w:hRule="atLeast"/>
          <w:jc w:val="center"/>
        </w:trPr>
        <w:tc>
          <w:tcPr>
            <w:tcW w:w="645" w:type="dxa"/>
            <w:tcBorders>
              <w:left w:val="nil"/>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w:t>
            </w:r>
          </w:p>
        </w:tc>
        <w:tc>
          <w:tcPr>
            <w:tcW w:w="3332" w:type="dxa"/>
            <w:gridSpan w:val="3"/>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魏进河</w:t>
            </w:r>
          </w:p>
        </w:tc>
        <w:tc>
          <w:tcPr>
            <w:tcW w:w="775"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河流</w:t>
            </w:r>
          </w:p>
        </w:tc>
        <w:tc>
          <w:tcPr>
            <w:tcW w:w="851"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III类</w:t>
            </w:r>
          </w:p>
        </w:tc>
        <w:tc>
          <w:tcPr>
            <w:tcW w:w="853"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 xml:space="preserve">S </w:t>
            </w:r>
          </w:p>
        </w:tc>
        <w:tc>
          <w:tcPr>
            <w:tcW w:w="1132"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2400</w:t>
            </w:r>
          </w:p>
        </w:tc>
        <w:tc>
          <w:tcPr>
            <w:tcW w:w="1235"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《地表水环境质量标准》（GB3838-2002）Ⅲ类标准</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声环境</w:t>
            </w:r>
          </w:p>
        </w:tc>
        <w:tc>
          <w:tcPr>
            <w:tcW w:w="4107" w:type="dxa"/>
            <w:gridSpan w:val="4"/>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项目厂界外200m</w:t>
            </w:r>
          </w:p>
        </w:tc>
        <w:tc>
          <w:tcPr>
            <w:tcW w:w="851"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2类</w:t>
            </w:r>
          </w:p>
        </w:tc>
        <w:tc>
          <w:tcPr>
            <w:tcW w:w="853" w:type="dxa"/>
            <w:tcBorders>
              <w:lef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132"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235"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《声环境</w:t>
            </w:r>
          </w:p>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质量标准》(GB3096-2008)</w:t>
            </w:r>
          </w:p>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2类区标准</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地下水</w:t>
            </w:r>
          </w:p>
        </w:tc>
        <w:tc>
          <w:tcPr>
            <w:tcW w:w="4107" w:type="dxa"/>
            <w:gridSpan w:val="4"/>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评价区内地下水以及评价范围内村庄饮用水井（详见下表2.7-2）</w:t>
            </w:r>
          </w:p>
        </w:tc>
        <w:tc>
          <w:tcPr>
            <w:tcW w:w="851" w:type="dxa"/>
            <w:tcBorders>
              <w:left w:val="single" w:color="auto" w:sz="4" w:space="0"/>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饮用</w:t>
            </w:r>
          </w:p>
        </w:tc>
        <w:tc>
          <w:tcPr>
            <w:tcW w:w="853" w:type="dxa"/>
            <w:tcBorders>
              <w:lef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132"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235" w:type="dxa"/>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《地下水质量标准》</w:t>
            </w:r>
          </w:p>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（GB/T14848-2017）Ⅲ类标准</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Align w:val="center"/>
          </w:tcPr>
          <w:p>
            <w:pPr>
              <w:snapToGrid w:val="0"/>
              <w:spacing w:line="240" w:lineRule="auto"/>
              <w:ind w:firstLine="0" w:firstLineChars="0"/>
              <w:jc w:val="center"/>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eastAsia="zh-CN"/>
              </w:rPr>
              <w:t>土壤</w:t>
            </w:r>
          </w:p>
        </w:tc>
        <w:tc>
          <w:tcPr>
            <w:tcW w:w="4107" w:type="dxa"/>
            <w:gridSpan w:val="4"/>
            <w:tcBorders>
              <w:righ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选矿厂占地范围及厂界外0.05m范围内</w:t>
            </w:r>
          </w:p>
        </w:tc>
        <w:tc>
          <w:tcPr>
            <w:tcW w:w="4071" w:type="dxa"/>
            <w:gridSpan w:val="4"/>
            <w:tcBorders>
              <w:left w:val="single" w:color="auto" w:sz="4" w:space="0"/>
            </w:tcBorders>
            <w:vAlign w:val="center"/>
          </w:tcPr>
          <w:p>
            <w:pPr>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《土壤环境质量 建设用地土壤污染风险管 控标准(试行)》 (GB36600-2018)第二类用地土壤污染风险筛选值</w:t>
            </w:r>
          </w:p>
        </w:tc>
      </w:tr>
    </w:tbl>
    <w:p>
      <w:pPr>
        <w:snapToGrid w:val="0"/>
        <w:ind w:firstLine="480"/>
        <w:rPr>
          <w:sz w:val="24"/>
          <w:highlight w:val="none"/>
        </w:rPr>
      </w:pPr>
      <w:bookmarkStart w:id="238" w:name="_Hlk532031554"/>
      <w:r>
        <w:rPr>
          <w:rFonts w:hint="eastAsia"/>
          <w:sz w:val="24"/>
          <w:szCs w:val="24"/>
          <w:highlight w:val="none"/>
        </w:rPr>
        <w:t>根据野外调查，项目区附近地下水流向为自西北向东南，厂区下游及侧向保护目标</w:t>
      </w:r>
      <w:r>
        <w:rPr>
          <w:sz w:val="24"/>
          <w:szCs w:val="24"/>
          <w:highlight w:val="none"/>
        </w:rPr>
        <w:t>包括</w:t>
      </w:r>
      <w:r>
        <w:rPr>
          <w:rFonts w:hint="eastAsia"/>
          <w:sz w:val="24"/>
          <w:szCs w:val="24"/>
          <w:highlight w:val="none"/>
        </w:rPr>
        <w:t>5</w:t>
      </w:r>
      <w:r>
        <w:rPr>
          <w:sz w:val="24"/>
          <w:szCs w:val="24"/>
          <w:highlight w:val="none"/>
        </w:rPr>
        <w:t>个村庄</w:t>
      </w:r>
      <w:r>
        <w:rPr>
          <w:rFonts w:hint="eastAsia"/>
          <w:sz w:val="24"/>
          <w:szCs w:val="24"/>
          <w:highlight w:val="none"/>
        </w:rPr>
        <w:t>分散式饮用水井。</w:t>
      </w:r>
    </w:p>
    <w:p>
      <w:pPr>
        <w:ind w:firstLine="480"/>
        <w:jc w:val="both"/>
        <w:rPr>
          <w:sz w:val="24"/>
          <w:szCs w:val="24"/>
          <w:highlight w:val="none"/>
        </w:rPr>
      </w:pPr>
      <w:r>
        <w:rPr>
          <w:rFonts w:hint="eastAsia"/>
          <w:sz w:val="24"/>
          <w:szCs w:val="24"/>
          <w:highlight w:val="none"/>
        </w:rPr>
        <w:t>根据评价</w:t>
      </w:r>
      <w:r>
        <w:rPr>
          <w:sz w:val="24"/>
          <w:szCs w:val="24"/>
          <w:highlight w:val="none"/>
        </w:rPr>
        <w:t>区水文地质条件及</w:t>
      </w:r>
      <w:r>
        <w:rPr>
          <w:rFonts w:hint="eastAsia"/>
          <w:sz w:val="24"/>
          <w:szCs w:val="24"/>
          <w:highlight w:val="none"/>
        </w:rPr>
        <w:t>项目区</w:t>
      </w:r>
      <w:r>
        <w:rPr>
          <w:sz w:val="24"/>
          <w:szCs w:val="24"/>
          <w:highlight w:val="none"/>
        </w:rPr>
        <w:t>实施</w:t>
      </w:r>
      <w:r>
        <w:rPr>
          <w:rFonts w:hint="eastAsia"/>
          <w:sz w:val="24"/>
          <w:szCs w:val="24"/>
          <w:highlight w:val="none"/>
        </w:rPr>
        <w:t>后</w:t>
      </w:r>
      <w:r>
        <w:rPr>
          <w:sz w:val="24"/>
          <w:szCs w:val="24"/>
          <w:highlight w:val="none"/>
        </w:rPr>
        <w:t>地下水环境影响因素及可能的影响范围，确定地下水方面的重点保护目标</w:t>
      </w:r>
      <w:r>
        <w:rPr>
          <w:rFonts w:hint="eastAsia"/>
          <w:sz w:val="24"/>
          <w:szCs w:val="24"/>
          <w:highlight w:val="none"/>
        </w:rPr>
        <w:t>。</w:t>
      </w:r>
      <w:r>
        <w:rPr>
          <w:sz w:val="24"/>
          <w:szCs w:val="24"/>
          <w:highlight w:val="none"/>
        </w:rPr>
        <w:t>具体信息见表2</w:t>
      </w:r>
      <w:r>
        <w:rPr>
          <w:rFonts w:hint="eastAsia"/>
          <w:sz w:val="24"/>
          <w:szCs w:val="24"/>
          <w:highlight w:val="none"/>
        </w:rPr>
        <w:t>.7-2。</w:t>
      </w:r>
    </w:p>
    <w:p>
      <w:pPr>
        <w:spacing w:line="240" w:lineRule="auto"/>
        <w:ind w:firstLine="0" w:firstLineChars="0"/>
        <w:jc w:val="center"/>
        <w:textAlignment w:val="auto"/>
        <w:rPr>
          <w:rFonts w:eastAsia="黑体"/>
          <w:kern w:val="2"/>
          <w:sz w:val="21"/>
          <w:szCs w:val="21"/>
          <w:highlight w:val="none"/>
        </w:rPr>
      </w:pPr>
      <w:r>
        <w:rPr>
          <w:rFonts w:hint="eastAsia" w:eastAsia="黑体"/>
          <w:kern w:val="2"/>
          <w:sz w:val="21"/>
          <w:szCs w:val="21"/>
          <w:highlight w:val="none"/>
        </w:rPr>
        <w:t>表2.7-2     地下水评价环境保护目标表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518"/>
        <w:gridCol w:w="800"/>
        <w:gridCol w:w="672"/>
        <w:gridCol w:w="697"/>
        <w:gridCol w:w="1092"/>
        <w:gridCol w:w="457"/>
        <w:gridCol w:w="984"/>
        <w:gridCol w:w="28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保护目标</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井深</w:t>
            </w:r>
          </w:p>
          <w:p>
            <w:pPr>
              <w:pStyle w:val="19"/>
              <w:spacing w:after="0" w:line="240" w:lineRule="auto"/>
              <w:ind w:firstLine="0" w:firstLineChars="0"/>
              <w:jc w:val="center"/>
              <w:rPr>
                <w:sz w:val="21"/>
                <w:szCs w:val="21"/>
                <w:highlight w:val="none"/>
              </w:rPr>
            </w:pPr>
            <w:r>
              <w:rPr>
                <w:sz w:val="21"/>
                <w:szCs w:val="21"/>
                <w:highlight w:val="none"/>
              </w:rPr>
              <w:t>（m）</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和项目区上下游关系</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供水人数</w:t>
            </w:r>
          </w:p>
        </w:tc>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供水</w:t>
            </w:r>
          </w:p>
          <w:p>
            <w:pPr>
              <w:widowControl/>
              <w:spacing w:line="240" w:lineRule="auto"/>
              <w:ind w:firstLine="0" w:firstLineChars="0"/>
              <w:jc w:val="center"/>
              <w:rPr>
                <w:sz w:val="21"/>
                <w:szCs w:val="21"/>
                <w:highlight w:val="none"/>
              </w:rPr>
            </w:pPr>
            <w:r>
              <w:rPr>
                <w:rFonts w:hint="eastAsia"/>
                <w:sz w:val="21"/>
                <w:szCs w:val="21"/>
                <w:highlight w:val="none"/>
              </w:rPr>
              <w:t>规模（m</w:t>
            </w:r>
            <w:r>
              <w:rPr>
                <w:rFonts w:hint="eastAsia"/>
                <w:sz w:val="21"/>
                <w:szCs w:val="21"/>
                <w:highlight w:val="none"/>
                <w:vertAlign w:val="superscript"/>
              </w:rPr>
              <w:t>3</w:t>
            </w:r>
            <w:r>
              <w:rPr>
                <w:rFonts w:hint="eastAsia"/>
                <w:sz w:val="21"/>
                <w:szCs w:val="21"/>
                <w:highlight w:val="none"/>
              </w:rPr>
              <w:t>/d）</w:t>
            </w:r>
          </w:p>
        </w:tc>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功能</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和项目区距离（m）</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保护</w:t>
            </w:r>
          </w:p>
          <w:p>
            <w:pPr>
              <w:widowControl/>
              <w:spacing w:line="240" w:lineRule="auto"/>
              <w:ind w:firstLine="0" w:firstLineChars="0"/>
              <w:jc w:val="center"/>
              <w:rPr>
                <w:sz w:val="21"/>
                <w:szCs w:val="21"/>
                <w:highlight w:val="none"/>
              </w:rPr>
            </w:pPr>
            <w:r>
              <w:rPr>
                <w:sz w:val="21"/>
                <w:szCs w:val="21"/>
                <w:highlight w:val="none"/>
              </w:rPr>
              <w:t>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0" w:type="auto"/>
            <w:vAlign w:val="center"/>
          </w:tcPr>
          <w:p>
            <w:pPr>
              <w:widowControl/>
              <w:spacing w:line="240" w:lineRule="auto"/>
              <w:ind w:firstLine="0" w:firstLineChars="0"/>
              <w:jc w:val="center"/>
              <w:rPr>
                <w:sz w:val="21"/>
                <w:szCs w:val="21"/>
                <w:highlight w:val="none"/>
              </w:rPr>
            </w:pPr>
            <w:r>
              <w:rPr>
                <w:sz w:val="21"/>
                <w:szCs w:val="21"/>
                <w:highlight w:val="none"/>
              </w:rPr>
              <w:t>1</w:t>
            </w:r>
          </w:p>
        </w:tc>
        <w:tc>
          <w:tcPr>
            <w:tcW w:w="0" w:type="auto"/>
            <w:vAlign w:val="center"/>
          </w:tcPr>
          <w:p>
            <w:pPr>
              <w:pStyle w:val="19"/>
              <w:spacing w:after="0" w:line="240" w:lineRule="auto"/>
              <w:ind w:firstLine="0" w:firstLineChars="0"/>
              <w:jc w:val="center"/>
              <w:rPr>
                <w:sz w:val="21"/>
                <w:szCs w:val="21"/>
                <w:highlight w:val="none"/>
              </w:rPr>
            </w:pPr>
            <w:r>
              <w:rPr>
                <w:sz w:val="21"/>
                <w:szCs w:val="21"/>
                <w:highlight w:val="none"/>
              </w:rPr>
              <w:t>西新店子</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190</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侧向</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1850</w:t>
            </w:r>
          </w:p>
        </w:tc>
        <w:tc>
          <w:tcPr>
            <w:tcW w:w="0" w:type="auto"/>
            <w:vAlign w:val="center"/>
          </w:tcPr>
          <w:p>
            <w:pPr>
              <w:widowControl/>
              <w:ind w:firstLine="0" w:firstLineChars="0"/>
              <w:jc w:val="center"/>
              <w:rPr>
                <w:sz w:val="21"/>
                <w:szCs w:val="21"/>
                <w:highlight w:val="none"/>
              </w:rPr>
            </w:pPr>
            <w:r>
              <w:rPr>
                <w:sz w:val="21"/>
                <w:szCs w:val="21"/>
                <w:highlight w:val="none"/>
              </w:rPr>
              <w:t>92.5</w:t>
            </w:r>
          </w:p>
        </w:tc>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1126</w:t>
            </w:r>
          </w:p>
        </w:tc>
        <w:tc>
          <w:tcPr>
            <w:tcW w:w="0" w:type="auto"/>
            <w:vMerge w:val="restart"/>
            <w:vAlign w:val="center"/>
          </w:tcPr>
          <w:p>
            <w:pPr>
              <w:widowControl/>
              <w:spacing w:line="240" w:lineRule="auto"/>
              <w:ind w:firstLine="0" w:firstLineChars="0"/>
              <w:jc w:val="center"/>
              <w:rPr>
                <w:sz w:val="21"/>
                <w:szCs w:val="21"/>
                <w:highlight w:val="none"/>
              </w:rPr>
            </w:pPr>
            <w:r>
              <w:rPr>
                <w:sz w:val="21"/>
                <w:szCs w:val="21"/>
                <w:highlight w:val="none"/>
              </w:rPr>
              <w:t>总体满足《地下水质量标准》（GB/T14848－2017）III类标准；不破坏现有地下水使用功能，地下水质量不低于现状。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0" w:type="auto"/>
            <w:vAlign w:val="center"/>
          </w:tcPr>
          <w:p>
            <w:pPr>
              <w:widowControl/>
              <w:spacing w:line="240" w:lineRule="auto"/>
              <w:ind w:firstLine="0" w:firstLineChars="0"/>
              <w:jc w:val="center"/>
              <w:rPr>
                <w:sz w:val="21"/>
                <w:szCs w:val="21"/>
                <w:highlight w:val="none"/>
              </w:rPr>
            </w:pPr>
            <w:r>
              <w:rPr>
                <w:sz w:val="21"/>
                <w:szCs w:val="21"/>
                <w:highlight w:val="none"/>
              </w:rPr>
              <w:t>2</w:t>
            </w:r>
          </w:p>
        </w:tc>
        <w:tc>
          <w:tcPr>
            <w:tcW w:w="0" w:type="auto"/>
            <w:vAlign w:val="center"/>
          </w:tcPr>
          <w:p>
            <w:pPr>
              <w:pStyle w:val="19"/>
              <w:spacing w:after="0" w:line="240" w:lineRule="auto"/>
              <w:ind w:firstLine="0" w:firstLineChars="0"/>
              <w:jc w:val="center"/>
              <w:rPr>
                <w:sz w:val="21"/>
                <w:szCs w:val="21"/>
                <w:highlight w:val="none"/>
              </w:rPr>
            </w:pPr>
            <w:r>
              <w:rPr>
                <w:sz w:val="21"/>
                <w:szCs w:val="21"/>
                <w:highlight w:val="none"/>
              </w:rPr>
              <w:t>贾庄子村</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175</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侧向</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825</w:t>
            </w:r>
          </w:p>
        </w:tc>
        <w:tc>
          <w:tcPr>
            <w:tcW w:w="0" w:type="auto"/>
            <w:vAlign w:val="center"/>
          </w:tcPr>
          <w:p>
            <w:pPr>
              <w:widowControl/>
              <w:ind w:firstLine="0" w:firstLineChars="0"/>
              <w:jc w:val="center"/>
              <w:rPr>
                <w:sz w:val="21"/>
                <w:szCs w:val="21"/>
                <w:highlight w:val="none"/>
              </w:rPr>
            </w:pPr>
            <w:r>
              <w:rPr>
                <w:sz w:val="21"/>
                <w:szCs w:val="21"/>
                <w:highlight w:val="none"/>
              </w:rPr>
              <w:t>41.25</w:t>
            </w:r>
          </w:p>
        </w:tc>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2058</w:t>
            </w:r>
          </w:p>
        </w:tc>
        <w:tc>
          <w:tcPr>
            <w:tcW w:w="0" w:type="auto"/>
            <w:vMerge w:val="continue"/>
            <w:vAlign w:val="center"/>
          </w:tcPr>
          <w:p>
            <w:pPr>
              <w:widowControl/>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0" w:type="auto"/>
            <w:vAlign w:val="center"/>
          </w:tcPr>
          <w:p>
            <w:pPr>
              <w:widowControl/>
              <w:spacing w:line="240" w:lineRule="auto"/>
              <w:ind w:firstLine="0" w:firstLineChars="0"/>
              <w:jc w:val="center"/>
              <w:rPr>
                <w:sz w:val="21"/>
                <w:szCs w:val="21"/>
                <w:highlight w:val="none"/>
              </w:rPr>
            </w:pPr>
            <w:r>
              <w:rPr>
                <w:sz w:val="21"/>
                <w:szCs w:val="21"/>
                <w:highlight w:val="none"/>
              </w:rPr>
              <w:t>3</w:t>
            </w:r>
          </w:p>
        </w:tc>
        <w:tc>
          <w:tcPr>
            <w:tcW w:w="0" w:type="auto"/>
            <w:vAlign w:val="center"/>
          </w:tcPr>
          <w:p>
            <w:pPr>
              <w:pStyle w:val="19"/>
              <w:spacing w:after="0" w:line="240" w:lineRule="auto"/>
              <w:ind w:firstLine="0" w:firstLineChars="0"/>
              <w:jc w:val="center"/>
              <w:rPr>
                <w:sz w:val="21"/>
                <w:szCs w:val="21"/>
                <w:highlight w:val="none"/>
              </w:rPr>
            </w:pPr>
            <w:r>
              <w:rPr>
                <w:sz w:val="21"/>
                <w:szCs w:val="21"/>
                <w:highlight w:val="none"/>
              </w:rPr>
              <w:t>大曹各寨</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25-35</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下游</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1676</w:t>
            </w:r>
          </w:p>
        </w:tc>
        <w:tc>
          <w:tcPr>
            <w:tcW w:w="0" w:type="auto"/>
            <w:vAlign w:val="center"/>
          </w:tcPr>
          <w:p>
            <w:pPr>
              <w:widowControl/>
              <w:ind w:firstLine="0" w:firstLineChars="0"/>
              <w:jc w:val="center"/>
              <w:rPr>
                <w:sz w:val="21"/>
                <w:szCs w:val="21"/>
                <w:highlight w:val="none"/>
              </w:rPr>
            </w:pPr>
            <w:r>
              <w:rPr>
                <w:sz w:val="21"/>
                <w:szCs w:val="21"/>
                <w:highlight w:val="none"/>
              </w:rPr>
              <w:t>83.8</w:t>
            </w:r>
          </w:p>
        </w:tc>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2340</w:t>
            </w:r>
          </w:p>
        </w:tc>
        <w:tc>
          <w:tcPr>
            <w:tcW w:w="0" w:type="auto"/>
            <w:vMerge w:val="continue"/>
            <w:vAlign w:val="center"/>
          </w:tcPr>
          <w:p>
            <w:pPr>
              <w:widowControl/>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4</w:t>
            </w:r>
          </w:p>
        </w:tc>
        <w:tc>
          <w:tcPr>
            <w:tcW w:w="0" w:type="auto"/>
            <w:vAlign w:val="center"/>
          </w:tcPr>
          <w:p>
            <w:pPr>
              <w:pStyle w:val="19"/>
              <w:spacing w:after="0" w:line="240" w:lineRule="auto"/>
              <w:ind w:firstLine="0" w:firstLineChars="0"/>
              <w:jc w:val="center"/>
              <w:rPr>
                <w:sz w:val="21"/>
                <w:szCs w:val="21"/>
                <w:highlight w:val="none"/>
              </w:rPr>
            </w:pPr>
            <w:r>
              <w:rPr>
                <w:sz w:val="21"/>
                <w:szCs w:val="21"/>
                <w:highlight w:val="none"/>
              </w:rPr>
              <w:t>季庄子村</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170</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侧向</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717</w:t>
            </w:r>
          </w:p>
        </w:tc>
        <w:tc>
          <w:tcPr>
            <w:tcW w:w="0" w:type="auto"/>
            <w:vAlign w:val="center"/>
          </w:tcPr>
          <w:p>
            <w:pPr>
              <w:widowControl/>
              <w:ind w:firstLine="0" w:firstLineChars="0"/>
              <w:jc w:val="center"/>
              <w:rPr>
                <w:sz w:val="21"/>
                <w:szCs w:val="21"/>
                <w:highlight w:val="none"/>
              </w:rPr>
            </w:pPr>
            <w:r>
              <w:rPr>
                <w:sz w:val="21"/>
                <w:szCs w:val="21"/>
                <w:highlight w:val="none"/>
              </w:rPr>
              <w:t>35.85</w:t>
            </w:r>
          </w:p>
        </w:tc>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2360</w:t>
            </w:r>
          </w:p>
        </w:tc>
        <w:tc>
          <w:tcPr>
            <w:tcW w:w="0" w:type="auto"/>
            <w:vMerge w:val="continue"/>
            <w:vAlign w:val="center"/>
          </w:tcPr>
          <w:p>
            <w:pPr>
              <w:widowControl/>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5</w:t>
            </w:r>
          </w:p>
        </w:tc>
        <w:tc>
          <w:tcPr>
            <w:tcW w:w="0" w:type="auto"/>
            <w:vAlign w:val="center"/>
          </w:tcPr>
          <w:p>
            <w:pPr>
              <w:pStyle w:val="19"/>
              <w:spacing w:after="0" w:line="240" w:lineRule="auto"/>
              <w:ind w:firstLine="0" w:firstLineChars="0"/>
              <w:jc w:val="center"/>
              <w:rPr>
                <w:sz w:val="21"/>
                <w:szCs w:val="21"/>
                <w:highlight w:val="none"/>
              </w:rPr>
            </w:pPr>
            <w:r>
              <w:rPr>
                <w:sz w:val="21"/>
                <w:szCs w:val="21"/>
                <w:highlight w:val="none"/>
              </w:rPr>
              <w:t>纪庄村</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200</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下游</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1881</w:t>
            </w:r>
          </w:p>
        </w:tc>
        <w:tc>
          <w:tcPr>
            <w:tcW w:w="0" w:type="auto"/>
            <w:vAlign w:val="center"/>
          </w:tcPr>
          <w:p>
            <w:pPr>
              <w:widowControl/>
              <w:ind w:firstLine="0" w:firstLineChars="0"/>
              <w:jc w:val="center"/>
              <w:rPr>
                <w:sz w:val="21"/>
                <w:szCs w:val="21"/>
                <w:highlight w:val="none"/>
              </w:rPr>
            </w:pPr>
            <w:r>
              <w:rPr>
                <w:sz w:val="21"/>
                <w:szCs w:val="21"/>
                <w:highlight w:val="none"/>
              </w:rPr>
              <w:t>94.05</w:t>
            </w:r>
          </w:p>
        </w:tc>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3881</w:t>
            </w:r>
          </w:p>
        </w:tc>
        <w:tc>
          <w:tcPr>
            <w:tcW w:w="0" w:type="auto"/>
            <w:vMerge w:val="continue"/>
            <w:vAlign w:val="center"/>
          </w:tcPr>
          <w:p>
            <w:pPr>
              <w:widowControl/>
              <w:spacing w:line="240" w:lineRule="auto"/>
              <w:ind w:firstLine="0" w:firstLineChars="0"/>
              <w:jc w:val="center"/>
              <w:rPr>
                <w:sz w:val="21"/>
                <w:szCs w:val="21"/>
                <w:highlight w:val="none"/>
              </w:rPr>
            </w:pPr>
          </w:p>
        </w:tc>
      </w:tr>
      <w:bookmarkEnd w:id="238"/>
    </w:tbl>
    <w:p>
      <w:pPr>
        <w:ind w:firstLine="480"/>
        <w:jc w:val="both"/>
        <w:rPr>
          <w:sz w:val="24"/>
          <w:szCs w:val="24"/>
          <w:highlight w:val="green"/>
        </w:rPr>
      </w:pPr>
    </w:p>
    <w:p>
      <w:pPr>
        <w:spacing w:line="460" w:lineRule="exact"/>
        <w:ind w:firstLine="480"/>
        <w:rPr>
          <w:sz w:val="24"/>
          <w:highlight w:val="gree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81" w:charSpace="0"/>
        </w:sectPr>
      </w:pPr>
    </w:p>
    <w:p>
      <w:pPr>
        <w:pStyle w:val="4"/>
        <w:numPr>
          <w:ilvl w:val="0"/>
          <w:numId w:val="1"/>
        </w:numPr>
        <w:rPr>
          <w:rFonts w:ascii="Times New Roman"/>
          <w:sz w:val="36"/>
          <w:highlight w:val="none"/>
        </w:rPr>
      </w:pPr>
      <w:bookmarkStart w:id="239" w:name="_Toc9152"/>
      <w:bookmarkStart w:id="240" w:name="_Toc524284664"/>
      <w:bookmarkStart w:id="241" w:name="_Toc536557286"/>
      <w:bookmarkStart w:id="242" w:name="_Toc32219"/>
      <w:bookmarkStart w:id="243" w:name="_Toc521591752"/>
      <w:bookmarkStart w:id="244" w:name="_Toc783"/>
      <w:r>
        <w:rPr>
          <w:rFonts w:ascii="Times New Roman"/>
          <w:sz w:val="36"/>
          <w:highlight w:val="none"/>
        </w:rPr>
        <w:t>建设项目工程分析</w:t>
      </w:r>
      <w:bookmarkEnd w:id="239"/>
      <w:bookmarkEnd w:id="240"/>
      <w:bookmarkEnd w:id="241"/>
      <w:bookmarkEnd w:id="242"/>
      <w:bookmarkEnd w:id="243"/>
      <w:bookmarkEnd w:id="244"/>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45" w:name="_Toc524284665"/>
      <w:bookmarkStart w:id="246" w:name="_Toc499651403"/>
      <w:bookmarkStart w:id="247" w:name="_Toc18571"/>
      <w:bookmarkStart w:id="248" w:name="_Toc503218102"/>
      <w:bookmarkStart w:id="249" w:name="_Toc28562"/>
      <w:bookmarkStart w:id="250" w:name="_Toc15405"/>
      <w:bookmarkStart w:id="251" w:name="_Toc521591753"/>
      <w:bookmarkStart w:id="252" w:name="_Toc536557287"/>
      <w:r>
        <w:rPr>
          <w:rFonts w:hint="eastAsia" w:ascii="Times New Roman" w:hAnsi="Times New Roman" w:eastAsia="宋体"/>
          <w:bCs w:val="0"/>
          <w:snapToGrid w:val="0"/>
          <w:kern w:val="0"/>
          <w:sz w:val="28"/>
          <w:szCs w:val="28"/>
          <w:highlight w:val="none"/>
          <w:lang w:val="en-US" w:eastAsia="zh-CN"/>
        </w:rPr>
        <w:t>现有工程</w:t>
      </w:r>
      <w:r>
        <w:rPr>
          <w:rFonts w:ascii="Times New Roman" w:hAnsi="Times New Roman" w:eastAsia="宋体"/>
          <w:bCs w:val="0"/>
          <w:snapToGrid w:val="0"/>
          <w:kern w:val="0"/>
          <w:sz w:val="28"/>
          <w:szCs w:val="28"/>
          <w:highlight w:val="none"/>
        </w:rPr>
        <w:t>概况</w:t>
      </w:r>
      <w:bookmarkEnd w:id="245"/>
      <w:bookmarkEnd w:id="246"/>
      <w:bookmarkEnd w:id="247"/>
      <w:bookmarkEnd w:id="248"/>
      <w:bookmarkEnd w:id="249"/>
      <w:bookmarkEnd w:id="250"/>
      <w:bookmarkEnd w:id="251"/>
      <w:bookmarkEnd w:id="252"/>
    </w:p>
    <w:p>
      <w:pPr>
        <w:pStyle w:val="6"/>
        <w:numPr>
          <w:ilvl w:val="2"/>
          <w:numId w:val="1"/>
        </w:numPr>
        <w:spacing w:before="0" w:after="0"/>
        <w:ind w:left="567"/>
        <w:rPr>
          <w:szCs w:val="28"/>
          <w:highlight w:val="none"/>
        </w:rPr>
      </w:pPr>
      <w:r>
        <w:rPr>
          <w:rFonts w:hint="eastAsia"/>
          <w:szCs w:val="28"/>
          <w:highlight w:val="none"/>
          <w:lang w:val="en-US" w:eastAsia="zh-CN"/>
        </w:rPr>
        <w:t>现有工程基本情况</w:t>
      </w:r>
    </w:p>
    <w:p>
      <w:pPr>
        <w:snapToGrid w:val="0"/>
        <w:ind w:firstLine="480"/>
        <w:jc w:val="both"/>
        <w:rPr>
          <w:rFonts w:hint="default" w:eastAsia="宋体"/>
          <w:sz w:val="24"/>
          <w:szCs w:val="24"/>
          <w:highlight w:val="none"/>
          <w:lang w:val="en-US" w:eastAsia="zh-CN"/>
        </w:rPr>
      </w:pPr>
      <w:r>
        <w:rPr>
          <w:rFonts w:hint="eastAsia"/>
          <w:sz w:val="24"/>
          <w:szCs w:val="24"/>
          <w:highlight w:val="none"/>
        </w:rPr>
        <w:t>遵化市恒泰矿业有限公司</w:t>
      </w:r>
      <w:r>
        <w:rPr>
          <w:rFonts w:hint="eastAsia"/>
          <w:sz w:val="24"/>
          <w:szCs w:val="24"/>
          <w:highlight w:val="none"/>
          <w:lang w:val="en-US" w:eastAsia="zh-CN"/>
        </w:rPr>
        <w:t>原名为</w:t>
      </w:r>
      <w:r>
        <w:rPr>
          <w:rFonts w:hint="eastAsia"/>
          <w:sz w:val="24"/>
          <w:szCs w:val="24"/>
          <w:highlight w:val="none"/>
        </w:rPr>
        <w:t>遵化市瑞萍铁选厂</w:t>
      </w:r>
      <w:r>
        <w:rPr>
          <w:rFonts w:hint="eastAsia"/>
          <w:sz w:val="24"/>
          <w:szCs w:val="24"/>
          <w:highlight w:val="none"/>
          <w:lang w:eastAsia="zh-CN"/>
        </w:rPr>
        <w:t>，</w:t>
      </w:r>
      <w:r>
        <w:rPr>
          <w:rFonts w:hint="eastAsia"/>
          <w:sz w:val="24"/>
          <w:szCs w:val="24"/>
          <w:highlight w:val="none"/>
          <w:lang w:val="en-US" w:eastAsia="zh-CN"/>
        </w:rPr>
        <w:t>位于</w:t>
      </w:r>
      <w:r>
        <w:rPr>
          <w:rFonts w:hint="eastAsia"/>
          <w:sz w:val="24"/>
          <w:szCs w:val="24"/>
          <w:highlight w:val="none"/>
        </w:rPr>
        <w:t>遵化市堡子店镇西新店子村南</w:t>
      </w:r>
      <w:r>
        <w:rPr>
          <w:rFonts w:hint="eastAsia"/>
          <w:sz w:val="24"/>
          <w:szCs w:val="24"/>
          <w:highlight w:val="none"/>
          <w:lang w:eastAsia="zh-CN"/>
        </w:rPr>
        <w:t>，</w:t>
      </w:r>
      <w:r>
        <w:rPr>
          <w:rFonts w:hint="eastAsia"/>
          <w:sz w:val="24"/>
          <w:szCs w:val="24"/>
          <w:highlight w:val="none"/>
          <w:lang w:val="en-US" w:eastAsia="zh-CN"/>
        </w:rPr>
        <w:t>于2021年实施了“</w:t>
      </w:r>
      <w:r>
        <w:rPr>
          <w:rFonts w:hint="eastAsia"/>
          <w:sz w:val="24"/>
          <w:szCs w:val="24"/>
          <w:highlight w:val="none"/>
        </w:rPr>
        <w:t>遵化市瑞萍铁选厂年处理30万吨铁矿石、30万吨粗精矿项目</w:t>
      </w:r>
      <w:r>
        <w:rPr>
          <w:rFonts w:hint="eastAsia"/>
          <w:sz w:val="24"/>
          <w:szCs w:val="24"/>
          <w:highlight w:val="none"/>
          <w:lang w:val="en-US" w:eastAsia="zh-CN"/>
        </w:rPr>
        <w:t>”，并取得了遵化市行政审批局出具的《</w:t>
      </w:r>
      <w:r>
        <w:rPr>
          <w:rFonts w:hint="eastAsia"/>
          <w:sz w:val="24"/>
          <w:szCs w:val="24"/>
          <w:highlight w:val="none"/>
        </w:rPr>
        <w:t>遵化市瑞萍铁选厂年处理30万吨铁矿石、30万吨粗精矿项目</w:t>
      </w:r>
      <w:r>
        <w:rPr>
          <w:rFonts w:hint="eastAsia"/>
          <w:sz w:val="24"/>
          <w:szCs w:val="24"/>
          <w:highlight w:val="none"/>
          <w:lang w:val="en-US" w:eastAsia="zh-CN"/>
        </w:rPr>
        <w:t>环境影响报告书的》批复文件（遵审投资环字[2021]32号），于2022年建设完成进行了排污登记并通过了竣工环境保护验收，而后企业名称变更为“</w:t>
      </w:r>
      <w:r>
        <w:rPr>
          <w:rFonts w:hint="eastAsia"/>
          <w:sz w:val="24"/>
          <w:szCs w:val="24"/>
          <w:highlight w:val="none"/>
        </w:rPr>
        <w:t>遵化市恒泰矿业有限公司</w:t>
      </w:r>
      <w:r>
        <w:rPr>
          <w:rFonts w:hint="eastAsia"/>
          <w:sz w:val="24"/>
          <w:szCs w:val="24"/>
          <w:highlight w:val="none"/>
          <w:lang w:val="en-US" w:eastAsia="zh-CN"/>
        </w:rPr>
        <w:t>”</w:t>
      </w:r>
      <w:r>
        <w:rPr>
          <w:rFonts w:hint="eastAsia"/>
          <w:sz w:val="24"/>
          <w:szCs w:val="24"/>
          <w:highlight w:val="none"/>
          <w:lang w:eastAsia="zh-CN"/>
        </w:rPr>
        <w:t>，</w:t>
      </w:r>
      <w:r>
        <w:rPr>
          <w:rFonts w:hint="eastAsia"/>
          <w:sz w:val="24"/>
          <w:szCs w:val="24"/>
          <w:highlight w:val="none"/>
          <w:lang w:val="en-US" w:eastAsia="zh-CN"/>
        </w:rPr>
        <w:t>生产设施等均未发生变化。</w:t>
      </w:r>
    </w:p>
    <w:p>
      <w:pPr>
        <w:snapToGrid w:val="0"/>
        <w:ind w:firstLine="480"/>
        <w:jc w:val="both"/>
        <w:rPr>
          <w:rFonts w:hint="eastAsia"/>
          <w:sz w:val="24"/>
          <w:szCs w:val="24"/>
          <w:highlight w:val="none"/>
          <w:lang w:val="en-US" w:eastAsia="zh-CN"/>
        </w:rPr>
      </w:pPr>
      <w:r>
        <w:rPr>
          <w:rFonts w:hint="eastAsia"/>
          <w:sz w:val="24"/>
          <w:szCs w:val="24"/>
          <w:highlight w:val="none"/>
          <w:lang w:val="en-US" w:eastAsia="zh-CN"/>
        </w:rPr>
        <w:t>目前，</w:t>
      </w:r>
      <w:r>
        <w:rPr>
          <w:rFonts w:hint="eastAsia"/>
          <w:sz w:val="24"/>
          <w:szCs w:val="24"/>
          <w:highlight w:val="none"/>
        </w:rPr>
        <w:t>遵化市恒泰矿业有限公司</w:t>
      </w:r>
      <w:r>
        <w:rPr>
          <w:rFonts w:hint="eastAsia"/>
          <w:sz w:val="24"/>
          <w:szCs w:val="24"/>
          <w:highlight w:val="none"/>
          <w:lang w:val="en-US" w:eastAsia="zh-CN"/>
        </w:rPr>
        <w:t>分为南、北两个厂区，其中南厂区建有1条破碎粗选生产线，年处理铁矿石30万吨，年产粗精矿15万吨；北厂区建有1条精选生产线，年处理粗精矿30万吨，年产品位66%铁精粉25万吨，北厂区所需原料部分由南厂区提供，不足的15万吨粗精矿外购于周边选矿企业。</w:t>
      </w:r>
    </w:p>
    <w:p>
      <w:pPr>
        <w:pStyle w:val="6"/>
        <w:numPr>
          <w:ilvl w:val="2"/>
          <w:numId w:val="1"/>
        </w:numPr>
        <w:spacing w:before="0" w:after="0"/>
        <w:ind w:left="567"/>
        <w:rPr>
          <w:szCs w:val="28"/>
          <w:highlight w:val="none"/>
        </w:rPr>
      </w:pPr>
      <w:bookmarkStart w:id="253" w:name="_Toc521591755"/>
      <w:bookmarkStart w:id="254" w:name="_Toc20980"/>
      <w:r>
        <w:rPr>
          <w:rFonts w:hint="eastAsia"/>
          <w:szCs w:val="28"/>
          <w:highlight w:val="none"/>
          <w:lang w:val="en-US" w:eastAsia="zh-CN"/>
        </w:rPr>
        <w:t>现有工程</w:t>
      </w:r>
      <w:r>
        <w:rPr>
          <w:szCs w:val="28"/>
          <w:highlight w:val="none"/>
        </w:rPr>
        <w:t>产品方案</w:t>
      </w:r>
      <w:bookmarkEnd w:id="253"/>
      <w:bookmarkEnd w:id="254"/>
    </w:p>
    <w:p>
      <w:pPr>
        <w:ind w:firstLine="480"/>
        <w:jc w:val="both"/>
        <w:rPr>
          <w:sz w:val="24"/>
          <w:szCs w:val="24"/>
          <w:highlight w:val="none"/>
        </w:rPr>
      </w:pPr>
      <w:bookmarkStart w:id="255" w:name="_Hlk532032104"/>
      <w:r>
        <w:rPr>
          <w:rFonts w:hint="eastAsia"/>
          <w:sz w:val="24"/>
          <w:szCs w:val="24"/>
          <w:highlight w:val="none"/>
          <w:lang w:val="en-US" w:eastAsia="zh-CN"/>
        </w:rPr>
        <w:t>现有工程</w:t>
      </w:r>
      <w:r>
        <w:rPr>
          <w:sz w:val="24"/>
          <w:szCs w:val="24"/>
          <w:highlight w:val="none"/>
        </w:rPr>
        <w:t>生产规模为</w:t>
      </w:r>
      <w:bookmarkEnd w:id="255"/>
      <w:r>
        <w:rPr>
          <w:bCs/>
          <w:sz w:val="24"/>
          <w:szCs w:val="24"/>
          <w:highlight w:val="none"/>
        </w:rPr>
        <w:t>年处理</w:t>
      </w:r>
      <w:r>
        <w:rPr>
          <w:rFonts w:hint="eastAsia"/>
          <w:bCs/>
          <w:sz w:val="24"/>
          <w:szCs w:val="24"/>
          <w:highlight w:val="none"/>
        </w:rPr>
        <w:t>30</w:t>
      </w:r>
      <w:r>
        <w:rPr>
          <w:bCs/>
          <w:sz w:val="24"/>
          <w:szCs w:val="24"/>
          <w:highlight w:val="none"/>
        </w:rPr>
        <w:t>万吨铁矿石</w:t>
      </w:r>
      <w:r>
        <w:rPr>
          <w:rFonts w:hint="eastAsia"/>
          <w:sz w:val="24"/>
          <w:szCs w:val="24"/>
          <w:highlight w:val="none"/>
        </w:rPr>
        <w:t>、粗精矿30</w:t>
      </w:r>
      <w:r>
        <w:rPr>
          <w:sz w:val="24"/>
          <w:szCs w:val="24"/>
          <w:highlight w:val="none"/>
        </w:rPr>
        <w:t>万吨</w:t>
      </w:r>
      <w:r>
        <w:rPr>
          <w:rFonts w:hint="eastAsia"/>
          <w:sz w:val="24"/>
          <w:szCs w:val="24"/>
          <w:highlight w:val="none"/>
        </w:rPr>
        <w:t>，</w:t>
      </w:r>
      <w:r>
        <w:rPr>
          <w:sz w:val="24"/>
          <w:szCs w:val="24"/>
          <w:highlight w:val="none"/>
        </w:rPr>
        <w:t>年产6</w:t>
      </w:r>
      <w:r>
        <w:rPr>
          <w:rFonts w:hint="eastAsia"/>
          <w:sz w:val="24"/>
          <w:szCs w:val="24"/>
          <w:highlight w:val="none"/>
        </w:rPr>
        <w:t>6</w:t>
      </w:r>
      <w:r>
        <w:rPr>
          <w:sz w:val="24"/>
          <w:szCs w:val="24"/>
          <w:highlight w:val="none"/>
        </w:rPr>
        <w:t>%铁精粉</w:t>
      </w:r>
      <w:r>
        <w:rPr>
          <w:rFonts w:hint="eastAsia"/>
          <w:sz w:val="24"/>
          <w:szCs w:val="24"/>
          <w:highlight w:val="none"/>
        </w:rPr>
        <w:t>25</w:t>
      </w:r>
      <w:r>
        <w:rPr>
          <w:sz w:val="24"/>
          <w:szCs w:val="24"/>
          <w:highlight w:val="none"/>
        </w:rPr>
        <w:t>万吨。产品方案详见表3.</w:t>
      </w:r>
      <w:r>
        <w:rPr>
          <w:rFonts w:hint="eastAsia"/>
          <w:sz w:val="24"/>
          <w:szCs w:val="24"/>
          <w:highlight w:val="none"/>
        </w:rPr>
        <w:t>1</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1</w:t>
      </w:r>
      <w:r>
        <w:rPr>
          <w:rFonts w:eastAsia="黑体"/>
          <w:kern w:val="2"/>
          <w:sz w:val="21"/>
          <w:szCs w:val="21"/>
          <w:highlight w:val="none"/>
        </w:rPr>
        <w:t>-1    产品方案</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41"/>
        <w:gridCol w:w="2081"/>
        <w:gridCol w:w="400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76" w:hRule="atLeast"/>
          <w:jc w:val="center"/>
        </w:trPr>
        <w:tc>
          <w:tcPr>
            <w:tcW w:w="2441" w:type="dxa"/>
            <w:vAlign w:val="center"/>
          </w:tcPr>
          <w:p>
            <w:pPr>
              <w:spacing w:line="240" w:lineRule="auto"/>
              <w:ind w:firstLine="0" w:firstLineChars="0"/>
              <w:jc w:val="center"/>
              <w:rPr>
                <w:sz w:val="21"/>
                <w:szCs w:val="21"/>
                <w:highlight w:val="none"/>
              </w:rPr>
            </w:pPr>
            <w:r>
              <w:rPr>
                <w:sz w:val="21"/>
                <w:szCs w:val="21"/>
                <w:highlight w:val="none"/>
              </w:rPr>
              <w:t>产品名称</w:t>
            </w:r>
          </w:p>
        </w:tc>
        <w:tc>
          <w:tcPr>
            <w:tcW w:w="2081" w:type="dxa"/>
            <w:vAlign w:val="center"/>
          </w:tcPr>
          <w:p>
            <w:pPr>
              <w:spacing w:line="240" w:lineRule="auto"/>
              <w:ind w:firstLine="0" w:firstLineChars="0"/>
              <w:jc w:val="center"/>
              <w:rPr>
                <w:sz w:val="21"/>
                <w:szCs w:val="21"/>
                <w:highlight w:val="none"/>
              </w:rPr>
            </w:pPr>
            <w:r>
              <w:rPr>
                <w:sz w:val="21"/>
                <w:szCs w:val="21"/>
                <w:highlight w:val="none"/>
              </w:rPr>
              <w:t>产量（t/a）</w:t>
            </w:r>
          </w:p>
        </w:tc>
        <w:tc>
          <w:tcPr>
            <w:tcW w:w="4000" w:type="dxa"/>
            <w:vAlign w:val="center"/>
          </w:tcPr>
          <w:p>
            <w:pPr>
              <w:spacing w:line="240" w:lineRule="auto"/>
              <w:ind w:firstLine="149" w:firstLineChars="71"/>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441" w:type="dxa"/>
            <w:vAlign w:val="center"/>
          </w:tcPr>
          <w:p>
            <w:pPr>
              <w:spacing w:line="240" w:lineRule="auto"/>
              <w:ind w:firstLine="0" w:firstLineChars="0"/>
              <w:jc w:val="center"/>
              <w:rPr>
                <w:sz w:val="21"/>
                <w:szCs w:val="21"/>
                <w:highlight w:val="none"/>
              </w:rPr>
            </w:pPr>
            <w:r>
              <w:rPr>
                <w:sz w:val="21"/>
                <w:szCs w:val="21"/>
                <w:highlight w:val="none"/>
              </w:rPr>
              <w:t>铁精粉</w:t>
            </w:r>
          </w:p>
        </w:tc>
        <w:tc>
          <w:tcPr>
            <w:tcW w:w="2081" w:type="dxa"/>
            <w:vAlign w:val="center"/>
          </w:tcPr>
          <w:p>
            <w:pPr>
              <w:spacing w:line="240" w:lineRule="auto"/>
              <w:ind w:firstLine="0" w:firstLineChars="0"/>
              <w:jc w:val="center"/>
              <w:rPr>
                <w:sz w:val="21"/>
                <w:szCs w:val="21"/>
                <w:highlight w:val="none"/>
              </w:rPr>
            </w:pPr>
            <w:r>
              <w:rPr>
                <w:rFonts w:hint="eastAsia"/>
                <w:sz w:val="21"/>
                <w:szCs w:val="21"/>
                <w:highlight w:val="none"/>
              </w:rPr>
              <w:t>25万</w:t>
            </w:r>
          </w:p>
        </w:tc>
        <w:tc>
          <w:tcPr>
            <w:tcW w:w="4000" w:type="dxa"/>
            <w:vAlign w:val="center"/>
          </w:tcPr>
          <w:p>
            <w:pPr>
              <w:spacing w:line="240" w:lineRule="auto"/>
              <w:ind w:firstLine="0" w:firstLineChars="0"/>
              <w:jc w:val="center"/>
              <w:rPr>
                <w:sz w:val="21"/>
                <w:szCs w:val="21"/>
                <w:highlight w:val="none"/>
              </w:rPr>
            </w:pPr>
            <w:r>
              <w:rPr>
                <w:sz w:val="21"/>
                <w:szCs w:val="21"/>
                <w:highlight w:val="none"/>
              </w:rPr>
              <w:t>平均品位为</w:t>
            </w:r>
            <w:r>
              <w:rPr>
                <w:rFonts w:hint="eastAsia"/>
                <w:sz w:val="21"/>
                <w:szCs w:val="21"/>
                <w:highlight w:val="none"/>
              </w:rPr>
              <w:t>66</w:t>
            </w:r>
            <w:r>
              <w:rPr>
                <w:sz w:val="21"/>
                <w:szCs w:val="21"/>
                <w:highlight w:val="none"/>
              </w:rPr>
              <w:t>%</w:t>
            </w:r>
          </w:p>
        </w:tc>
      </w:tr>
    </w:tbl>
    <w:p>
      <w:pPr>
        <w:pStyle w:val="6"/>
        <w:numPr>
          <w:ilvl w:val="2"/>
          <w:numId w:val="1"/>
        </w:numPr>
        <w:spacing w:before="0" w:after="0"/>
        <w:ind w:left="567"/>
        <w:rPr>
          <w:szCs w:val="28"/>
          <w:highlight w:val="none"/>
        </w:rPr>
      </w:pPr>
      <w:bookmarkStart w:id="256" w:name="_Toc2094"/>
      <w:bookmarkStart w:id="257" w:name="_Toc521591756"/>
      <w:r>
        <w:rPr>
          <w:rFonts w:hint="eastAsia"/>
          <w:szCs w:val="28"/>
          <w:highlight w:val="none"/>
          <w:lang w:val="en-US" w:eastAsia="zh-CN"/>
        </w:rPr>
        <w:t>现有工程</w:t>
      </w:r>
      <w:r>
        <w:rPr>
          <w:szCs w:val="28"/>
          <w:highlight w:val="none"/>
        </w:rPr>
        <w:t>建设内容</w:t>
      </w:r>
      <w:bookmarkEnd w:id="256"/>
      <w:bookmarkEnd w:id="257"/>
    </w:p>
    <w:p>
      <w:pPr>
        <w:ind w:firstLine="480"/>
        <w:rPr>
          <w:sz w:val="44"/>
          <w:szCs w:val="44"/>
          <w:highlight w:val="none"/>
        </w:rPr>
      </w:pPr>
      <w:r>
        <w:rPr>
          <w:rFonts w:hint="eastAsia"/>
          <w:sz w:val="24"/>
          <w:szCs w:val="24"/>
          <w:highlight w:val="none"/>
          <w:lang w:val="en-US" w:eastAsia="zh-CN"/>
        </w:rPr>
        <w:t>现有工程</w:t>
      </w:r>
      <w:r>
        <w:rPr>
          <w:sz w:val="24"/>
          <w:szCs w:val="24"/>
          <w:highlight w:val="none"/>
        </w:rPr>
        <w:t>项目组成及工程内容见表3.</w:t>
      </w:r>
      <w:r>
        <w:rPr>
          <w:rFonts w:hint="eastAsia"/>
          <w:sz w:val="24"/>
          <w:szCs w:val="24"/>
          <w:highlight w:val="none"/>
        </w:rPr>
        <w:t>1</w:t>
      </w:r>
      <w:r>
        <w:rPr>
          <w:sz w:val="24"/>
          <w:szCs w:val="24"/>
          <w:highlight w:val="none"/>
        </w:rPr>
        <w:t>-2，主要建构筑物见表3.</w:t>
      </w:r>
      <w:r>
        <w:rPr>
          <w:rFonts w:hint="eastAsia"/>
          <w:sz w:val="24"/>
          <w:szCs w:val="24"/>
          <w:highlight w:val="none"/>
        </w:rPr>
        <w:t>1</w:t>
      </w:r>
      <w:r>
        <w:rPr>
          <w:sz w:val="24"/>
          <w:szCs w:val="24"/>
          <w:highlight w:val="none"/>
        </w:rPr>
        <w:t>-3。</w:t>
      </w:r>
    </w:p>
    <w:p>
      <w:pPr>
        <w:spacing w:line="240" w:lineRule="auto"/>
        <w:ind w:firstLine="0" w:firstLineChars="0"/>
        <w:jc w:val="center"/>
        <w:textAlignment w:val="auto"/>
        <w:rPr>
          <w:rFonts w:eastAsia="黑体"/>
          <w:sz w:val="21"/>
          <w:szCs w:val="21"/>
          <w:highlight w:val="none"/>
        </w:rPr>
      </w:pPr>
      <w:r>
        <w:rPr>
          <w:rFonts w:eastAsia="黑体"/>
          <w:kern w:val="2"/>
          <w:sz w:val="21"/>
          <w:szCs w:val="21"/>
          <w:highlight w:val="none"/>
        </w:rPr>
        <w:t>表3.</w:t>
      </w:r>
      <w:r>
        <w:rPr>
          <w:rFonts w:hint="eastAsia" w:eastAsia="黑体"/>
          <w:kern w:val="2"/>
          <w:sz w:val="21"/>
          <w:szCs w:val="21"/>
          <w:highlight w:val="none"/>
        </w:rPr>
        <w:t>1</w:t>
      </w:r>
      <w:r>
        <w:rPr>
          <w:rFonts w:eastAsia="黑体"/>
          <w:kern w:val="2"/>
          <w:sz w:val="21"/>
          <w:szCs w:val="21"/>
          <w:highlight w:val="none"/>
        </w:rPr>
        <w:t xml:space="preserve">-2  </w:t>
      </w:r>
      <w:r>
        <w:rPr>
          <w:rFonts w:eastAsia="黑体"/>
          <w:sz w:val="21"/>
          <w:szCs w:val="21"/>
          <w:highlight w:val="none"/>
        </w:rPr>
        <w:t>项目组成及工程内容</w:t>
      </w:r>
    </w:p>
    <w:tbl>
      <w:tblPr>
        <w:tblStyle w:val="48"/>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79"/>
        <w:gridCol w:w="930"/>
        <w:gridCol w:w="1029"/>
        <w:gridCol w:w="578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1607" w:type="pct"/>
            <w:gridSpan w:val="3"/>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工程项目</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建设内容</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主体工程</w:t>
            </w:r>
          </w:p>
        </w:tc>
        <w:tc>
          <w:tcPr>
            <w:tcW w:w="546" w:type="pct"/>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北厂区</w:t>
            </w: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1#精选</w:t>
            </w:r>
            <w:r>
              <w:rPr>
                <w:rFonts w:ascii="Times New Roman" w:eastAsia="宋体" w:cs="Times New Roman"/>
                <w:highlight w:val="none"/>
              </w:rPr>
              <w:t>车间</w:t>
            </w:r>
          </w:p>
        </w:tc>
        <w:tc>
          <w:tcPr>
            <w:tcW w:w="3392" w:type="pct"/>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900</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45</w:t>
            </w:r>
            <w:r>
              <w:rPr>
                <w:rFonts w:ascii="Times New Roman" w:eastAsia="宋体" w:cs="Times New Roman"/>
                <w:highlight w:val="none"/>
              </w:rPr>
              <w:t>m×</w:t>
            </w:r>
            <w:r>
              <w:rPr>
                <w:rFonts w:hint="eastAsia" w:ascii="Times New Roman" w:eastAsia="宋体" w:cs="Times New Roman"/>
                <w:highlight w:val="none"/>
              </w:rPr>
              <w:t>20</w:t>
            </w:r>
            <w:r>
              <w:rPr>
                <w:rFonts w:ascii="Times New Roman" w:eastAsia="宋体" w:cs="Times New Roman"/>
                <w:highlight w:val="none"/>
              </w:rPr>
              <w:t>m，内置</w:t>
            </w:r>
            <w:r>
              <w:rPr>
                <w:rFonts w:hint="eastAsia" w:ascii="Times New Roman" w:eastAsia="宋体" w:cs="Times New Roman"/>
                <w:highlight w:val="none"/>
              </w:rPr>
              <w:t>1</w:t>
            </w:r>
            <w:r>
              <w:rPr>
                <w:rFonts w:ascii="Times New Roman" w:eastAsia="宋体" w:cs="Times New Roman"/>
                <w:highlight w:val="none"/>
              </w:rPr>
              <w:t>条球磨、磁选生产线</w:t>
            </w:r>
            <w:r>
              <w:rPr>
                <w:rFonts w:hint="eastAsia"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2#精选</w:t>
            </w:r>
            <w:r>
              <w:rPr>
                <w:rFonts w:ascii="Times New Roman" w:eastAsia="宋体" w:cs="Times New Roman"/>
                <w:highlight w:val="none"/>
              </w:rPr>
              <w:t>车间</w:t>
            </w:r>
          </w:p>
        </w:tc>
        <w:tc>
          <w:tcPr>
            <w:tcW w:w="3392" w:type="pct"/>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450</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45</w:t>
            </w:r>
            <w:r>
              <w:rPr>
                <w:rFonts w:ascii="Times New Roman" w:eastAsia="宋体" w:cs="Times New Roman"/>
                <w:highlight w:val="none"/>
              </w:rPr>
              <w:t>m×</w:t>
            </w:r>
            <w:r>
              <w:rPr>
                <w:rFonts w:hint="eastAsia" w:ascii="Times New Roman" w:eastAsia="宋体" w:cs="Times New Roman"/>
                <w:highlight w:val="none"/>
              </w:rPr>
              <w:t>10</w:t>
            </w:r>
            <w:r>
              <w:rPr>
                <w:rFonts w:ascii="Times New Roman" w:eastAsia="宋体" w:cs="Times New Roman"/>
                <w:highlight w:val="none"/>
              </w:rPr>
              <w:t>m，内置</w:t>
            </w:r>
            <w:r>
              <w:rPr>
                <w:rFonts w:hint="eastAsia" w:ascii="Times New Roman" w:eastAsia="宋体" w:cs="Times New Roman"/>
                <w:highlight w:val="none"/>
              </w:rPr>
              <w:t>1</w:t>
            </w:r>
            <w:r>
              <w:rPr>
                <w:rFonts w:ascii="Times New Roman" w:eastAsia="宋体" w:cs="Times New Roman"/>
                <w:highlight w:val="none"/>
              </w:rPr>
              <w:t>条球磨、磁选生产线</w:t>
            </w:r>
            <w:r>
              <w:rPr>
                <w:rFonts w:hint="eastAsia"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南厂区</w:t>
            </w: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破碎</w:t>
            </w:r>
          </w:p>
          <w:p>
            <w:pPr>
              <w:pStyle w:val="269"/>
              <w:spacing w:line="240" w:lineRule="auto"/>
              <w:rPr>
                <w:rFonts w:ascii="Times New Roman" w:eastAsia="宋体" w:cs="Times New Roman"/>
                <w:highlight w:val="none"/>
              </w:rPr>
            </w:pPr>
            <w:r>
              <w:rPr>
                <w:rFonts w:ascii="Times New Roman" w:eastAsia="宋体" w:cs="Times New Roman"/>
                <w:highlight w:val="none"/>
              </w:rPr>
              <w:t>车间</w:t>
            </w:r>
          </w:p>
        </w:tc>
        <w:tc>
          <w:tcPr>
            <w:tcW w:w="3392" w:type="pct"/>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272</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34</w:t>
            </w:r>
            <w:r>
              <w:rPr>
                <w:rFonts w:ascii="Times New Roman" w:eastAsia="宋体" w:cs="Times New Roman"/>
                <w:highlight w:val="none"/>
              </w:rPr>
              <w:t>m×</w:t>
            </w:r>
            <w:r>
              <w:rPr>
                <w:rFonts w:hint="eastAsia" w:ascii="Times New Roman" w:eastAsia="宋体" w:cs="Times New Roman"/>
                <w:highlight w:val="none"/>
              </w:rPr>
              <w:t>8</w:t>
            </w:r>
            <w:r>
              <w:rPr>
                <w:rFonts w:ascii="Times New Roman" w:eastAsia="宋体" w:cs="Times New Roman"/>
                <w:highlight w:val="none"/>
              </w:rPr>
              <w:t>m，内置1台鄂破机、1台</w:t>
            </w:r>
            <w:r>
              <w:rPr>
                <w:rFonts w:hint="eastAsia" w:ascii="Times New Roman" w:eastAsia="宋体" w:cs="Times New Roman"/>
                <w:highlight w:val="none"/>
              </w:rPr>
              <w:t>锤式</w:t>
            </w:r>
            <w:r>
              <w:rPr>
                <w:rFonts w:ascii="Times New Roman" w:eastAsia="宋体" w:cs="Times New Roman"/>
                <w:highlight w:val="none"/>
              </w:rPr>
              <w:t>破</w:t>
            </w:r>
            <w:r>
              <w:rPr>
                <w:rFonts w:hint="eastAsia" w:ascii="Times New Roman" w:eastAsia="宋体" w:cs="Times New Roman"/>
                <w:highlight w:val="none"/>
              </w:rPr>
              <w:t>碎</w:t>
            </w:r>
            <w:r>
              <w:rPr>
                <w:rFonts w:ascii="Times New Roman" w:eastAsia="宋体" w:cs="Times New Roman"/>
                <w:highlight w:val="none"/>
              </w:rPr>
              <w:t>机</w:t>
            </w:r>
            <w:r>
              <w:rPr>
                <w:rFonts w:hint="eastAsia" w:ascii="Times New Roman" w:eastAsia="宋体" w:cs="Times New Roman"/>
                <w:highlight w:val="none"/>
              </w:rPr>
              <w:t>、1台振动筛</w:t>
            </w:r>
            <w:r>
              <w:rPr>
                <w:rFonts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粗选</w:t>
            </w:r>
          </w:p>
          <w:p>
            <w:pPr>
              <w:pStyle w:val="269"/>
              <w:spacing w:line="240" w:lineRule="auto"/>
              <w:rPr>
                <w:rFonts w:ascii="Times New Roman" w:eastAsia="宋体" w:cs="Times New Roman"/>
                <w:highlight w:val="none"/>
              </w:rPr>
            </w:pPr>
            <w:r>
              <w:rPr>
                <w:rFonts w:hint="eastAsia" w:ascii="Times New Roman" w:eastAsia="宋体" w:cs="Times New Roman"/>
                <w:highlight w:val="none"/>
              </w:rPr>
              <w:t>车间</w:t>
            </w:r>
          </w:p>
        </w:tc>
        <w:tc>
          <w:tcPr>
            <w:tcW w:w="3392" w:type="pct"/>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168</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21</w:t>
            </w:r>
            <w:r>
              <w:rPr>
                <w:rFonts w:ascii="Times New Roman" w:eastAsia="宋体" w:cs="Times New Roman"/>
                <w:highlight w:val="none"/>
              </w:rPr>
              <w:t>m×</w:t>
            </w:r>
            <w:r>
              <w:rPr>
                <w:rFonts w:hint="eastAsia" w:ascii="Times New Roman" w:eastAsia="宋体" w:cs="Times New Roman"/>
                <w:highlight w:val="none"/>
              </w:rPr>
              <w:t>8</w:t>
            </w:r>
            <w:r>
              <w:rPr>
                <w:rFonts w:ascii="Times New Roman" w:eastAsia="宋体" w:cs="Times New Roman"/>
                <w:highlight w:val="none"/>
              </w:rPr>
              <w:t>m，内置</w:t>
            </w:r>
            <w:r>
              <w:rPr>
                <w:rFonts w:hint="eastAsia" w:ascii="Times New Roman" w:eastAsia="宋体" w:cs="Times New Roman"/>
                <w:highlight w:val="none"/>
              </w:rPr>
              <w:t>1</w:t>
            </w:r>
            <w:r>
              <w:rPr>
                <w:rFonts w:ascii="Times New Roman" w:eastAsia="宋体" w:cs="Times New Roman"/>
                <w:highlight w:val="none"/>
              </w:rPr>
              <w:t>条球磨、磁选生产线</w:t>
            </w:r>
            <w:r>
              <w:rPr>
                <w:rFonts w:hint="eastAsia"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储运工程</w:t>
            </w:r>
          </w:p>
        </w:tc>
        <w:tc>
          <w:tcPr>
            <w:tcW w:w="546" w:type="pct"/>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北厂区</w:t>
            </w: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原料库</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全封闭，</w:t>
            </w:r>
            <w:r>
              <w:rPr>
                <w:rFonts w:ascii="Times New Roman" w:eastAsia="宋体" w:cs="Times New Roman"/>
                <w:highlight w:val="none"/>
              </w:rPr>
              <w:t>面积</w:t>
            </w:r>
            <w:r>
              <w:rPr>
                <w:rFonts w:hint="eastAsia" w:ascii="Times New Roman" w:eastAsia="宋体" w:cs="Times New Roman"/>
                <w:highlight w:val="none"/>
              </w:rPr>
              <w:t>300</w:t>
            </w:r>
            <w:r>
              <w:rPr>
                <w:rFonts w:ascii="Times New Roman" w:eastAsia="宋体" w:cs="Times New Roman"/>
                <w:highlight w:val="none"/>
              </w:rPr>
              <w:t>0m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60</w:t>
            </w:r>
            <w:r>
              <w:rPr>
                <w:rFonts w:ascii="Times New Roman" w:eastAsia="宋体" w:cs="Times New Roman"/>
                <w:highlight w:val="none"/>
              </w:rPr>
              <w:t>m×</w:t>
            </w:r>
            <w:r>
              <w:rPr>
                <w:rFonts w:hint="eastAsia" w:ascii="Times New Roman" w:eastAsia="宋体" w:cs="Times New Roman"/>
                <w:highlight w:val="none"/>
              </w:rPr>
              <w:t>50</w:t>
            </w:r>
            <w:r>
              <w:rPr>
                <w:rFonts w:ascii="Times New Roman" w:eastAsia="宋体" w:cs="Times New Roman"/>
                <w:highlight w:val="none"/>
              </w:rPr>
              <w:t xml:space="preserve"> m</w:t>
            </w:r>
            <w:r>
              <w:rPr>
                <w:rFonts w:hint="eastAsia" w:ascii="Times New Roman" w:eastAsia="宋体" w:cs="Times New Roman"/>
                <w:highlight w:val="none"/>
              </w:rPr>
              <w:t>，粗精矿存储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成品库</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全封闭，</w:t>
            </w:r>
            <w:r>
              <w:rPr>
                <w:rFonts w:ascii="Times New Roman" w:eastAsia="宋体" w:cs="Times New Roman"/>
                <w:highlight w:val="none"/>
              </w:rPr>
              <w:t>面积</w:t>
            </w:r>
            <w:r>
              <w:rPr>
                <w:rFonts w:hint="eastAsia" w:ascii="Times New Roman" w:eastAsia="宋体" w:cs="Times New Roman"/>
                <w:highlight w:val="none"/>
              </w:rPr>
              <w:t>40</w:t>
            </w:r>
            <w:r>
              <w:rPr>
                <w:rFonts w:ascii="Times New Roman" w:eastAsia="宋体" w:cs="Times New Roman"/>
                <w:highlight w:val="none"/>
              </w:rPr>
              <w:t>0m</w:t>
            </w:r>
            <w:r>
              <w:rPr>
                <w:rFonts w:ascii="Times New Roman" w:eastAsia="宋体" w:cs="Times New Roman"/>
                <w:highlight w:val="none"/>
                <w:vertAlign w:val="superscript"/>
              </w:rPr>
              <w:t>2</w:t>
            </w:r>
            <w:r>
              <w:rPr>
                <w:rFonts w:hint="eastAsia" w:ascii="Times New Roman" w:eastAsia="宋体" w:cs="Times New Roman"/>
                <w:highlight w:val="none"/>
              </w:rPr>
              <w:t>，尾矿砂、铁精粉存储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压滤</w:t>
            </w:r>
          </w:p>
          <w:p>
            <w:pPr>
              <w:pStyle w:val="269"/>
              <w:spacing w:line="240" w:lineRule="auto"/>
              <w:rPr>
                <w:rFonts w:ascii="Times New Roman" w:eastAsia="宋体" w:cs="Times New Roman"/>
                <w:highlight w:val="none"/>
              </w:rPr>
            </w:pPr>
            <w:r>
              <w:rPr>
                <w:rFonts w:hint="eastAsia" w:ascii="Times New Roman" w:eastAsia="宋体" w:cs="Times New Roman"/>
                <w:highlight w:val="none"/>
              </w:rPr>
              <w:t>车间</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150</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15</w:t>
            </w:r>
            <w:r>
              <w:rPr>
                <w:rFonts w:ascii="Times New Roman" w:eastAsia="宋体" w:cs="Times New Roman"/>
                <w:highlight w:val="none"/>
              </w:rPr>
              <w:t>m×</w:t>
            </w:r>
            <w:r>
              <w:rPr>
                <w:rFonts w:hint="eastAsia" w:ascii="Times New Roman" w:eastAsia="宋体" w:cs="Times New Roman"/>
                <w:highlight w:val="none"/>
              </w:rPr>
              <w:t>10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南厂区</w:t>
            </w:r>
          </w:p>
        </w:tc>
        <w:tc>
          <w:tcPr>
            <w:tcW w:w="603" w:type="pct"/>
            <w:tcBorders>
              <w:left w:val="single" w:color="auto" w:sz="4" w:space="0"/>
            </w:tcBorders>
            <w:vAlign w:val="center"/>
          </w:tcPr>
          <w:p>
            <w:pPr>
              <w:pStyle w:val="269"/>
              <w:spacing w:line="240" w:lineRule="auto"/>
              <w:rPr>
                <w:rFonts w:hint="eastAsia" w:ascii="Times New Roman" w:eastAsia="宋体" w:cs="Times New Roman"/>
                <w:highlight w:val="none"/>
                <w:lang w:eastAsia="zh-CN"/>
              </w:rPr>
            </w:pPr>
            <w:r>
              <w:rPr>
                <w:rFonts w:hint="eastAsia" w:ascii="Times New Roman" w:eastAsia="宋体" w:cs="Times New Roman"/>
                <w:highlight w:val="none"/>
              </w:rPr>
              <w:t>原料</w:t>
            </w:r>
            <w:r>
              <w:rPr>
                <w:rFonts w:hint="eastAsia" w:ascii="Times New Roman" w:eastAsia="宋体" w:cs="Times New Roman"/>
                <w:highlight w:val="none"/>
                <w:lang w:val="en-US" w:eastAsia="zh-CN"/>
              </w:rPr>
              <w:t>棚</w:t>
            </w:r>
          </w:p>
        </w:tc>
        <w:tc>
          <w:tcPr>
            <w:tcW w:w="3392" w:type="pct"/>
            <w:vAlign w:val="center"/>
          </w:tcPr>
          <w:p>
            <w:pPr>
              <w:pStyle w:val="269"/>
              <w:spacing w:line="240" w:lineRule="auto"/>
              <w:rPr>
                <w:rFonts w:hint="default" w:ascii="Times New Roman" w:eastAsia="宋体" w:cs="Times New Roman"/>
                <w:highlight w:val="none"/>
                <w:lang w:val="en-US" w:eastAsia="zh-CN"/>
              </w:rPr>
            </w:pPr>
            <w:r>
              <w:rPr>
                <w:rFonts w:hint="eastAsia" w:ascii="Times New Roman" w:eastAsia="宋体" w:cs="Times New Roman"/>
                <w:highlight w:val="none"/>
                <w:lang w:val="en-US" w:eastAsia="zh-CN"/>
              </w:rPr>
              <w:t>三面围挡带顶</w:t>
            </w:r>
            <w:r>
              <w:rPr>
                <w:rFonts w:ascii="Times New Roman" w:eastAsia="宋体" w:cs="Times New Roman"/>
                <w:highlight w:val="none"/>
              </w:rPr>
              <w:t>，</w:t>
            </w:r>
            <w:r>
              <w:rPr>
                <w:rFonts w:hint="eastAsia" w:ascii="Times New Roman" w:eastAsia="宋体" w:cs="Times New Roman"/>
                <w:highlight w:val="none"/>
                <w:lang w:val="en-US" w:eastAsia="zh-CN"/>
              </w:rPr>
              <w:t>进深不小于8米</w:t>
            </w:r>
            <w:r>
              <w:rPr>
                <w:rFonts w:hint="eastAsia" w:ascii="Times New Roman" w:eastAsia="宋体" w:cs="Times New Roman"/>
                <w:highlight w:val="none"/>
              </w:rPr>
              <w:t>，</w:t>
            </w:r>
            <w:r>
              <w:rPr>
                <w:rFonts w:hint="eastAsia" w:ascii="Times New Roman" w:eastAsia="宋体" w:cs="Times New Roman"/>
                <w:highlight w:val="none"/>
                <w:lang w:val="en-US" w:eastAsia="zh-CN"/>
              </w:rPr>
              <w:t>受料仓设喷雾抑尘装置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成品库</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全封闭，</w:t>
            </w:r>
            <w:r>
              <w:rPr>
                <w:rFonts w:ascii="Times New Roman" w:eastAsia="宋体" w:cs="Times New Roman"/>
                <w:highlight w:val="none"/>
              </w:rPr>
              <w:t>面积</w:t>
            </w:r>
            <w:r>
              <w:rPr>
                <w:rFonts w:hint="eastAsia" w:ascii="Times New Roman" w:eastAsia="宋体" w:cs="Times New Roman"/>
                <w:highlight w:val="none"/>
                <w:lang w:val="en-US" w:eastAsia="zh-CN"/>
              </w:rPr>
              <w:t>5</w:t>
            </w:r>
            <w:r>
              <w:rPr>
                <w:rFonts w:hint="eastAsia" w:ascii="Times New Roman" w:eastAsia="宋体" w:cs="Times New Roman"/>
                <w:highlight w:val="none"/>
              </w:rPr>
              <w:t>0</w:t>
            </w:r>
            <w:r>
              <w:rPr>
                <w:rFonts w:ascii="Times New Roman" w:eastAsia="宋体" w:cs="Times New Roman"/>
                <w:highlight w:val="none"/>
              </w:rPr>
              <w:t>0m</w:t>
            </w:r>
            <w:r>
              <w:rPr>
                <w:rFonts w:ascii="Times New Roman" w:eastAsia="宋体" w:cs="Times New Roman"/>
                <w:highlight w:val="none"/>
                <w:vertAlign w:val="superscript"/>
              </w:rPr>
              <w:t>2</w:t>
            </w:r>
            <w:r>
              <w:rPr>
                <w:rFonts w:hint="eastAsia" w:ascii="Times New Roman" w:eastAsia="宋体" w:cs="Times New Roman"/>
                <w:highlight w:val="none"/>
              </w:rPr>
              <w:t>，尾矿砂、粗精矿存储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Align w:val="center"/>
          </w:tcPr>
          <w:p>
            <w:pPr>
              <w:pStyle w:val="269"/>
              <w:spacing w:line="240" w:lineRule="auto"/>
              <w:jc w:val="both"/>
              <w:rPr>
                <w:rFonts w:ascii="Times New Roman" w:eastAsia="宋体" w:cs="Times New Roman"/>
                <w:highlight w:val="none"/>
              </w:rPr>
            </w:pPr>
            <w:r>
              <w:rPr>
                <w:rFonts w:ascii="Times New Roman" w:eastAsia="宋体" w:cs="Times New Roman"/>
                <w:highlight w:val="none"/>
              </w:rPr>
              <w:t>辅助工程</w:t>
            </w: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办公区</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建筑面积约100m</w:t>
            </w:r>
            <w:r>
              <w:rPr>
                <w:rFonts w:ascii="Times New Roman" w:eastAsia="宋体" w:cs="Times New Roman"/>
                <w:highlight w:val="none"/>
                <w:vertAlign w:val="superscript"/>
              </w:rPr>
              <w:t>2</w:t>
            </w:r>
            <w:r>
              <w:rPr>
                <w:rFonts w:ascii="Times New Roman" w:eastAsia="宋体" w:cs="Times New Roman"/>
                <w:highlight w:val="none"/>
              </w:rPr>
              <w:t>，20m×5m，砖混结构</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restart"/>
            <w:vAlign w:val="center"/>
          </w:tcPr>
          <w:p>
            <w:pPr>
              <w:spacing w:line="240" w:lineRule="auto"/>
              <w:ind w:firstLine="0" w:firstLineChars="0"/>
              <w:jc w:val="center"/>
              <w:rPr>
                <w:kern w:val="2"/>
                <w:sz w:val="21"/>
                <w:szCs w:val="21"/>
                <w:highlight w:val="none"/>
              </w:rPr>
            </w:pPr>
            <w:r>
              <w:rPr>
                <w:kern w:val="2"/>
                <w:sz w:val="21"/>
                <w:szCs w:val="21"/>
                <w:highlight w:val="none"/>
              </w:rPr>
              <w:t>公用工程</w:t>
            </w: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供水工程</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由厂区内现有的自备井供给</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供电工程</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电源引自</w:t>
            </w:r>
            <w:r>
              <w:rPr>
                <w:rFonts w:ascii="Times New Roman" w:eastAsia="宋体" w:cs="Times New Roman"/>
                <w:highlight w:val="none"/>
                <w:lang w:val="en-GB"/>
              </w:rPr>
              <w:t>当地</w:t>
            </w:r>
            <w:r>
              <w:rPr>
                <w:rFonts w:ascii="Times New Roman" w:eastAsia="宋体" w:cs="Times New Roman"/>
                <w:highlight w:val="none"/>
              </w:rPr>
              <w:t>35kV变电站，厂区内设配电室1座。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供热设施</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生产系统无供热设施，办公区采用空调或电暖气采暖。</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环保工程</w:t>
            </w: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破碎车间</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封闭车间，各产尘点由集气罩收集进入布袋除尘器处理，由</w:t>
            </w:r>
            <w:r>
              <w:rPr>
                <w:rFonts w:hint="eastAsia" w:ascii="Times New Roman" w:eastAsia="宋体" w:cs="Times New Roman"/>
                <w:highlight w:val="none"/>
              </w:rPr>
              <w:t>20</w:t>
            </w:r>
            <w:r>
              <w:rPr>
                <w:rFonts w:ascii="Times New Roman" w:eastAsia="宋体" w:cs="Times New Roman"/>
                <w:highlight w:val="none"/>
              </w:rPr>
              <w:t>m高排气筒排放。</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原料及</w:t>
            </w:r>
            <w:r>
              <w:rPr>
                <w:rFonts w:hint="eastAsia" w:ascii="Times New Roman" w:eastAsia="宋体" w:cs="Times New Roman"/>
                <w:highlight w:val="none"/>
              </w:rPr>
              <w:t>成</w:t>
            </w:r>
            <w:r>
              <w:rPr>
                <w:rFonts w:ascii="Times New Roman" w:eastAsia="宋体" w:cs="Times New Roman"/>
                <w:highlight w:val="none"/>
              </w:rPr>
              <w:t>品库</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原料及产品库设置全封闭结构，并进行地面硬化，设置喷雾抑尘装置。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生产废水</w:t>
            </w:r>
          </w:p>
        </w:tc>
        <w:tc>
          <w:tcPr>
            <w:tcW w:w="3392" w:type="pct"/>
            <w:vAlign w:val="center"/>
          </w:tcPr>
          <w:p>
            <w:pPr>
              <w:pStyle w:val="269"/>
              <w:spacing w:line="240" w:lineRule="auto"/>
              <w:jc w:val="both"/>
              <w:rPr>
                <w:rFonts w:ascii="Times New Roman" w:eastAsia="宋体" w:cs="Times New Roman"/>
                <w:highlight w:val="none"/>
              </w:rPr>
            </w:pPr>
            <w:r>
              <w:rPr>
                <w:rFonts w:hint="eastAsia" w:ascii="Times New Roman" w:eastAsia="宋体" w:cs="Times New Roman"/>
                <w:highlight w:val="none"/>
                <w:lang w:val="en-US" w:eastAsia="zh-CN"/>
              </w:rPr>
              <w:t>北</w:t>
            </w:r>
            <w:r>
              <w:rPr>
                <w:rFonts w:hint="eastAsia" w:ascii="Times New Roman" w:eastAsia="宋体" w:cs="Times New Roman"/>
                <w:highlight w:val="none"/>
              </w:rPr>
              <w:t>厂区</w:t>
            </w:r>
            <w:r>
              <w:rPr>
                <w:rFonts w:ascii="Times New Roman" w:eastAsia="宋体" w:cs="Times New Roman"/>
                <w:highlight w:val="none"/>
              </w:rPr>
              <w:t>设1个清水池，</w:t>
            </w:r>
            <w:r>
              <w:rPr>
                <w:rFonts w:hint="eastAsia" w:ascii="Times New Roman" w:eastAsia="宋体" w:cs="Times New Roman"/>
                <w:highlight w:val="none"/>
                <w:lang w:val="en-US" w:eastAsia="zh-CN"/>
              </w:rPr>
              <w:t>1</w:t>
            </w:r>
            <w:r>
              <w:rPr>
                <w:rFonts w:ascii="Times New Roman" w:eastAsia="宋体" w:cs="Times New Roman"/>
                <w:highlight w:val="none"/>
              </w:rPr>
              <w:t>个浓缩池为φ</w:t>
            </w:r>
            <w:r>
              <w:rPr>
                <w:rFonts w:hint="eastAsia" w:ascii="Times New Roman" w:eastAsia="宋体" w:cs="Times New Roman"/>
                <w:highlight w:val="none"/>
                <w:lang w:val="en-US" w:eastAsia="zh-CN"/>
              </w:rPr>
              <w:t>37</w:t>
            </w:r>
            <w:r>
              <w:rPr>
                <w:rFonts w:ascii="Times New Roman" w:eastAsia="宋体" w:cs="Times New Roman"/>
                <w:highlight w:val="none"/>
              </w:rPr>
              <w:t>m×H(2.4m+2.7m)。尾矿浆经脱水、压滤等处理后，进入浓缩，浓缩池上清液回用于生产工序；洗车废水沉淀池容积约为4 m</w:t>
            </w:r>
            <w:r>
              <w:rPr>
                <w:rFonts w:ascii="Times New Roman" w:eastAsia="宋体" w:cs="Times New Roman"/>
                <w:highlight w:val="none"/>
                <w:vertAlign w:val="superscript"/>
              </w:rPr>
              <w:t>3</w:t>
            </w:r>
            <w:r>
              <w:rPr>
                <w:rFonts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噪声</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基础减振、隔声等措施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固体废物</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尾矿砂在</w:t>
            </w:r>
            <w:r>
              <w:rPr>
                <w:rFonts w:hint="eastAsia" w:ascii="Times New Roman" w:eastAsia="宋体" w:cs="Times New Roman"/>
                <w:highlight w:val="none"/>
              </w:rPr>
              <w:t>尾矿砂库内暂存，</w:t>
            </w:r>
            <w:r>
              <w:rPr>
                <w:rFonts w:ascii="Times New Roman" w:eastAsia="宋体" w:cs="Times New Roman"/>
                <w:highlight w:val="none"/>
              </w:rPr>
              <w:t>粗砂作为建筑生产原料综合利用</w:t>
            </w:r>
            <w:r>
              <w:rPr>
                <w:rFonts w:hint="eastAsia" w:ascii="Times New Roman" w:eastAsia="宋体" w:cs="Times New Roman"/>
                <w:highlight w:val="none"/>
              </w:rPr>
              <w:t>，</w:t>
            </w:r>
            <w:r>
              <w:rPr>
                <w:rFonts w:ascii="Times New Roman" w:eastAsia="宋体" w:cs="Times New Roman"/>
                <w:highlight w:val="none"/>
              </w:rPr>
              <w:t>细砂</w:t>
            </w:r>
            <w:r>
              <w:rPr>
                <w:rFonts w:hint="eastAsia" w:ascii="Times New Roman" w:eastAsia="宋体" w:cs="Times New Roman"/>
                <w:bCs/>
                <w:highlight w:val="none"/>
              </w:rPr>
              <w:t>用于项目周边铺路</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危险废物</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设</w:t>
            </w:r>
            <w:r>
              <w:rPr>
                <w:rFonts w:hint="eastAsia" w:ascii="Times New Roman" w:eastAsia="宋体" w:cs="Times New Roman"/>
                <w:highlight w:val="none"/>
                <w:lang w:val="en-US" w:eastAsia="zh-CN"/>
              </w:rPr>
              <w:t>有</w:t>
            </w:r>
            <w:r>
              <w:rPr>
                <w:rFonts w:hint="eastAsia" w:ascii="Times New Roman" w:eastAsia="宋体" w:cs="Times New Roman"/>
                <w:highlight w:val="none"/>
              </w:rPr>
              <w:t>1座危废暂存间</w:t>
            </w:r>
            <w:r>
              <w:rPr>
                <w:rFonts w:ascii="Times New Roman" w:eastAsia="宋体" w:cs="Times New Roman"/>
                <w:highlight w:val="none"/>
              </w:rPr>
              <w:t>，</w:t>
            </w:r>
            <w:r>
              <w:rPr>
                <w:rFonts w:hint="eastAsia" w:ascii="Times New Roman" w:eastAsia="宋体" w:cs="Times New Roman"/>
                <w:highlight w:val="none"/>
              </w:rPr>
              <w:t>建筑面积6</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，一层砖混结构</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事故池</w:t>
            </w:r>
          </w:p>
        </w:tc>
        <w:tc>
          <w:tcPr>
            <w:tcW w:w="3392" w:type="pct"/>
            <w:vAlign w:val="center"/>
          </w:tcPr>
          <w:p>
            <w:pPr>
              <w:pStyle w:val="269"/>
              <w:spacing w:line="240" w:lineRule="auto"/>
              <w:jc w:val="left"/>
              <w:rPr>
                <w:rFonts w:ascii="Times New Roman" w:eastAsia="宋体" w:cs="Times New Roman"/>
                <w:highlight w:val="none"/>
              </w:rPr>
            </w:pPr>
            <w:r>
              <w:rPr>
                <w:rFonts w:hint="eastAsia" w:ascii="Times New Roman" w:eastAsia="宋体" w:cs="Times New Roman"/>
                <w:highlight w:val="none"/>
              </w:rPr>
              <w:t>粗选车间、2座精选车间各设一个事故水池，容积分别为44m</w:t>
            </w:r>
            <w:r>
              <w:rPr>
                <w:rFonts w:hint="eastAsia" w:ascii="Times New Roman" w:eastAsia="宋体" w:cs="Times New Roman"/>
                <w:highlight w:val="none"/>
                <w:vertAlign w:val="superscript"/>
              </w:rPr>
              <w:t>3</w:t>
            </w:r>
            <w:r>
              <w:rPr>
                <w:rFonts w:hint="eastAsia" w:ascii="Times New Roman" w:eastAsia="宋体" w:cs="Times New Roman"/>
                <w:highlight w:val="none"/>
              </w:rPr>
              <w:t>、54m</w:t>
            </w:r>
            <w:r>
              <w:rPr>
                <w:rFonts w:hint="eastAsia" w:ascii="Times New Roman" w:eastAsia="宋体" w:cs="Times New Roman"/>
                <w:highlight w:val="none"/>
                <w:vertAlign w:val="superscript"/>
              </w:rPr>
              <w:t>3</w:t>
            </w:r>
            <w:r>
              <w:rPr>
                <w:rFonts w:hint="eastAsia" w:ascii="Times New Roman" w:eastAsia="宋体" w:cs="Times New Roman"/>
                <w:highlight w:val="none"/>
              </w:rPr>
              <w:t>、54m</w:t>
            </w:r>
            <w:r>
              <w:rPr>
                <w:rFonts w:hint="eastAsia" w:ascii="Times New Roman" w:eastAsia="宋体" w:cs="Times New Roman"/>
                <w:highlight w:val="none"/>
                <w:vertAlign w:val="superscript"/>
              </w:rPr>
              <w:t>3</w:t>
            </w:r>
            <w:r>
              <w:rPr>
                <w:rFonts w:hint="eastAsia" w:ascii="Times New Roman" w:eastAsia="宋体" w:cs="Times New Roman"/>
                <w:highlight w:val="none"/>
              </w:rPr>
              <w:t>，用于收集事故状态下的废水及浆液</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4542" w:type="pct"/>
            <w:gridSpan w:val="3"/>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厂区门口附近设置洗车平台（8m×3.5m），在洗车平台使用高压喷雾清洗轮胎及车身，洗车平台四周应设置防溢座，废水经导流渠流入沉淀池内（2m×2m×2.5m），上清水流入清水池内（2m×2m×2.5m），回用于运输车辆清洗</w:t>
            </w:r>
            <w:r>
              <w:rPr>
                <w:rFonts w:hint="eastAsia" w:ascii="Times New Roman" w:eastAsia="宋体" w:cs="Times New Roman"/>
                <w:highlight w:val="none"/>
              </w:rPr>
              <w:t>；各成品库门口设车轮清洗装置</w:t>
            </w:r>
          </w:p>
        </w:tc>
      </w:tr>
    </w:tbl>
    <w:p>
      <w:pPr>
        <w:widowControl/>
        <w:spacing w:line="240" w:lineRule="auto"/>
        <w:ind w:firstLine="0" w:firstLineChars="0"/>
        <w:jc w:val="center"/>
        <w:textAlignment w:val="auto"/>
        <w:rPr>
          <w:rFonts w:eastAsia="黑体"/>
          <w:sz w:val="21"/>
          <w:szCs w:val="21"/>
          <w:highlight w:val="none"/>
        </w:rPr>
      </w:pPr>
      <w:bookmarkStart w:id="258" w:name="_Toc521591757"/>
      <w:r>
        <w:rPr>
          <w:rFonts w:eastAsia="黑体"/>
          <w:sz w:val="21"/>
          <w:szCs w:val="21"/>
          <w:highlight w:val="none"/>
        </w:rPr>
        <w:t>表3.</w:t>
      </w:r>
      <w:r>
        <w:rPr>
          <w:rFonts w:hint="eastAsia" w:eastAsia="黑体"/>
          <w:sz w:val="21"/>
          <w:szCs w:val="21"/>
          <w:highlight w:val="none"/>
        </w:rPr>
        <w:t>1</w:t>
      </w:r>
      <w:r>
        <w:rPr>
          <w:rFonts w:eastAsia="黑体"/>
          <w:sz w:val="21"/>
          <w:szCs w:val="21"/>
          <w:highlight w:val="none"/>
        </w:rPr>
        <w:t>-3</w:t>
      </w:r>
      <w:r>
        <w:rPr>
          <w:rFonts w:hint="eastAsia" w:eastAsia="黑体"/>
          <w:sz w:val="21"/>
          <w:szCs w:val="21"/>
          <w:highlight w:val="none"/>
          <w:lang w:val="en-US" w:eastAsia="zh-CN"/>
        </w:rPr>
        <w:t>现有工程</w:t>
      </w:r>
      <w:r>
        <w:rPr>
          <w:rFonts w:eastAsia="黑体"/>
          <w:sz w:val="21"/>
          <w:szCs w:val="21"/>
          <w:highlight w:val="none"/>
        </w:rPr>
        <w:t>主要建（构）筑物一览表</w:t>
      </w:r>
    </w:p>
    <w:tbl>
      <w:tblPr>
        <w:tblStyle w:val="48"/>
        <w:tblW w:w="861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8"/>
        <w:gridCol w:w="484"/>
        <w:gridCol w:w="1143"/>
        <w:gridCol w:w="937"/>
        <w:gridCol w:w="3882"/>
        <w:gridCol w:w="15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608" w:type="dxa"/>
            <w:vAlign w:val="center"/>
          </w:tcPr>
          <w:p>
            <w:pPr>
              <w:spacing w:line="240" w:lineRule="auto"/>
              <w:ind w:firstLine="0" w:firstLineChars="0"/>
              <w:jc w:val="center"/>
              <w:rPr>
                <w:sz w:val="21"/>
                <w:szCs w:val="21"/>
                <w:highlight w:val="none"/>
              </w:rPr>
            </w:pPr>
            <w:r>
              <w:rPr>
                <w:sz w:val="21"/>
                <w:szCs w:val="21"/>
                <w:highlight w:val="none"/>
              </w:rPr>
              <w:t>序号</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建/构筑物名称</w:t>
            </w:r>
          </w:p>
        </w:tc>
        <w:tc>
          <w:tcPr>
            <w:tcW w:w="937" w:type="dxa"/>
            <w:vAlign w:val="center"/>
          </w:tcPr>
          <w:p>
            <w:pPr>
              <w:spacing w:line="240" w:lineRule="auto"/>
              <w:ind w:firstLine="0" w:firstLineChars="0"/>
              <w:jc w:val="center"/>
              <w:rPr>
                <w:sz w:val="21"/>
                <w:szCs w:val="21"/>
                <w:highlight w:val="none"/>
              </w:rPr>
            </w:pPr>
            <w:r>
              <w:rPr>
                <w:sz w:val="21"/>
                <w:szCs w:val="21"/>
                <w:highlight w:val="none"/>
              </w:rPr>
              <w:t>规模</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结构及</w:t>
            </w:r>
            <w:r>
              <w:rPr>
                <w:sz w:val="21"/>
                <w:szCs w:val="21"/>
                <w:highlight w:val="none"/>
              </w:rPr>
              <w:t>规格（长×宽×高）</w:t>
            </w:r>
          </w:p>
        </w:tc>
        <w:tc>
          <w:tcPr>
            <w:tcW w:w="1563" w:type="dxa"/>
            <w:vAlign w:val="center"/>
          </w:tcPr>
          <w:p>
            <w:pPr>
              <w:spacing w:line="240" w:lineRule="auto"/>
              <w:ind w:firstLine="0" w:firstLineChars="0"/>
              <w:jc w:val="center"/>
              <w:rPr>
                <w:sz w:val="21"/>
                <w:szCs w:val="21"/>
                <w:highlight w:val="none"/>
              </w:rPr>
            </w:pPr>
            <w:r>
              <w:rPr>
                <w:rFonts w:hint="eastAsia"/>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w:t>
            </w:r>
          </w:p>
        </w:tc>
        <w:tc>
          <w:tcPr>
            <w:tcW w:w="484"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w:t>
            </w:r>
          </w:p>
        </w:tc>
        <w:tc>
          <w:tcPr>
            <w:tcW w:w="1143" w:type="dxa"/>
            <w:vAlign w:val="center"/>
          </w:tcPr>
          <w:p>
            <w:pPr>
              <w:spacing w:line="240" w:lineRule="auto"/>
              <w:ind w:firstLine="0" w:firstLineChars="0"/>
              <w:jc w:val="center"/>
              <w:rPr>
                <w:sz w:val="21"/>
                <w:szCs w:val="21"/>
                <w:highlight w:val="none"/>
              </w:rPr>
            </w:pPr>
            <w:r>
              <w:rPr>
                <w:sz w:val="21"/>
                <w:szCs w:val="21"/>
                <w:highlight w:val="none"/>
              </w:rPr>
              <w:t>破碎车间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272</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规格：34</w:t>
            </w:r>
            <w:r>
              <w:rPr>
                <w:sz w:val="21"/>
                <w:szCs w:val="21"/>
                <w:highlight w:val="none"/>
              </w:rPr>
              <w:t>m×</w:t>
            </w:r>
            <w:r>
              <w:rPr>
                <w:rFonts w:hint="eastAsia"/>
                <w:sz w:val="21"/>
                <w:szCs w:val="21"/>
                <w:highlight w:val="none"/>
              </w:rPr>
              <w:t>8</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2</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rFonts w:hint="eastAsia" w:eastAsia="宋体"/>
                <w:sz w:val="21"/>
                <w:szCs w:val="21"/>
                <w:highlight w:val="none"/>
                <w:lang w:eastAsia="zh-CN"/>
              </w:rPr>
            </w:pPr>
            <w:r>
              <w:rPr>
                <w:sz w:val="21"/>
                <w:szCs w:val="21"/>
                <w:highlight w:val="none"/>
              </w:rPr>
              <w:t>原料</w:t>
            </w:r>
            <w:r>
              <w:rPr>
                <w:rFonts w:hint="eastAsia"/>
                <w:sz w:val="21"/>
                <w:szCs w:val="21"/>
                <w:highlight w:val="none"/>
                <w:lang w:val="en-US" w:eastAsia="zh-CN"/>
              </w:rPr>
              <w:t>棚</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50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ascii="Times New Roman" w:hAnsi="Times New Roman" w:eastAsia="宋体" w:cs="Times New Roman"/>
                <w:sz w:val="21"/>
                <w:szCs w:val="21"/>
                <w:highlight w:val="none"/>
                <w:lang w:val="en-US" w:eastAsia="zh-CN"/>
              </w:rPr>
              <w:t>三面围挡带顶</w:t>
            </w:r>
            <w:r>
              <w:rPr>
                <w:rFonts w:ascii="Times New Roman" w:hAnsi="Times New Roman" w:eastAsia="宋体" w:cs="Times New Roman"/>
                <w:sz w:val="21"/>
                <w:szCs w:val="21"/>
                <w:highlight w:val="none"/>
              </w:rPr>
              <w:t>，</w:t>
            </w:r>
            <w:r>
              <w:rPr>
                <w:rFonts w:hint="eastAsia" w:ascii="Times New Roman" w:hAnsi="Times New Roman" w:eastAsia="宋体" w:cs="Times New Roman"/>
                <w:sz w:val="21"/>
                <w:szCs w:val="21"/>
                <w:highlight w:val="none"/>
                <w:lang w:val="en-US" w:eastAsia="zh-CN"/>
              </w:rPr>
              <w:t>进深不小于8米</w:t>
            </w:r>
            <w:r>
              <w:rPr>
                <w:rFonts w:hint="eastAsia" w:ascii="Times New Roman" w:hAnsi="Times New Roman" w:eastAsia="宋体" w:cs="Times New Roman"/>
                <w:sz w:val="21"/>
                <w:szCs w:val="21"/>
                <w:highlight w:val="none"/>
              </w:rPr>
              <w:t>，</w:t>
            </w:r>
            <w:r>
              <w:rPr>
                <w:rFonts w:hint="eastAsia" w:ascii="Times New Roman" w:hAnsi="Times New Roman" w:eastAsia="宋体" w:cs="Times New Roman"/>
                <w:sz w:val="21"/>
                <w:szCs w:val="21"/>
                <w:highlight w:val="none"/>
                <w:lang w:val="en-US" w:eastAsia="zh-CN"/>
              </w:rPr>
              <w:t>受料仓设喷雾抑尘装置</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3</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粗选</w:t>
            </w:r>
            <w:r>
              <w:rPr>
                <w:sz w:val="21"/>
                <w:szCs w:val="21"/>
                <w:highlight w:val="none"/>
              </w:rPr>
              <w:t>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168</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规格：21</w:t>
            </w:r>
            <w:r>
              <w:rPr>
                <w:sz w:val="21"/>
                <w:szCs w:val="21"/>
                <w:highlight w:val="none"/>
              </w:rPr>
              <w:t>m×</w:t>
            </w:r>
            <w:r>
              <w:rPr>
                <w:rFonts w:hint="eastAsia"/>
                <w:sz w:val="21"/>
                <w:szCs w:val="21"/>
                <w:highlight w:val="none"/>
              </w:rPr>
              <w:t>8</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4</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成品库</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50</w:t>
            </w:r>
            <w:r>
              <w:rPr>
                <w:sz w:val="21"/>
                <w:szCs w:val="21"/>
                <w:highlight w:val="none"/>
              </w:rPr>
              <w:t>0m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规格：25</w:t>
            </w:r>
            <w:r>
              <w:rPr>
                <w:sz w:val="21"/>
                <w:szCs w:val="21"/>
                <w:highlight w:val="none"/>
              </w:rPr>
              <w:t>m×</w:t>
            </w:r>
            <w:r>
              <w:rPr>
                <w:rFonts w:hint="eastAsia"/>
                <w:sz w:val="21"/>
                <w:szCs w:val="21"/>
                <w:highlight w:val="none"/>
              </w:rPr>
              <w:t>20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5</w:t>
            </w:r>
          </w:p>
        </w:tc>
        <w:tc>
          <w:tcPr>
            <w:tcW w:w="484"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北厂区</w:t>
            </w:r>
          </w:p>
        </w:tc>
        <w:tc>
          <w:tcPr>
            <w:tcW w:w="1143" w:type="dxa"/>
            <w:vAlign w:val="center"/>
          </w:tcPr>
          <w:p>
            <w:pPr>
              <w:spacing w:line="240" w:lineRule="auto"/>
              <w:ind w:firstLine="0" w:firstLineChars="0"/>
              <w:jc w:val="center"/>
              <w:rPr>
                <w:sz w:val="21"/>
                <w:szCs w:val="21"/>
                <w:highlight w:val="none"/>
              </w:rPr>
            </w:pPr>
            <w:r>
              <w:rPr>
                <w:sz w:val="21"/>
                <w:szCs w:val="21"/>
                <w:highlight w:val="none"/>
              </w:rPr>
              <w:t>原料库</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3000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规格：60</w:t>
            </w:r>
            <w:r>
              <w:rPr>
                <w:sz w:val="21"/>
                <w:szCs w:val="21"/>
                <w:highlight w:val="none"/>
              </w:rPr>
              <w:t>m×</w:t>
            </w:r>
            <w:r>
              <w:rPr>
                <w:rFonts w:hint="eastAsia"/>
                <w:sz w:val="21"/>
                <w:szCs w:val="21"/>
                <w:highlight w:val="none"/>
              </w:rPr>
              <w:t>50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6</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精选</w:t>
            </w:r>
            <w:r>
              <w:rPr>
                <w:sz w:val="21"/>
                <w:szCs w:val="21"/>
                <w:highlight w:val="none"/>
              </w:rPr>
              <w:t>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900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规格：45</w:t>
            </w:r>
            <w:r>
              <w:rPr>
                <w:sz w:val="21"/>
                <w:szCs w:val="21"/>
                <w:highlight w:val="none"/>
              </w:rPr>
              <w:t>m×</w:t>
            </w:r>
            <w:r>
              <w:rPr>
                <w:rFonts w:hint="eastAsia"/>
                <w:sz w:val="21"/>
                <w:szCs w:val="21"/>
                <w:highlight w:val="none"/>
              </w:rPr>
              <w:t>20</w:t>
            </w:r>
            <w:r>
              <w:rPr>
                <w:sz w:val="21"/>
                <w:szCs w:val="21"/>
                <w:highlight w:val="none"/>
              </w:rPr>
              <w:t>m×1</w:t>
            </w:r>
            <w:r>
              <w:rPr>
                <w:rFonts w:hint="eastAsia"/>
                <w:sz w:val="21"/>
                <w:szCs w:val="21"/>
                <w:highlight w:val="none"/>
              </w:rPr>
              <w:t>5</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7</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精选</w:t>
            </w:r>
            <w:r>
              <w:rPr>
                <w:sz w:val="21"/>
                <w:szCs w:val="21"/>
                <w:highlight w:val="none"/>
              </w:rPr>
              <w:t>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450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规格：45</w:t>
            </w:r>
            <w:r>
              <w:rPr>
                <w:sz w:val="21"/>
                <w:szCs w:val="21"/>
                <w:highlight w:val="none"/>
              </w:rPr>
              <w:t>m×</w:t>
            </w:r>
            <w:r>
              <w:rPr>
                <w:rFonts w:hint="eastAsia"/>
                <w:sz w:val="21"/>
                <w:szCs w:val="21"/>
                <w:highlight w:val="none"/>
              </w:rPr>
              <w:t>10</w:t>
            </w:r>
            <w:r>
              <w:rPr>
                <w:sz w:val="21"/>
                <w:szCs w:val="21"/>
                <w:highlight w:val="none"/>
              </w:rPr>
              <w:t>m×1</w:t>
            </w:r>
            <w:r>
              <w:rPr>
                <w:rFonts w:hint="eastAsia"/>
                <w:sz w:val="21"/>
                <w:szCs w:val="21"/>
                <w:highlight w:val="none"/>
              </w:rPr>
              <w:t>5</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8</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成品库</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4</w:t>
            </w:r>
            <w:r>
              <w:rPr>
                <w:sz w:val="21"/>
                <w:szCs w:val="21"/>
                <w:highlight w:val="none"/>
              </w:rPr>
              <w:t>00m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规格：20</w:t>
            </w:r>
            <w:r>
              <w:rPr>
                <w:sz w:val="21"/>
                <w:szCs w:val="21"/>
                <w:highlight w:val="none"/>
              </w:rPr>
              <w:t>m×</w:t>
            </w:r>
            <w:r>
              <w:rPr>
                <w:rFonts w:hint="eastAsia"/>
                <w:sz w:val="21"/>
                <w:szCs w:val="21"/>
                <w:highlight w:val="none"/>
              </w:rPr>
              <w:t>20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9</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压滤</w:t>
            </w:r>
            <w:r>
              <w:rPr>
                <w:sz w:val="21"/>
                <w:szCs w:val="21"/>
                <w:highlight w:val="none"/>
              </w:rPr>
              <w:t>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150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规格：15</w:t>
            </w:r>
            <w:r>
              <w:rPr>
                <w:sz w:val="21"/>
                <w:szCs w:val="21"/>
                <w:highlight w:val="none"/>
              </w:rPr>
              <w:t>m×</w:t>
            </w:r>
            <w:r>
              <w:rPr>
                <w:rFonts w:hint="eastAsia"/>
                <w:sz w:val="21"/>
                <w:szCs w:val="21"/>
                <w:highlight w:val="none"/>
              </w:rPr>
              <w:t>10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10</w:t>
            </w:r>
          </w:p>
        </w:tc>
        <w:tc>
          <w:tcPr>
            <w:tcW w:w="1627"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危废暂存间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6</w:t>
            </w:r>
            <w:r>
              <w:rPr>
                <w:sz w:val="21"/>
                <w:szCs w:val="21"/>
                <w:highlight w:val="none"/>
              </w:rPr>
              <w:t xml:space="preserve"> 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w:t>
            </w:r>
            <w:r>
              <w:rPr>
                <w:sz w:val="21"/>
                <w:szCs w:val="21"/>
                <w:highlight w:val="none"/>
              </w:rPr>
              <w:t>砖混结构</w:t>
            </w:r>
            <w:r>
              <w:rPr>
                <w:rFonts w:hint="eastAsia"/>
                <w:sz w:val="21"/>
                <w:szCs w:val="21"/>
                <w:highlight w:val="none"/>
              </w:rPr>
              <w:t>，规格3</w:t>
            </w:r>
            <w:r>
              <w:rPr>
                <w:sz w:val="21"/>
                <w:szCs w:val="21"/>
                <w:highlight w:val="none"/>
              </w:rPr>
              <w:t>m×</w:t>
            </w:r>
            <w:r>
              <w:rPr>
                <w:rFonts w:hint="eastAsia"/>
                <w:sz w:val="21"/>
                <w:szCs w:val="21"/>
                <w:highlight w:val="none"/>
              </w:rPr>
              <w:t>2</w:t>
            </w:r>
            <w:r>
              <w:rPr>
                <w:sz w:val="21"/>
                <w:szCs w:val="21"/>
                <w:highlight w:val="none"/>
              </w:rPr>
              <w:t>m×3m</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11</w:t>
            </w:r>
          </w:p>
        </w:tc>
        <w:tc>
          <w:tcPr>
            <w:tcW w:w="1627"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办公区</w:t>
            </w:r>
          </w:p>
        </w:tc>
        <w:tc>
          <w:tcPr>
            <w:tcW w:w="937" w:type="dxa"/>
            <w:vAlign w:val="center"/>
          </w:tcPr>
          <w:p>
            <w:pPr>
              <w:spacing w:line="240" w:lineRule="auto"/>
              <w:ind w:firstLine="0" w:firstLineChars="0"/>
              <w:jc w:val="center"/>
              <w:rPr>
                <w:sz w:val="21"/>
                <w:szCs w:val="21"/>
                <w:highlight w:val="none"/>
              </w:rPr>
            </w:pPr>
            <w:r>
              <w:rPr>
                <w:sz w:val="21"/>
                <w:szCs w:val="21"/>
                <w:highlight w:val="none"/>
              </w:rPr>
              <w:t>100 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w:t>
            </w:r>
            <w:r>
              <w:rPr>
                <w:sz w:val="21"/>
                <w:szCs w:val="21"/>
                <w:highlight w:val="none"/>
              </w:rPr>
              <w:t>砖混结构</w:t>
            </w:r>
            <w:r>
              <w:rPr>
                <w:rFonts w:hint="eastAsia"/>
                <w:sz w:val="21"/>
                <w:szCs w:val="21"/>
                <w:highlight w:val="none"/>
              </w:rPr>
              <w:t>，规格</w:t>
            </w:r>
            <w:r>
              <w:rPr>
                <w:sz w:val="21"/>
                <w:szCs w:val="21"/>
                <w:highlight w:val="none"/>
              </w:rPr>
              <w:t>20m×5m×6m</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12</w:t>
            </w:r>
          </w:p>
        </w:tc>
        <w:tc>
          <w:tcPr>
            <w:tcW w:w="1627"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库房</w:t>
            </w:r>
          </w:p>
        </w:tc>
        <w:tc>
          <w:tcPr>
            <w:tcW w:w="93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90</w:t>
            </w:r>
            <w:r>
              <w:rPr>
                <w:rFonts w:ascii="Times New Roman" w:cs="Times New Roman"/>
                <w:highlight w:val="none"/>
              </w:rPr>
              <w:t xml:space="preserve"> m</w:t>
            </w:r>
            <w:r>
              <w:rPr>
                <w:rFonts w:ascii="Times New Roman" w:cs="Times New Roman"/>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w:t>
            </w:r>
            <w:r>
              <w:rPr>
                <w:sz w:val="21"/>
                <w:szCs w:val="21"/>
                <w:highlight w:val="none"/>
              </w:rPr>
              <w:t>砖混结构</w:t>
            </w:r>
            <w:r>
              <w:rPr>
                <w:rFonts w:hint="eastAsia"/>
                <w:sz w:val="21"/>
                <w:szCs w:val="21"/>
                <w:highlight w:val="none"/>
              </w:rPr>
              <w:t>，规格</w:t>
            </w:r>
            <w:r>
              <w:rPr>
                <w:sz w:val="21"/>
                <w:szCs w:val="21"/>
                <w:highlight w:val="none"/>
              </w:rPr>
              <w:t>15m×6m×3m</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13</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旱厕</w:t>
            </w:r>
          </w:p>
        </w:tc>
        <w:tc>
          <w:tcPr>
            <w:tcW w:w="937" w:type="dxa"/>
            <w:vAlign w:val="center"/>
          </w:tcPr>
          <w:p>
            <w:pPr>
              <w:spacing w:line="240" w:lineRule="auto"/>
              <w:ind w:firstLine="0" w:firstLineChars="0"/>
              <w:jc w:val="center"/>
              <w:rPr>
                <w:sz w:val="21"/>
                <w:szCs w:val="21"/>
                <w:highlight w:val="none"/>
              </w:rPr>
            </w:pPr>
            <w:r>
              <w:rPr>
                <w:sz w:val="21"/>
                <w:szCs w:val="21"/>
                <w:highlight w:val="none"/>
              </w:rPr>
              <w:t>10 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w:t>
            </w:r>
            <w:r>
              <w:rPr>
                <w:sz w:val="21"/>
                <w:szCs w:val="21"/>
                <w:highlight w:val="none"/>
              </w:rPr>
              <w:t>砖混结构</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14</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浓密池</w:t>
            </w:r>
          </w:p>
        </w:tc>
        <w:tc>
          <w:tcPr>
            <w:tcW w:w="937" w:type="dxa"/>
            <w:vAlign w:val="center"/>
          </w:tcPr>
          <w:p>
            <w:pPr>
              <w:spacing w:line="240" w:lineRule="auto"/>
              <w:ind w:firstLine="0" w:firstLineChars="0"/>
              <w:jc w:val="center"/>
              <w:rPr>
                <w:sz w:val="21"/>
                <w:szCs w:val="21"/>
                <w:highlight w:val="none"/>
              </w:rPr>
            </w:pPr>
            <w:r>
              <w:rPr>
                <w:sz w:val="21"/>
                <w:szCs w:val="21"/>
                <w:highlight w:val="none"/>
              </w:rPr>
              <w:t>—</w:t>
            </w:r>
          </w:p>
        </w:tc>
        <w:tc>
          <w:tcPr>
            <w:tcW w:w="3882" w:type="dxa"/>
            <w:vAlign w:val="center"/>
          </w:tcPr>
          <w:p>
            <w:pPr>
              <w:spacing w:line="240" w:lineRule="auto"/>
              <w:ind w:firstLine="0" w:firstLineChars="0"/>
              <w:jc w:val="center"/>
              <w:rPr>
                <w:sz w:val="21"/>
                <w:szCs w:val="21"/>
                <w:highlight w:val="none"/>
              </w:rPr>
            </w:pPr>
            <w:r>
              <w:rPr>
                <w:sz w:val="21"/>
                <w:szCs w:val="21"/>
                <w:highlight w:val="none"/>
              </w:rPr>
              <w:t>混凝土结构φ</w:t>
            </w:r>
            <w:r>
              <w:rPr>
                <w:rFonts w:hint="eastAsia"/>
                <w:sz w:val="21"/>
                <w:szCs w:val="21"/>
                <w:highlight w:val="none"/>
                <w:lang w:val="en-US" w:eastAsia="zh-CN"/>
              </w:rPr>
              <w:t>30</w:t>
            </w:r>
            <w:r>
              <w:rPr>
                <w:sz w:val="21"/>
                <w:szCs w:val="21"/>
                <w:highlight w:val="none"/>
              </w:rPr>
              <w:t>m×H(2.4+2.7)m</w:t>
            </w:r>
          </w:p>
        </w:tc>
        <w:tc>
          <w:tcPr>
            <w:tcW w:w="1563" w:type="dxa"/>
            <w:vMerge w:val="restart"/>
            <w:vAlign w:val="center"/>
          </w:tcPr>
          <w:p>
            <w:pPr>
              <w:spacing w:line="240" w:lineRule="auto"/>
              <w:ind w:firstLine="0" w:firstLineChars="0"/>
              <w:rPr>
                <w:sz w:val="21"/>
                <w:szCs w:val="21"/>
                <w:highlight w:val="none"/>
              </w:rPr>
            </w:pPr>
            <w:r>
              <w:rPr>
                <w:rFonts w:hint="eastAsia"/>
                <w:sz w:val="21"/>
                <w:szCs w:val="21"/>
                <w:highlight w:val="none"/>
              </w:rPr>
              <w:t>北厂区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15</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清水池</w:t>
            </w:r>
          </w:p>
        </w:tc>
        <w:tc>
          <w:tcPr>
            <w:tcW w:w="937" w:type="dxa"/>
            <w:vAlign w:val="center"/>
          </w:tcPr>
          <w:p>
            <w:pPr>
              <w:spacing w:line="240" w:lineRule="auto"/>
              <w:ind w:firstLine="0" w:firstLineChars="0"/>
              <w:jc w:val="center"/>
              <w:rPr>
                <w:sz w:val="21"/>
                <w:szCs w:val="21"/>
                <w:highlight w:val="none"/>
              </w:rPr>
            </w:pPr>
            <w:r>
              <w:rPr>
                <w:sz w:val="21"/>
                <w:szCs w:val="21"/>
                <w:highlight w:val="none"/>
              </w:rPr>
              <w:t>45m</w:t>
            </w:r>
            <w:r>
              <w:rPr>
                <w:sz w:val="21"/>
                <w:szCs w:val="21"/>
                <w:highlight w:val="none"/>
                <w:vertAlign w:val="superscript"/>
              </w:rPr>
              <w:t>3</w:t>
            </w:r>
          </w:p>
        </w:tc>
        <w:tc>
          <w:tcPr>
            <w:tcW w:w="3882" w:type="dxa"/>
            <w:vAlign w:val="center"/>
          </w:tcPr>
          <w:p>
            <w:pPr>
              <w:spacing w:line="240" w:lineRule="auto"/>
              <w:ind w:firstLine="0" w:firstLineChars="0"/>
              <w:jc w:val="center"/>
              <w:rPr>
                <w:sz w:val="21"/>
                <w:szCs w:val="21"/>
                <w:highlight w:val="none"/>
              </w:rPr>
            </w:pPr>
            <w:r>
              <w:rPr>
                <w:sz w:val="21"/>
                <w:szCs w:val="21"/>
                <w:highlight w:val="none"/>
              </w:rPr>
              <w:t>钢制结构</w:t>
            </w:r>
          </w:p>
        </w:tc>
        <w:tc>
          <w:tcPr>
            <w:tcW w:w="1563" w:type="dxa"/>
            <w:vMerge w:val="continue"/>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16</w:t>
            </w:r>
          </w:p>
        </w:tc>
        <w:tc>
          <w:tcPr>
            <w:tcW w:w="1627"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事故池</w:t>
            </w:r>
          </w:p>
        </w:tc>
        <w:tc>
          <w:tcPr>
            <w:tcW w:w="937" w:type="dxa"/>
            <w:vAlign w:val="center"/>
          </w:tcPr>
          <w:p>
            <w:pPr>
              <w:spacing w:line="240" w:lineRule="auto"/>
              <w:ind w:firstLine="0" w:firstLineChars="0"/>
              <w:jc w:val="center"/>
              <w:rPr>
                <w:sz w:val="21"/>
                <w:szCs w:val="21"/>
                <w:highlight w:val="none"/>
              </w:rPr>
            </w:pP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混凝土结构，3座</w:t>
            </w:r>
          </w:p>
          <w:p>
            <w:pPr>
              <w:spacing w:line="240" w:lineRule="auto"/>
              <w:ind w:firstLine="0" w:firstLineChars="0"/>
              <w:jc w:val="center"/>
              <w:rPr>
                <w:sz w:val="21"/>
                <w:szCs w:val="21"/>
                <w:highlight w:val="none"/>
              </w:rPr>
            </w:pPr>
            <w:r>
              <w:rPr>
                <w:rFonts w:hint="eastAsia"/>
                <w:sz w:val="21"/>
                <w:szCs w:val="21"/>
                <w:highlight w:val="none"/>
              </w:rPr>
              <w:t>1#事故池：6</w:t>
            </w:r>
            <w:r>
              <w:rPr>
                <w:sz w:val="21"/>
                <w:szCs w:val="21"/>
                <w:highlight w:val="none"/>
              </w:rPr>
              <w:t>m×</w:t>
            </w:r>
            <w:r>
              <w:rPr>
                <w:rFonts w:hint="eastAsia"/>
                <w:sz w:val="21"/>
                <w:szCs w:val="21"/>
                <w:highlight w:val="none"/>
              </w:rPr>
              <w:t>4.9</w:t>
            </w:r>
            <w:r>
              <w:rPr>
                <w:sz w:val="21"/>
                <w:szCs w:val="21"/>
                <w:highlight w:val="none"/>
              </w:rPr>
              <w:t>m×</w:t>
            </w:r>
            <w:r>
              <w:rPr>
                <w:rFonts w:hint="eastAsia"/>
                <w:sz w:val="21"/>
                <w:szCs w:val="21"/>
                <w:highlight w:val="none"/>
              </w:rPr>
              <w:t>1.5</w:t>
            </w:r>
            <w:r>
              <w:rPr>
                <w:sz w:val="21"/>
                <w:szCs w:val="21"/>
                <w:highlight w:val="none"/>
              </w:rPr>
              <w:t>m</w:t>
            </w:r>
          </w:p>
          <w:p>
            <w:pPr>
              <w:spacing w:line="240" w:lineRule="auto"/>
              <w:ind w:firstLine="0" w:firstLineChars="0"/>
              <w:jc w:val="center"/>
              <w:rPr>
                <w:sz w:val="21"/>
                <w:szCs w:val="21"/>
                <w:highlight w:val="none"/>
              </w:rPr>
            </w:pPr>
            <w:r>
              <w:rPr>
                <w:rFonts w:hint="eastAsia"/>
                <w:sz w:val="21"/>
                <w:szCs w:val="21"/>
                <w:highlight w:val="none"/>
              </w:rPr>
              <w:t>2#事故池：6</w:t>
            </w:r>
            <w:r>
              <w:rPr>
                <w:sz w:val="21"/>
                <w:szCs w:val="21"/>
                <w:highlight w:val="none"/>
              </w:rPr>
              <w:t>m×</w:t>
            </w:r>
            <w:r>
              <w:rPr>
                <w:rFonts w:hint="eastAsia"/>
                <w:sz w:val="21"/>
                <w:szCs w:val="21"/>
                <w:highlight w:val="none"/>
              </w:rPr>
              <w:t>4.9</w:t>
            </w:r>
            <w:r>
              <w:rPr>
                <w:sz w:val="21"/>
                <w:szCs w:val="21"/>
                <w:highlight w:val="none"/>
              </w:rPr>
              <w:t>m×</w:t>
            </w:r>
            <w:r>
              <w:rPr>
                <w:rFonts w:hint="eastAsia"/>
                <w:sz w:val="21"/>
                <w:szCs w:val="21"/>
                <w:highlight w:val="none"/>
              </w:rPr>
              <w:t>1.5</w:t>
            </w:r>
            <w:r>
              <w:rPr>
                <w:sz w:val="21"/>
                <w:szCs w:val="21"/>
                <w:highlight w:val="none"/>
              </w:rPr>
              <w:t>m</w:t>
            </w:r>
          </w:p>
          <w:p>
            <w:pPr>
              <w:spacing w:line="240" w:lineRule="auto"/>
              <w:ind w:firstLine="0" w:firstLineChars="0"/>
              <w:jc w:val="center"/>
              <w:rPr>
                <w:sz w:val="21"/>
                <w:szCs w:val="21"/>
                <w:highlight w:val="none"/>
              </w:rPr>
            </w:pPr>
            <w:r>
              <w:rPr>
                <w:rFonts w:hint="eastAsia"/>
                <w:sz w:val="21"/>
                <w:szCs w:val="21"/>
                <w:highlight w:val="none"/>
              </w:rPr>
              <w:t>3#事故池：6.3</w:t>
            </w:r>
            <w:r>
              <w:rPr>
                <w:sz w:val="21"/>
                <w:szCs w:val="21"/>
                <w:highlight w:val="none"/>
              </w:rPr>
              <w:t>m×</w:t>
            </w:r>
            <w:r>
              <w:rPr>
                <w:rFonts w:hint="eastAsia"/>
                <w:sz w:val="21"/>
                <w:szCs w:val="21"/>
                <w:highlight w:val="none"/>
              </w:rPr>
              <w:t>3.9</w:t>
            </w:r>
            <w:r>
              <w:rPr>
                <w:sz w:val="21"/>
                <w:szCs w:val="21"/>
                <w:highlight w:val="none"/>
              </w:rPr>
              <w:t>m×</w:t>
            </w:r>
            <w:r>
              <w:rPr>
                <w:rFonts w:hint="eastAsia"/>
                <w:sz w:val="21"/>
                <w:szCs w:val="21"/>
                <w:highlight w:val="none"/>
              </w:rPr>
              <w:t>2.2</w:t>
            </w:r>
            <w:r>
              <w:rPr>
                <w:sz w:val="21"/>
                <w:szCs w:val="21"/>
                <w:highlight w:val="none"/>
              </w:rPr>
              <w:t>m</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17</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洗车平台</w:t>
            </w:r>
          </w:p>
        </w:tc>
        <w:tc>
          <w:tcPr>
            <w:tcW w:w="937" w:type="dxa"/>
            <w:vAlign w:val="center"/>
          </w:tcPr>
          <w:p>
            <w:pPr>
              <w:spacing w:line="240" w:lineRule="auto"/>
              <w:ind w:firstLine="0" w:firstLineChars="0"/>
              <w:jc w:val="center"/>
              <w:rPr>
                <w:sz w:val="21"/>
                <w:szCs w:val="21"/>
                <w:highlight w:val="none"/>
              </w:rPr>
            </w:pPr>
            <w:r>
              <w:rPr>
                <w:sz w:val="21"/>
                <w:szCs w:val="21"/>
                <w:highlight w:val="none"/>
              </w:rPr>
              <w:t>—</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混凝土结构，规格</w:t>
            </w:r>
            <w:r>
              <w:rPr>
                <w:sz w:val="21"/>
                <w:szCs w:val="21"/>
                <w:highlight w:val="none"/>
              </w:rPr>
              <w:t>8m×3.5m</w:t>
            </w:r>
          </w:p>
        </w:tc>
        <w:tc>
          <w:tcPr>
            <w:tcW w:w="1563" w:type="dxa"/>
            <w:vAlign w:val="center"/>
          </w:tcPr>
          <w:p>
            <w:pPr>
              <w:spacing w:line="240" w:lineRule="auto"/>
              <w:ind w:firstLine="0" w:firstLineChars="0"/>
              <w:jc w:val="center"/>
              <w:rPr>
                <w:sz w:val="21"/>
                <w:szCs w:val="21"/>
                <w:highlight w:val="none"/>
              </w:rPr>
            </w:pPr>
            <w:r>
              <w:rPr>
                <w:rFonts w:hint="eastAsia"/>
                <w:sz w:val="21"/>
                <w:szCs w:val="21"/>
                <w:highlight w:val="none"/>
              </w:rPr>
              <w:t>南北厂区各</w:t>
            </w:r>
          </w:p>
          <w:p>
            <w:pPr>
              <w:spacing w:line="240" w:lineRule="auto"/>
              <w:ind w:firstLine="0" w:firstLineChars="0"/>
              <w:jc w:val="center"/>
              <w:rPr>
                <w:sz w:val="21"/>
                <w:szCs w:val="21"/>
                <w:highlight w:val="none"/>
              </w:rPr>
            </w:pPr>
            <w:r>
              <w:rPr>
                <w:rFonts w:hint="eastAsia"/>
                <w:sz w:val="21"/>
                <w:szCs w:val="21"/>
                <w:highlight w:val="none"/>
              </w:rPr>
              <w:t>1座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1</w:t>
            </w:r>
            <w:r>
              <w:rPr>
                <w:rFonts w:hint="eastAsia"/>
                <w:sz w:val="21"/>
                <w:szCs w:val="21"/>
                <w:highlight w:val="none"/>
              </w:rPr>
              <w:t>8</w:t>
            </w:r>
          </w:p>
        </w:tc>
        <w:tc>
          <w:tcPr>
            <w:tcW w:w="1627"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轮胎清洗装置</w:t>
            </w:r>
          </w:p>
        </w:tc>
        <w:tc>
          <w:tcPr>
            <w:tcW w:w="937" w:type="dxa"/>
            <w:vAlign w:val="center"/>
          </w:tcPr>
          <w:p>
            <w:pPr>
              <w:spacing w:line="240" w:lineRule="auto"/>
              <w:ind w:firstLine="0" w:firstLineChars="0"/>
              <w:jc w:val="center"/>
              <w:rPr>
                <w:sz w:val="21"/>
                <w:szCs w:val="21"/>
                <w:highlight w:val="none"/>
              </w:rPr>
            </w:pPr>
          </w:p>
        </w:tc>
        <w:tc>
          <w:tcPr>
            <w:tcW w:w="3882" w:type="dxa"/>
            <w:vAlign w:val="center"/>
          </w:tcPr>
          <w:p>
            <w:pPr>
              <w:spacing w:line="240" w:lineRule="auto"/>
              <w:ind w:firstLine="0" w:firstLineChars="0"/>
              <w:jc w:val="center"/>
              <w:rPr>
                <w:sz w:val="21"/>
                <w:szCs w:val="21"/>
                <w:highlight w:val="none"/>
              </w:rPr>
            </w:pPr>
          </w:p>
        </w:tc>
        <w:tc>
          <w:tcPr>
            <w:tcW w:w="1563" w:type="dxa"/>
            <w:vAlign w:val="center"/>
          </w:tcPr>
          <w:p>
            <w:pPr>
              <w:spacing w:line="240" w:lineRule="auto"/>
              <w:ind w:firstLine="0" w:firstLineChars="0"/>
              <w:jc w:val="center"/>
              <w:rPr>
                <w:sz w:val="21"/>
                <w:szCs w:val="21"/>
                <w:highlight w:val="none"/>
              </w:rPr>
            </w:pPr>
            <w:r>
              <w:rPr>
                <w:rFonts w:hint="eastAsia"/>
                <w:sz w:val="21"/>
                <w:szCs w:val="21"/>
                <w:highlight w:val="none"/>
              </w:rPr>
              <w:t>南北厂区精粉库门口各1套</w:t>
            </w:r>
          </w:p>
        </w:tc>
      </w:tr>
    </w:tbl>
    <w:p>
      <w:pPr>
        <w:pStyle w:val="6"/>
        <w:numPr>
          <w:ilvl w:val="2"/>
          <w:numId w:val="1"/>
        </w:numPr>
        <w:spacing w:beforeLines="50" w:after="0"/>
        <w:ind w:left="567"/>
        <w:rPr>
          <w:szCs w:val="28"/>
          <w:highlight w:val="none"/>
        </w:rPr>
      </w:pPr>
      <w:bookmarkStart w:id="259" w:name="_Toc32716"/>
      <w:r>
        <w:rPr>
          <w:rFonts w:hint="eastAsia"/>
          <w:szCs w:val="28"/>
          <w:highlight w:val="none"/>
        </w:rPr>
        <w:t xml:space="preserve"> </w:t>
      </w:r>
      <w:r>
        <w:rPr>
          <w:rFonts w:hint="eastAsia"/>
          <w:szCs w:val="28"/>
          <w:highlight w:val="none"/>
          <w:lang w:val="en-US" w:eastAsia="zh-CN"/>
        </w:rPr>
        <w:t>现有工程</w:t>
      </w:r>
      <w:r>
        <w:rPr>
          <w:szCs w:val="28"/>
          <w:highlight w:val="none"/>
        </w:rPr>
        <w:t>主要设备</w:t>
      </w:r>
      <w:bookmarkEnd w:id="258"/>
      <w:bookmarkEnd w:id="259"/>
    </w:p>
    <w:p>
      <w:pPr>
        <w:ind w:firstLine="480"/>
        <w:rPr>
          <w:bCs/>
          <w:sz w:val="24"/>
          <w:szCs w:val="24"/>
          <w:highlight w:val="none"/>
        </w:rPr>
      </w:pPr>
      <w:r>
        <w:rPr>
          <w:rFonts w:hint="eastAsia"/>
          <w:bCs/>
          <w:sz w:val="24"/>
          <w:szCs w:val="24"/>
          <w:highlight w:val="none"/>
          <w:lang w:val="en-US" w:eastAsia="zh-CN"/>
        </w:rPr>
        <w:t>现有工程生产</w:t>
      </w:r>
      <w:r>
        <w:rPr>
          <w:bCs/>
          <w:sz w:val="24"/>
          <w:szCs w:val="24"/>
          <w:highlight w:val="none"/>
        </w:rPr>
        <w:t>设备详见表3.</w:t>
      </w:r>
      <w:r>
        <w:rPr>
          <w:rFonts w:hint="eastAsia"/>
          <w:bCs/>
          <w:sz w:val="24"/>
          <w:szCs w:val="24"/>
          <w:highlight w:val="none"/>
        </w:rPr>
        <w:t>1</w:t>
      </w:r>
      <w:r>
        <w:rPr>
          <w:bCs/>
          <w:sz w:val="24"/>
          <w:szCs w:val="24"/>
          <w:highlight w:val="none"/>
        </w:rPr>
        <w:t>-4。</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1</w:t>
      </w:r>
      <w:r>
        <w:rPr>
          <w:rFonts w:eastAsia="黑体"/>
          <w:kern w:val="2"/>
          <w:sz w:val="21"/>
          <w:szCs w:val="21"/>
          <w:highlight w:val="none"/>
        </w:rPr>
        <w:t xml:space="preserve">-4    </w:t>
      </w:r>
      <w:r>
        <w:rPr>
          <w:rFonts w:hint="eastAsia" w:eastAsia="黑体"/>
          <w:kern w:val="2"/>
          <w:sz w:val="21"/>
          <w:szCs w:val="21"/>
          <w:highlight w:val="none"/>
          <w:lang w:val="en-US" w:eastAsia="zh-CN"/>
        </w:rPr>
        <w:t>现有工程</w:t>
      </w:r>
      <w:r>
        <w:rPr>
          <w:rFonts w:eastAsia="黑体"/>
          <w:kern w:val="2"/>
          <w:sz w:val="21"/>
          <w:szCs w:val="21"/>
          <w:highlight w:val="none"/>
        </w:rPr>
        <w:t>主要设备一览表</w:t>
      </w:r>
    </w:p>
    <w:tbl>
      <w:tblPr>
        <w:tblStyle w:val="48"/>
        <w:tblW w:w="8489"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8"/>
        <w:gridCol w:w="1805"/>
        <w:gridCol w:w="2209"/>
        <w:gridCol w:w="1011"/>
        <w:gridCol w:w="1011"/>
        <w:gridCol w:w="177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1805" w:type="dxa"/>
            <w:vAlign w:val="center"/>
          </w:tcPr>
          <w:p>
            <w:pPr>
              <w:widowControl/>
              <w:spacing w:line="240" w:lineRule="auto"/>
              <w:ind w:firstLine="0" w:firstLineChars="0"/>
              <w:jc w:val="center"/>
              <w:rPr>
                <w:sz w:val="21"/>
                <w:szCs w:val="21"/>
                <w:highlight w:val="none"/>
              </w:rPr>
            </w:pPr>
            <w:r>
              <w:rPr>
                <w:sz w:val="21"/>
                <w:szCs w:val="21"/>
                <w:highlight w:val="none"/>
              </w:rPr>
              <w:t>名称</w:t>
            </w:r>
          </w:p>
        </w:tc>
        <w:tc>
          <w:tcPr>
            <w:tcW w:w="2209" w:type="dxa"/>
            <w:vAlign w:val="center"/>
          </w:tcPr>
          <w:p>
            <w:pPr>
              <w:widowControl/>
              <w:spacing w:line="240" w:lineRule="auto"/>
              <w:ind w:firstLine="0" w:firstLineChars="0"/>
              <w:jc w:val="center"/>
              <w:rPr>
                <w:sz w:val="21"/>
                <w:szCs w:val="21"/>
                <w:highlight w:val="none"/>
              </w:rPr>
            </w:pPr>
            <w:r>
              <w:rPr>
                <w:sz w:val="21"/>
                <w:szCs w:val="21"/>
                <w:highlight w:val="none"/>
              </w:rPr>
              <w:t>型号</w:t>
            </w:r>
          </w:p>
        </w:tc>
        <w:tc>
          <w:tcPr>
            <w:tcW w:w="1011" w:type="dxa"/>
            <w:vAlign w:val="center"/>
          </w:tcPr>
          <w:p>
            <w:pPr>
              <w:widowControl/>
              <w:spacing w:line="240" w:lineRule="auto"/>
              <w:ind w:firstLine="0" w:firstLineChars="0"/>
              <w:jc w:val="center"/>
              <w:rPr>
                <w:sz w:val="21"/>
                <w:szCs w:val="21"/>
                <w:highlight w:val="none"/>
              </w:rPr>
            </w:pPr>
            <w:r>
              <w:rPr>
                <w:sz w:val="21"/>
                <w:szCs w:val="21"/>
                <w:highlight w:val="none"/>
              </w:rPr>
              <w:t>单位</w:t>
            </w:r>
          </w:p>
        </w:tc>
        <w:tc>
          <w:tcPr>
            <w:tcW w:w="1011" w:type="dxa"/>
            <w:vAlign w:val="center"/>
          </w:tcPr>
          <w:p>
            <w:pPr>
              <w:spacing w:line="240" w:lineRule="auto"/>
              <w:ind w:firstLine="0" w:firstLineChars="0"/>
              <w:jc w:val="center"/>
              <w:rPr>
                <w:sz w:val="21"/>
                <w:szCs w:val="21"/>
                <w:highlight w:val="none"/>
              </w:rPr>
            </w:pPr>
            <w:r>
              <w:rPr>
                <w:sz w:val="21"/>
                <w:szCs w:val="21"/>
                <w:highlight w:val="none"/>
              </w:rPr>
              <w:t>数量</w:t>
            </w:r>
          </w:p>
        </w:tc>
        <w:tc>
          <w:tcPr>
            <w:tcW w:w="1775" w:type="dxa"/>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1</w:t>
            </w:r>
          </w:p>
        </w:tc>
        <w:tc>
          <w:tcPr>
            <w:tcW w:w="1805" w:type="dxa"/>
            <w:vAlign w:val="center"/>
          </w:tcPr>
          <w:p>
            <w:pPr>
              <w:spacing w:line="240" w:lineRule="auto"/>
              <w:ind w:firstLine="0" w:firstLineChars="0"/>
              <w:jc w:val="center"/>
              <w:rPr>
                <w:sz w:val="21"/>
                <w:szCs w:val="21"/>
                <w:highlight w:val="none"/>
              </w:rPr>
            </w:pPr>
            <w:r>
              <w:rPr>
                <w:sz w:val="21"/>
                <w:szCs w:val="21"/>
                <w:highlight w:val="none"/>
              </w:rPr>
              <w:t>颚式破碎机</w:t>
            </w:r>
          </w:p>
        </w:tc>
        <w:tc>
          <w:tcPr>
            <w:tcW w:w="2209" w:type="dxa"/>
            <w:vAlign w:val="bottom"/>
          </w:tcPr>
          <w:p>
            <w:pPr>
              <w:spacing w:line="240" w:lineRule="auto"/>
              <w:ind w:firstLine="420"/>
              <w:rPr>
                <w:sz w:val="21"/>
                <w:szCs w:val="21"/>
                <w:highlight w:val="none"/>
              </w:rPr>
            </w:pPr>
            <w:r>
              <w:rPr>
                <w:rFonts w:hint="eastAsia"/>
                <w:sz w:val="21"/>
                <w:szCs w:val="21"/>
                <w:highlight w:val="none"/>
              </w:rPr>
              <w:t>60</w:t>
            </w:r>
            <w:r>
              <w:rPr>
                <w:sz w:val="21"/>
                <w:szCs w:val="21"/>
                <w:highlight w:val="none"/>
              </w:rPr>
              <w:t>0*</w:t>
            </w:r>
            <w:r>
              <w:rPr>
                <w:rFonts w:hint="eastAsia"/>
                <w:sz w:val="21"/>
                <w:szCs w:val="21"/>
                <w:highlight w:val="none"/>
              </w:rPr>
              <w:t>900</w:t>
            </w:r>
            <w:r>
              <w:rPr>
                <w:sz w:val="21"/>
                <w:szCs w:val="21"/>
                <w:highlight w:val="none"/>
              </w:rPr>
              <w:t>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南厂区设备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2</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锤式</w:t>
            </w:r>
            <w:r>
              <w:rPr>
                <w:sz w:val="21"/>
                <w:szCs w:val="21"/>
                <w:highlight w:val="none"/>
              </w:rPr>
              <w:t>破碎机</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175</w:t>
            </w:r>
            <w:r>
              <w:rPr>
                <w:sz w:val="21"/>
                <w:szCs w:val="21"/>
                <w:highlight w:val="none"/>
              </w:rPr>
              <w:t>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3</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6</w:t>
            </w:r>
            <w:r>
              <w:rPr>
                <w:rFonts w:hint="eastAsia"/>
                <w:sz w:val="21"/>
                <w:szCs w:val="21"/>
                <w:highlight w:val="none"/>
              </w:rPr>
              <w:t>0</w:t>
            </w:r>
            <w:r>
              <w:rPr>
                <w:sz w:val="21"/>
                <w:szCs w:val="21"/>
                <w:highlight w:val="none"/>
              </w:rPr>
              <w:t>00mm×</w:t>
            </w:r>
            <w:r>
              <w:rPr>
                <w:rFonts w:hint="eastAsia"/>
                <w:sz w:val="21"/>
                <w:szCs w:val="21"/>
                <w:highlight w:val="none"/>
              </w:rPr>
              <w:t>18</w:t>
            </w:r>
            <w:r>
              <w:rPr>
                <w:sz w:val="21"/>
                <w:szCs w:val="21"/>
                <w:highlight w:val="none"/>
              </w:rPr>
              <w:t>00mm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widowControl/>
              <w:spacing w:line="240" w:lineRule="auto"/>
              <w:ind w:firstLine="0" w:firstLineChars="0"/>
              <w:jc w:val="center"/>
              <w:rPr>
                <w:sz w:val="21"/>
                <w:szCs w:val="21"/>
                <w:highlight w:val="none"/>
              </w:rPr>
            </w:pPr>
            <w:r>
              <w:rPr>
                <w:rFonts w:hint="eastAsia"/>
                <w:sz w:val="21"/>
                <w:szCs w:val="21"/>
                <w:highlight w:val="none"/>
              </w:rPr>
              <w:t>4</w:t>
            </w:r>
          </w:p>
        </w:tc>
        <w:tc>
          <w:tcPr>
            <w:tcW w:w="180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皮带输送机</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1.0m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widowControl/>
              <w:spacing w:line="240" w:lineRule="auto"/>
              <w:ind w:firstLine="0" w:firstLineChars="0"/>
              <w:jc w:val="center"/>
              <w:rPr>
                <w:sz w:val="21"/>
                <w:szCs w:val="21"/>
                <w:highlight w:val="none"/>
              </w:rPr>
            </w:pPr>
          </w:p>
        </w:tc>
        <w:tc>
          <w:tcPr>
            <w:tcW w:w="1805" w:type="dxa"/>
            <w:vMerge w:val="continue"/>
            <w:vAlign w:val="center"/>
          </w:tcPr>
          <w:p>
            <w:pPr>
              <w:spacing w:line="240" w:lineRule="auto"/>
              <w:ind w:firstLine="0" w:firstLineChars="0"/>
              <w:jc w:val="center"/>
              <w:rPr>
                <w:sz w:val="21"/>
                <w:szCs w:val="21"/>
                <w:highlight w:val="none"/>
              </w:rPr>
            </w:pP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0.8m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4</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5</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振动给料机</w:t>
            </w:r>
          </w:p>
        </w:tc>
        <w:tc>
          <w:tcPr>
            <w:tcW w:w="2209" w:type="dxa"/>
            <w:vAlign w:val="bottom"/>
          </w:tcPr>
          <w:p>
            <w:pPr>
              <w:spacing w:line="240" w:lineRule="auto"/>
              <w:ind w:firstLine="420"/>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6</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圆盘给料机</w:t>
            </w:r>
          </w:p>
        </w:tc>
        <w:tc>
          <w:tcPr>
            <w:tcW w:w="2209" w:type="dxa"/>
            <w:vAlign w:val="bottom"/>
          </w:tcPr>
          <w:p>
            <w:pPr>
              <w:spacing w:line="240" w:lineRule="auto"/>
              <w:ind w:firstLine="420"/>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7</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中转料仓</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3</w:t>
            </w:r>
            <w:r>
              <w:rPr>
                <w:sz w:val="21"/>
                <w:szCs w:val="21"/>
                <w:highlight w:val="none"/>
              </w:rPr>
              <w:t>×</w:t>
            </w:r>
            <w:r>
              <w:rPr>
                <w:rFonts w:hint="eastAsia"/>
                <w:sz w:val="21"/>
                <w:szCs w:val="21"/>
                <w:highlight w:val="none"/>
              </w:rPr>
              <w:t>5</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8</w:t>
            </w:r>
          </w:p>
        </w:tc>
        <w:tc>
          <w:tcPr>
            <w:tcW w:w="1805" w:type="dxa"/>
            <w:vAlign w:val="bottom"/>
          </w:tcPr>
          <w:p>
            <w:pPr>
              <w:spacing w:line="240" w:lineRule="auto"/>
              <w:ind w:firstLine="0" w:firstLineChars="0"/>
              <w:jc w:val="center"/>
              <w:rPr>
                <w:sz w:val="21"/>
                <w:szCs w:val="21"/>
                <w:highlight w:val="none"/>
              </w:rPr>
            </w:pPr>
            <w:r>
              <w:rPr>
                <w:sz w:val="21"/>
                <w:szCs w:val="21"/>
                <w:highlight w:val="none"/>
              </w:rPr>
              <w:t>球磨机</w:t>
            </w:r>
          </w:p>
        </w:tc>
        <w:tc>
          <w:tcPr>
            <w:tcW w:w="2209" w:type="dxa"/>
            <w:vAlign w:val="bottom"/>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lang w:val="en-US" w:eastAsia="zh-CN"/>
              </w:rPr>
              <w:t>4.5</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9</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w:t>
            </w:r>
            <w:r>
              <w:rPr>
                <w:rFonts w:hint="eastAsia"/>
                <w:sz w:val="21"/>
                <w:szCs w:val="21"/>
                <w:highlight w:val="none"/>
                <w:lang w:val="en-US" w:eastAsia="zh-CN"/>
              </w:rPr>
              <w:t>2</w:t>
            </w:r>
            <w:r>
              <w:rPr>
                <w:sz w:val="21"/>
                <w:szCs w:val="21"/>
                <w:highlight w:val="none"/>
              </w:rPr>
              <w:t>×</w:t>
            </w:r>
            <w:r>
              <w:rPr>
                <w:rFonts w:hint="eastAsia"/>
                <w:sz w:val="21"/>
                <w:szCs w:val="21"/>
                <w:highlight w:val="none"/>
                <w:lang w:val="en-US" w:eastAsia="zh-CN"/>
              </w:rPr>
              <w:t>2.</w:t>
            </w:r>
            <w:r>
              <w:rPr>
                <w:rFonts w:hint="eastAsia"/>
                <w:sz w:val="21"/>
                <w:szCs w:val="21"/>
                <w:highlight w:val="none"/>
              </w:rPr>
              <w:t>4</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10</w:t>
            </w:r>
          </w:p>
        </w:tc>
        <w:tc>
          <w:tcPr>
            <w:tcW w:w="1805" w:type="dxa"/>
            <w:vAlign w:val="center"/>
          </w:tcPr>
          <w:p>
            <w:pPr>
              <w:spacing w:line="240" w:lineRule="auto"/>
              <w:ind w:firstLine="0" w:firstLineChars="0"/>
              <w:jc w:val="center"/>
              <w:rPr>
                <w:rFonts w:hint="eastAsia"/>
                <w:sz w:val="21"/>
                <w:szCs w:val="21"/>
                <w:highlight w:val="none"/>
              </w:rPr>
            </w:pPr>
            <w:r>
              <w:rPr>
                <w:rFonts w:hint="eastAsia"/>
                <w:sz w:val="21"/>
                <w:szCs w:val="21"/>
                <w:highlight w:val="none"/>
              </w:rPr>
              <w:t>磁选机</w:t>
            </w:r>
          </w:p>
        </w:tc>
        <w:tc>
          <w:tcPr>
            <w:tcW w:w="2209"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w:t>
            </w:r>
            <w:r>
              <w:rPr>
                <w:rFonts w:hint="eastAsia"/>
                <w:sz w:val="21"/>
                <w:szCs w:val="21"/>
                <w:highlight w:val="none"/>
                <w:lang w:val="en-US" w:eastAsia="zh-CN"/>
              </w:rPr>
              <w:t>0</w:t>
            </w:r>
            <w:r>
              <w:rPr>
                <w:rFonts w:hint="eastAsia"/>
                <w:sz w:val="21"/>
                <w:szCs w:val="21"/>
                <w:highlight w:val="none"/>
              </w:rPr>
              <w:t>5</w:t>
            </w:r>
            <w:r>
              <w:rPr>
                <w:sz w:val="21"/>
                <w:szCs w:val="21"/>
                <w:highlight w:val="none"/>
              </w:rPr>
              <w:t>×</w:t>
            </w:r>
            <w:r>
              <w:rPr>
                <w:rFonts w:hint="eastAsia"/>
                <w:sz w:val="21"/>
                <w:szCs w:val="21"/>
                <w:highlight w:val="none"/>
                <w:lang w:val="en-US" w:eastAsia="zh-CN"/>
              </w:rPr>
              <w:t>2.</w:t>
            </w:r>
            <w:r>
              <w:rPr>
                <w:rFonts w:hint="eastAsia"/>
                <w:sz w:val="21"/>
                <w:szCs w:val="21"/>
                <w:highlight w:val="none"/>
              </w:rPr>
              <w:t>4</w:t>
            </w:r>
            <w:r>
              <w:rPr>
                <w:sz w:val="21"/>
                <w:szCs w:val="21"/>
                <w:highlight w:val="none"/>
              </w:rPr>
              <w:t>m</w:t>
            </w: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bottom"/>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11</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高频筛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7m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4</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12</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脱水筛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rPr>
              <w:t>3.6</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13</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浓缩罐</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Φ12/50m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14</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水泵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15</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3</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16</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料仓</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177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北厂区设备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17</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圆盘给料机</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18</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球磨机</w:t>
            </w:r>
          </w:p>
        </w:tc>
        <w:tc>
          <w:tcPr>
            <w:tcW w:w="2209" w:type="dxa"/>
            <w:vAlign w:val="bottom"/>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rPr>
              <w:t>12</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19</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高频筛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7m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20</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20</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w:t>
            </w:r>
            <w:r>
              <w:rPr>
                <w:rFonts w:hint="eastAsia"/>
                <w:sz w:val="21"/>
                <w:szCs w:val="21"/>
                <w:highlight w:val="none"/>
                <w:lang w:val="en-US" w:eastAsia="zh-CN"/>
              </w:rPr>
              <w:t>0</w:t>
            </w:r>
            <w:r>
              <w:rPr>
                <w:sz w:val="21"/>
                <w:szCs w:val="21"/>
                <w:highlight w:val="none"/>
              </w:rPr>
              <w:t>×</w:t>
            </w:r>
            <w:r>
              <w:rPr>
                <w:rFonts w:hint="eastAsia"/>
                <w:sz w:val="21"/>
                <w:szCs w:val="21"/>
                <w:highlight w:val="none"/>
                <w:lang w:val="en-US" w:eastAsia="zh-CN"/>
              </w:rPr>
              <w:t>3.0</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21</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磁选机</w:t>
            </w:r>
          </w:p>
        </w:tc>
        <w:tc>
          <w:tcPr>
            <w:tcW w:w="2209"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w:t>
            </w:r>
            <w:r>
              <w:rPr>
                <w:rFonts w:hint="eastAsia"/>
                <w:sz w:val="21"/>
                <w:szCs w:val="21"/>
                <w:highlight w:val="none"/>
                <w:lang w:val="en-US" w:eastAsia="zh-CN"/>
              </w:rPr>
              <w:t>0</w:t>
            </w:r>
            <w:r>
              <w:rPr>
                <w:sz w:val="21"/>
                <w:szCs w:val="21"/>
                <w:highlight w:val="none"/>
              </w:rPr>
              <w:t>×</w:t>
            </w:r>
            <w:r>
              <w:rPr>
                <w:rFonts w:hint="eastAsia"/>
                <w:sz w:val="21"/>
                <w:szCs w:val="21"/>
                <w:highlight w:val="none"/>
                <w:lang w:val="en-US" w:eastAsia="zh-CN"/>
              </w:rPr>
              <w:t>2.4</w:t>
            </w:r>
            <w:r>
              <w:rPr>
                <w:sz w:val="21"/>
                <w:szCs w:val="21"/>
                <w:highlight w:val="none"/>
              </w:rPr>
              <w:t>m</w:t>
            </w: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bottom"/>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4</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22</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磁团聚</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Φ</w:t>
            </w:r>
            <w:r>
              <w:rPr>
                <w:rFonts w:hint="eastAsia"/>
                <w:sz w:val="21"/>
                <w:szCs w:val="21"/>
                <w:highlight w:val="none"/>
                <w:lang w:val="en-US" w:eastAsia="zh-CN"/>
              </w:rPr>
              <w:t>1.8</w:t>
            </w:r>
            <w:r>
              <w:rPr>
                <w:rFonts w:hint="eastAsia"/>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sz w:val="21"/>
                <w:szCs w:val="21"/>
                <w:highlight w:val="none"/>
              </w:rPr>
            </w:pPr>
            <w:r>
              <w:rPr>
                <w:rFonts w:hint="eastAsia"/>
                <w:sz w:val="21"/>
                <w:szCs w:val="21"/>
                <w:highlight w:val="none"/>
              </w:rPr>
              <w:t>23</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磁团聚</w:t>
            </w:r>
          </w:p>
        </w:tc>
        <w:tc>
          <w:tcPr>
            <w:tcW w:w="2209"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Φ2</w:t>
            </w:r>
            <w:r>
              <w:rPr>
                <w:rFonts w:hint="eastAsia"/>
                <w:sz w:val="21"/>
                <w:szCs w:val="21"/>
                <w:highlight w:val="none"/>
                <w:lang w:val="en-US" w:eastAsia="zh-CN"/>
              </w:rPr>
              <w:t>.5</w:t>
            </w:r>
            <w:r>
              <w:rPr>
                <w:rFonts w:hint="eastAsia"/>
                <w:sz w:val="21"/>
                <w:szCs w:val="21"/>
                <w:highlight w:val="none"/>
              </w:rPr>
              <w:t>m</w:t>
            </w: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bottom"/>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24</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过滤机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15m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25</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打捞机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w:t>
            </w:r>
            <w:r>
              <w:rPr>
                <w:sz w:val="21"/>
                <w:szCs w:val="21"/>
                <w:highlight w:val="none"/>
              </w:rPr>
              <w:t>×</w:t>
            </w:r>
            <w:r>
              <w:rPr>
                <w:rFonts w:hint="eastAsia"/>
                <w:sz w:val="21"/>
                <w:szCs w:val="21"/>
                <w:highlight w:val="none"/>
              </w:rPr>
              <w:t>3</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26</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皮带输送机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0.8m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3</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27</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浓密池</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Φ</w:t>
            </w:r>
            <w:r>
              <w:rPr>
                <w:rFonts w:hint="eastAsia"/>
                <w:sz w:val="21"/>
                <w:szCs w:val="21"/>
                <w:highlight w:val="none"/>
                <w:lang w:val="en-US" w:eastAsia="zh-CN"/>
              </w:rPr>
              <w:t>30</w:t>
            </w:r>
            <w:r>
              <w:rPr>
                <w:rFonts w:hint="eastAsia"/>
                <w:sz w:val="21"/>
                <w:szCs w:val="21"/>
                <w:highlight w:val="none"/>
              </w:rPr>
              <w:t>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28</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板框</w:t>
            </w:r>
            <w:r>
              <w:rPr>
                <w:rFonts w:hint="eastAsia"/>
                <w:sz w:val="21"/>
                <w:szCs w:val="21"/>
                <w:highlight w:val="none"/>
              </w:rPr>
              <w:t>压滤机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25</w:t>
            </w:r>
            <w:r>
              <w:rPr>
                <w:rFonts w:hint="eastAsia"/>
                <w:sz w:val="21"/>
                <w:szCs w:val="21"/>
                <w:highlight w:val="none"/>
              </w:rPr>
              <w:t>0m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29</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7</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30</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水泵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3</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31</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离线脉冲布袋除尘器</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风量</w:t>
            </w:r>
            <w:r>
              <w:rPr>
                <w:rFonts w:hint="eastAsia"/>
                <w:bCs/>
                <w:sz w:val="21"/>
                <w:szCs w:val="21"/>
                <w:highlight w:val="none"/>
              </w:rPr>
              <w:t>40000</w:t>
            </w:r>
            <w:r>
              <w:rPr>
                <w:bCs/>
                <w:sz w:val="21"/>
                <w:szCs w:val="21"/>
                <w:highlight w:val="none"/>
              </w:rPr>
              <w:t>m</w:t>
            </w:r>
            <w:r>
              <w:rPr>
                <w:bCs/>
                <w:sz w:val="21"/>
                <w:szCs w:val="21"/>
                <w:highlight w:val="none"/>
                <w:vertAlign w:val="superscript"/>
              </w:rPr>
              <w:t>3</w:t>
            </w:r>
            <w:r>
              <w:rPr>
                <w:bCs/>
                <w:sz w:val="21"/>
                <w:szCs w:val="21"/>
                <w:highlight w:val="none"/>
              </w:rPr>
              <w:t>/h</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套</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Align w:val="center"/>
          </w:tcPr>
          <w:p>
            <w:pPr>
              <w:spacing w:line="240" w:lineRule="auto"/>
              <w:ind w:firstLine="0" w:firstLineChars="0"/>
              <w:jc w:val="center"/>
              <w:rPr>
                <w:sz w:val="21"/>
                <w:szCs w:val="21"/>
                <w:highlight w:val="none"/>
              </w:rPr>
            </w:pPr>
            <w:r>
              <w:rPr>
                <w:rFonts w:hint="eastAsia"/>
                <w:sz w:val="21"/>
                <w:szCs w:val="21"/>
                <w:highlight w:val="none"/>
              </w:rPr>
              <w:t>南厂区除尘设施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32</w:t>
            </w:r>
          </w:p>
        </w:tc>
        <w:tc>
          <w:tcPr>
            <w:tcW w:w="1805" w:type="dxa"/>
            <w:vAlign w:val="center"/>
          </w:tcPr>
          <w:p>
            <w:pPr>
              <w:spacing w:line="240" w:lineRule="auto"/>
              <w:ind w:firstLine="0" w:firstLineChars="0"/>
              <w:jc w:val="center"/>
              <w:rPr>
                <w:rFonts w:ascii="宋体" w:hAnsi="宋体"/>
                <w:sz w:val="21"/>
                <w:szCs w:val="21"/>
                <w:highlight w:val="none"/>
              </w:rPr>
            </w:pPr>
            <w:r>
              <w:rPr>
                <w:rFonts w:hint="eastAsia" w:ascii="宋体" w:hAnsi="宋体"/>
                <w:sz w:val="21"/>
                <w:szCs w:val="21"/>
                <w:highlight w:val="none"/>
              </w:rPr>
              <w:t>铲车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50t</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3</w:t>
            </w:r>
          </w:p>
        </w:tc>
        <w:tc>
          <w:tcPr>
            <w:tcW w:w="1775" w:type="dxa"/>
            <w:vMerge w:val="restart"/>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其他</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33</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湿式清扫车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34</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洒水车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bl>
    <w:p>
      <w:pPr>
        <w:pStyle w:val="6"/>
        <w:keepNext/>
        <w:keepLines/>
        <w:pageBreakBefore w:val="0"/>
        <w:widowControl w:val="0"/>
        <w:numPr>
          <w:ilvl w:val="2"/>
          <w:numId w:val="1"/>
        </w:numPr>
        <w:kinsoku/>
        <w:wordWrap/>
        <w:overflowPunct/>
        <w:topLinePunct w:val="0"/>
        <w:autoSpaceDE/>
        <w:autoSpaceDN/>
        <w:bidi w:val="0"/>
        <w:adjustRightInd/>
        <w:snapToGrid/>
        <w:spacing w:before="157" w:beforeLines="50" w:after="0"/>
        <w:ind w:left="567" w:hanging="567"/>
        <w:textAlignment w:val="auto"/>
        <w:rPr>
          <w:highlight w:val="none"/>
        </w:rPr>
      </w:pPr>
      <w:bookmarkStart w:id="260" w:name="_Toc9853"/>
      <w:bookmarkStart w:id="261" w:name="_Toc521591758"/>
      <w:r>
        <w:rPr>
          <w:szCs w:val="28"/>
          <w:highlight w:val="none"/>
        </w:rPr>
        <w:t>原辅材料及能源消耗情况</w:t>
      </w:r>
      <w:bookmarkEnd w:id="260"/>
    </w:p>
    <w:p>
      <w:pPr>
        <w:snapToGrid w:val="0"/>
        <w:ind w:firstLine="480"/>
        <w:jc w:val="both"/>
        <w:rPr>
          <w:rFonts w:eastAsia="黑体"/>
          <w:kern w:val="2"/>
          <w:sz w:val="21"/>
          <w:szCs w:val="21"/>
          <w:highlight w:val="none"/>
        </w:rPr>
      </w:pPr>
      <w:r>
        <w:rPr>
          <w:rFonts w:hint="eastAsia"/>
          <w:sz w:val="24"/>
          <w:szCs w:val="24"/>
          <w:highlight w:val="none"/>
          <w:lang w:val="en-US" w:eastAsia="zh-CN"/>
        </w:rPr>
        <w:t>现有工程</w:t>
      </w:r>
      <w:r>
        <w:rPr>
          <w:rFonts w:hint="eastAsia"/>
          <w:sz w:val="24"/>
          <w:szCs w:val="24"/>
          <w:highlight w:val="none"/>
        </w:rPr>
        <w:t>主要原辅材料及能源消耗情况见下表。</w:t>
      </w:r>
    </w:p>
    <w:p>
      <w:pPr>
        <w:spacing w:line="240" w:lineRule="auto"/>
        <w:ind w:firstLine="0" w:firstLineChars="0"/>
        <w:jc w:val="center"/>
        <w:textAlignment w:val="auto"/>
        <w:rPr>
          <w:rFonts w:eastAsia="黑体"/>
          <w:sz w:val="21"/>
          <w:szCs w:val="21"/>
          <w:highlight w:val="none"/>
        </w:rPr>
      </w:pPr>
      <w:r>
        <w:rPr>
          <w:rFonts w:eastAsia="黑体"/>
          <w:kern w:val="2"/>
          <w:sz w:val="21"/>
          <w:szCs w:val="21"/>
          <w:highlight w:val="none"/>
        </w:rPr>
        <w:t>表3.</w:t>
      </w:r>
      <w:r>
        <w:rPr>
          <w:rFonts w:hint="eastAsia" w:eastAsia="黑体"/>
          <w:kern w:val="2"/>
          <w:sz w:val="21"/>
          <w:szCs w:val="21"/>
          <w:highlight w:val="none"/>
        </w:rPr>
        <w:t>1</w:t>
      </w:r>
      <w:r>
        <w:rPr>
          <w:rFonts w:eastAsia="黑体"/>
          <w:kern w:val="2"/>
          <w:sz w:val="21"/>
          <w:szCs w:val="21"/>
          <w:highlight w:val="none"/>
        </w:rPr>
        <w:t>-</w:t>
      </w:r>
      <w:r>
        <w:rPr>
          <w:rFonts w:hint="eastAsia" w:eastAsia="黑体"/>
          <w:kern w:val="2"/>
          <w:sz w:val="21"/>
          <w:szCs w:val="21"/>
          <w:highlight w:val="none"/>
          <w:lang w:val="en-US" w:eastAsia="zh-CN"/>
        </w:rPr>
        <w:t>5</w:t>
      </w:r>
      <w:r>
        <w:rPr>
          <w:rFonts w:hint="eastAsia" w:eastAsia="黑体"/>
          <w:kern w:val="2"/>
          <w:sz w:val="21"/>
          <w:szCs w:val="21"/>
          <w:highlight w:val="none"/>
        </w:rPr>
        <w:t xml:space="preserve"> </w:t>
      </w:r>
      <w:r>
        <w:rPr>
          <w:rFonts w:eastAsia="黑体"/>
          <w:kern w:val="2"/>
          <w:sz w:val="21"/>
          <w:szCs w:val="21"/>
          <w:highlight w:val="none"/>
        </w:rPr>
        <w:t>主要原辅材料与能源消耗一览表</w:t>
      </w:r>
    </w:p>
    <w:tbl>
      <w:tblPr>
        <w:tblStyle w:val="48"/>
        <w:tblW w:w="856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483"/>
        <w:gridCol w:w="914"/>
        <w:gridCol w:w="1133"/>
        <w:gridCol w:w="43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序号</w:t>
            </w:r>
          </w:p>
        </w:tc>
        <w:tc>
          <w:tcPr>
            <w:tcW w:w="1483" w:type="dxa"/>
            <w:vAlign w:val="center"/>
          </w:tcPr>
          <w:p>
            <w:pPr>
              <w:spacing w:line="320" w:lineRule="exact"/>
              <w:ind w:firstLine="0" w:firstLineChars="0"/>
              <w:jc w:val="center"/>
              <w:rPr>
                <w:sz w:val="21"/>
                <w:szCs w:val="21"/>
                <w:highlight w:val="none"/>
              </w:rPr>
            </w:pPr>
            <w:r>
              <w:rPr>
                <w:sz w:val="21"/>
                <w:szCs w:val="21"/>
                <w:highlight w:val="none"/>
              </w:rPr>
              <w:t>名称</w:t>
            </w:r>
          </w:p>
        </w:tc>
        <w:tc>
          <w:tcPr>
            <w:tcW w:w="914" w:type="dxa"/>
            <w:vAlign w:val="center"/>
          </w:tcPr>
          <w:p>
            <w:pPr>
              <w:spacing w:line="320" w:lineRule="exact"/>
              <w:ind w:firstLine="0" w:firstLineChars="0"/>
              <w:jc w:val="center"/>
              <w:rPr>
                <w:sz w:val="21"/>
                <w:szCs w:val="21"/>
                <w:highlight w:val="none"/>
              </w:rPr>
            </w:pPr>
            <w:r>
              <w:rPr>
                <w:sz w:val="21"/>
                <w:szCs w:val="21"/>
                <w:highlight w:val="none"/>
              </w:rPr>
              <w:t>消耗量</w:t>
            </w:r>
          </w:p>
        </w:tc>
        <w:tc>
          <w:tcPr>
            <w:tcW w:w="1133" w:type="dxa"/>
            <w:vAlign w:val="center"/>
          </w:tcPr>
          <w:p>
            <w:pPr>
              <w:spacing w:line="320" w:lineRule="exact"/>
              <w:ind w:firstLine="0" w:firstLineChars="0"/>
              <w:jc w:val="center"/>
              <w:rPr>
                <w:sz w:val="21"/>
                <w:szCs w:val="21"/>
                <w:highlight w:val="none"/>
              </w:rPr>
            </w:pPr>
            <w:r>
              <w:rPr>
                <w:sz w:val="21"/>
                <w:szCs w:val="21"/>
                <w:highlight w:val="none"/>
              </w:rPr>
              <w:t>单位</w:t>
            </w:r>
          </w:p>
        </w:tc>
        <w:tc>
          <w:tcPr>
            <w:tcW w:w="4359" w:type="dxa"/>
            <w:vAlign w:val="center"/>
          </w:tcPr>
          <w:p>
            <w:pPr>
              <w:spacing w:line="320" w:lineRule="exact"/>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1</w:t>
            </w:r>
          </w:p>
        </w:tc>
        <w:tc>
          <w:tcPr>
            <w:tcW w:w="1483" w:type="dxa"/>
            <w:vAlign w:val="center"/>
          </w:tcPr>
          <w:p>
            <w:pPr>
              <w:spacing w:line="320" w:lineRule="exact"/>
              <w:ind w:firstLine="0" w:firstLineChars="0"/>
              <w:jc w:val="center"/>
              <w:rPr>
                <w:sz w:val="21"/>
                <w:szCs w:val="21"/>
                <w:highlight w:val="none"/>
              </w:rPr>
            </w:pPr>
            <w:r>
              <w:rPr>
                <w:sz w:val="21"/>
                <w:szCs w:val="21"/>
                <w:highlight w:val="none"/>
              </w:rPr>
              <w:t>原矿</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30</w:t>
            </w:r>
          </w:p>
        </w:tc>
        <w:tc>
          <w:tcPr>
            <w:tcW w:w="1133" w:type="dxa"/>
            <w:vAlign w:val="center"/>
          </w:tcPr>
          <w:p>
            <w:pPr>
              <w:spacing w:line="320" w:lineRule="exact"/>
              <w:ind w:firstLine="0" w:firstLineChars="0"/>
              <w:jc w:val="center"/>
              <w:rPr>
                <w:sz w:val="21"/>
                <w:szCs w:val="21"/>
                <w:highlight w:val="none"/>
              </w:rPr>
            </w:pPr>
            <w:r>
              <w:rPr>
                <w:sz w:val="21"/>
                <w:szCs w:val="21"/>
                <w:highlight w:val="none"/>
              </w:rPr>
              <w:t>万t/a</w:t>
            </w:r>
          </w:p>
        </w:tc>
        <w:tc>
          <w:tcPr>
            <w:tcW w:w="4359" w:type="dxa"/>
            <w:vAlign w:val="center"/>
          </w:tcPr>
          <w:p>
            <w:pPr>
              <w:spacing w:line="320" w:lineRule="exact"/>
              <w:ind w:firstLine="0" w:firstLineChars="0"/>
              <w:jc w:val="center"/>
              <w:rPr>
                <w:sz w:val="21"/>
                <w:szCs w:val="21"/>
                <w:highlight w:val="none"/>
              </w:rPr>
            </w:pPr>
            <w:r>
              <w:rPr>
                <w:sz w:val="21"/>
                <w:szCs w:val="21"/>
                <w:highlight w:val="none"/>
              </w:rPr>
              <w:t>品位</w:t>
            </w:r>
            <w:r>
              <w:rPr>
                <w:rFonts w:hint="eastAsia"/>
                <w:sz w:val="21"/>
                <w:szCs w:val="21"/>
                <w:highlight w:val="none"/>
              </w:rPr>
              <w:t>2</w:t>
            </w:r>
            <w:r>
              <w:rPr>
                <w:rFonts w:hint="eastAsia"/>
                <w:sz w:val="21"/>
                <w:szCs w:val="21"/>
                <w:highlight w:val="none"/>
                <w:lang w:val="en-US" w:eastAsia="zh-CN"/>
              </w:rPr>
              <w:t>9</w:t>
            </w: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2</w:t>
            </w:r>
          </w:p>
        </w:tc>
        <w:tc>
          <w:tcPr>
            <w:tcW w:w="1483" w:type="dxa"/>
            <w:vAlign w:val="center"/>
          </w:tcPr>
          <w:p>
            <w:pPr>
              <w:spacing w:line="320" w:lineRule="exact"/>
              <w:ind w:firstLine="0" w:firstLineChars="0"/>
              <w:jc w:val="center"/>
              <w:rPr>
                <w:sz w:val="21"/>
                <w:szCs w:val="21"/>
                <w:highlight w:val="none"/>
              </w:rPr>
            </w:pPr>
            <w:r>
              <w:rPr>
                <w:rFonts w:hint="eastAsia"/>
                <w:sz w:val="21"/>
                <w:szCs w:val="21"/>
                <w:highlight w:val="none"/>
              </w:rPr>
              <w:t>粗精矿</w:t>
            </w:r>
          </w:p>
        </w:tc>
        <w:tc>
          <w:tcPr>
            <w:tcW w:w="914" w:type="dxa"/>
            <w:vAlign w:val="center"/>
          </w:tcPr>
          <w:p>
            <w:pPr>
              <w:spacing w:line="320" w:lineRule="exact"/>
              <w:ind w:firstLine="0" w:firstLineChars="0"/>
              <w:jc w:val="center"/>
              <w:rPr>
                <w:rFonts w:hint="default" w:eastAsia="宋体"/>
                <w:sz w:val="21"/>
                <w:szCs w:val="21"/>
                <w:highlight w:val="none"/>
                <w:lang w:val="en-US" w:eastAsia="zh-CN"/>
              </w:rPr>
            </w:pPr>
            <w:r>
              <w:rPr>
                <w:rFonts w:hint="eastAsia"/>
                <w:kern w:val="2"/>
                <w:sz w:val="21"/>
                <w:szCs w:val="21"/>
                <w:highlight w:val="none"/>
                <w:lang w:val="en-US" w:eastAsia="zh-CN"/>
              </w:rPr>
              <w:t>15</w:t>
            </w:r>
          </w:p>
        </w:tc>
        <w:tc>
          <w:tcPr>
            <w:tcW w:w="1133" w:type="dxa"/>
            <w:vAlign w:val="center"/>
          </w:tcPr>
          <w:p>
            <w:pPr>
              <w:spacing w:line="320" w:lineRule="exact"/>
              <w:ind w:firstLine="0" w:firstLineChars="0"/>
              <w:jc w:val="center"/>
              <w:rPr>
                <w:sz w:val="21"/>
                <w:szCs w:val="21"/>
                <w:highlight w:val="none"/>
              </w:rPr>
            </w:pPr>
            <w:r>
              <w:rPr>
                <w:rFonts w:hint="eastAsia"/>
                <w:sz w:val="21"/>
                <w:szCs w:val="21"/>
                <w:highlight w:val="none"/>
                <w:lang w:val="en-US" w:eastAsia="zh-CN"/>
              </w:rPr>
              <w:t>万</w:t>
            </w:r>
            <w:r>
              <w:rPr>
                <w:sz w:val="21"/>
                <w:szCs w:val="21"/>
                <w:highlight w:val="none"/>
              </w:rPr>
              <w:t>t/a</w:t>
            </w:r>
          </w:p>
        </w:tc>
        <w:tc>
          <w:tcPr>
            <w:tcW w:w="4359" w:type="dxa"/>
            <w:vAlign w:val="center"/>
          </w:tcPr>
          <w:p>
            <w:pPr>
              <w:spacing w:line="320" w:lineRule="exact"/>
              <w:ind w:firstLine="0" w:firstLineChars="0"/>
              <w:jc w:val="center"/>
              <w:rPr>
                <w:sz w:val="21"/>
                <w:szCs w:val="21"/>
                <w:highlight w:val="none"/>
              </w:rPr>
            </w:pPr>
            <w:r>
              <w:rPr>
                <w:sz w:val="21"/>
                <w:szCs w:val="21"/>
                <w:highlight w:val="none"/>
              </w:rPr>
              <w:t>品位</w:t>
            </w:r>
            <w:r>
              <w:rPr>
                <w:rFonts w:hint="eastAsia"/>
                <w:sz w:val="21"/>
                <w:szCs w:val="21"/>
                <w:highlight w:val="none"/>
              </w:rPr>
              <w:t>60</w:t>
            </w:r>
            <w:r>
              <w:rPr>
                <w:sz w:val="21"/>
                <w:szCs w:val="21"/>
                <w:highlight w:val="none"/>
              </w:rPr>
              <w:t>%，来自</w:t>
            </w:r>
            <w:r>
              <w:rPr>
                <w:rFonts w:hint="eastAsia"/>
                <w:sz w:val="21"/>
                <w:szCs w:val="21"/>
                <w:highlight w:val="none"/>
              </w:rPr>
              <w:t>当地铁选厂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3</w:t>
            </w:r>
          </w:p>
        </w:tc>
        <w:tc>
          <w:tcPr>
            <w:tcW w:w="1483" w:type="dxa"/>
            <w:vAlign w:val="center"/>
          </w:tcPr>
          <w:p>
            <w:pPr>
              <w:spacing w:line="320" w:lineRule="exact"/>
              <w:ind w:firstLine="0" w:firstLineChars="0"/>
              <w:jc w:val="center"/>
              <w:rPr>
                <w:sz w:val="21"/>
                <w:szCs w:val="21"/>
                <w:highlight w:val="none"/>
              </w:rPr>
            </w:pPr>
            <w:r>
              <w:rPr>
                <w:sz w:val="21"/>
                <w:szCs w:val="21"/>
                <w:highlight w:val="none"/>
              </w:rPr>
              <w:t>水（新水）</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73476</w:t>
            </w:r>
          </w:p>
        </w:tc>
        <w:tc>
          <w:tcPr>
            <w:tcW w:w="1133" w:type="dxa"/>
            <w:vAlign w:val="center"/>
          </w:tcPr>
          <w:p>
            <w:pPr>
              <w:spacing w:line="320" w:lineRule="exact"/>
              <w:ind w:firstLine="0" w:firstLineChars="0"/>
              <w:jc w:val="center"/>
              <w:rPr>
                <w:sz w:val="21"/>
                <w:szCs w:val="21"/>
                <w:highlight w:val="none"/>
              </w:rPr>
            </w:pPr>
            <w:r>
              <w:rPr>
                <w:sz w:val="21"/>
                <w:szCs w:val="21"/>
                <w:highlight w:val="none"/>
              </w:rPr>
              <w:t>m</w:t>
            </w:r>
            <w:r>
              <w:rPr>
                <w:sz w:val="21"/>
                <w:szCs w:val="21"/>
                <w:highlight w:val="none"/>
                <w:vertAlign w:val="superscript"/>
              </w:rPr>
              <w:t>3</w:t>
            </w:r>
            <w:r>
              <w:rPr>
                <w:sz w:val="21"/>
                <w:szCs w:val="21"/>
                <w:highlight w:val="none"/>
              </w:rPr>
              <w:t>/a</w:t>
            </w:r>
          </w:p>
        </w:tc>
        <w:tc>
          <w:tcPr>
            <w:tcW w:w="4359" w:type="dxa"/>
            <w:vAlign w:val="center"/>
          </w:tcPr>
          <w:p>
            <w:pPr>
              <w:spacing w:line="320" w:lineRule="exact"/>
              <w:ind w:firstLine="0" w:firstLineChars="0"/>
              <w:jc w:val="center"/>
              <w:rPr>
                <w:sz w:val="21"/>
                <w:szCs w:val="21"/>
                <w:highlight w:val="none"/>
              </w:rPr>
            </w:pPr>
            <w:r>
              <w:rPr>
                <w:sz w:val="21"/>
                <w:szCs w:val="21"/>
                <w:highlight w:val="none"/>
              </w:rPr>
              <w:t>自备井提供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4</w:t>
            </w:r>
          </w:p>
        </w:tc>
        <w:tc>
          <w:tcPr>
            <w:tcW w:w="1483" w:type="dxa"/>
            <w:vAlign w:val="center"/>
          </w:tcPr>
          <w:p>
            <w:pPr>
              <w:spacing w:line="320" w:lineRule="exact"/>
              <w:ind w:firstLine="0" w:firstLineChars="0"/>
              <w:jc w:val="center"/>
              <w:rPr>
                <w:sz w:val="21"/>
                <w:szCs w:val="21"/>
                <w:highlight w:val="none"/>
              </w:rPr>
            </w:pPr>
            <w:r>
              <w:rPr>
                <w:sz w:val="21"/>
                <w:szCs w:val="21"/>
                <w:highlight w:val="none"/>
              </w:rPr>
              <w:t>电</w:t>
            </w:r>
          </w:p>
        </w:tc>
        <w:tc>
          <w:tcPr>
            <w:tcW w:w="914" w:type="dxa"/>
            <w:vAlign w:val="center"/>
          </w:tcPr>
          <w:p>
            <w:pPr>
              <w:spacing w:line="320" w:lineRule="exact"/>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550</w:t>
            </w:r>
          </w:p>
        </w:tc>
        <w:tc>
          <w:tcPr>
            <w:tcW w:w="1133" w:type="dxa"/>
            <w:vAlign w:val="center"/>
          </w:tcPr>
          <w:p>
            <w:pPr>
              <w:spacing w:line="320" w:lineRule="exact"/>
              <w:ind w:firstLine="0" w:firstLineChars="0"/>
              <w:jc w:val="center"/>
              <w:rPr>
                <w:sz w:val="21"/>
                <w:szCs w:val="21"/>
                <w:highlight w:val="none"/>
              </w:rPr>
            </w:pPr>
            <w:r>
              <w:rPr>
                <w:sz w:val="21"/>
                <w:szCs w:val="21"/>
                <w:highlight w:val="none"/>
              </w:rPr>
              <w:t>万kW·h/a</w:t>
            </w:r>
          </w:p>
        </w:tc>
        <w:tc>
          <w:tcPr>
            <w:tcW w:w="4359" w:type="dxa"/>
            <w:vAlign w:val="center"/>
          </w:tcPr>
          <w:p>
            <w:pPr>
              <w:spacing w:line="320" w:lineRule="exact"/>
              <w:ind w:firstLine="0" w:firstLineChars="0"/>
              <w:jc w:val="center"/>
              <w:rPr>
                <w:sz w:val="21"/>
                <w:szCs w:val="21"/>
                <w:highlight w:val="none"/>
              </w:rPr>
            </w:pPr>
            <w:r>
              <w:rPr>
                <w:sz w:val="21"/>
                <w:szCs w:val="21"/>
                <w:highlight w:val="none"/>
              </w:rPr>
              <w:t>当地变电站供给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rFonts w:hint="eastAsia"/>
                <w:sz w:val="21"/>
                <w:szCs w:val="21"/>
                <w:highlight w:val="none"/>
              </w:rPr>
              <w:t>5</w:t>
            </w:r>
          </w:p>
        </w:tc>
        <w:tc>
          <w:tcPr>
            <w:tcW w:w="1483" w:type="dxa"/>
            <w:vAlign w:val="center"/>
          </w:tcPr>
          <w:p>
            <w:pPr>
              <w:spacing w:line="320" w:lineRule="exact"/>
              <w:ind w:firstLine="0" w:firstLineChars="0"/>
              <w:jc w:val="center"/>
              <w:rPr>
                <w:sz w:val="21"/>
                <w:szCs w:val="21"/>
                <w:highlight w:val="none"/>
              </w:rPr>
            </w:pPr>
            <w:r>
              <w:rPr>
                <w:sz w:val="21"/>
                <w:szCs w:val="21"/>
                <w:highlight w:val="none"/>
              </w:rPr>
              <w:t>球磨(钢球)</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105</w:t>
            </w:r>
          </w:p>
        </w:tc>
        <w:tc>
          <w:tcPr>
            <w:tcW w:w="1133" w:type="dxa"/>
            <w:vAlign w:val="center"/>
          </w:tcPr>
          <w:p>
            <w:pPr>
              <w:spacing w:line="320" w:lineRule="exact"/>
              <w:ind w:firstLine="0" w:firstLineChars="0"/>
              <w:jc w:val="center"/>
              <w:rPr>
                <w:sz w:val="21"/>
                <w:szCs w:val="21"/>
                <w:highlight w:val="none"/>
              </w:rPr>
            </w:pPr>
            <w:r>
              <w:rPr>
                <w:sz w:val="21"/>
                <w:szCs w:val="21"/>
                <w:highlight w:val="none"/>
              </w:rPr>
              <w:t>t/a</w:t>
            </w:r>
          </w:p>
        </w:tc>
        <w:tc>
          <w:tcPr>
            <w:tcW w:w="4359" w:type="dxa"/>
            <w:vAlign w:val="center"/>
          </w:tcPr>
          <w:p>
            <w:pPr>
              <w:spacing w:line="320" w:lineRule="exact"/>
              <w:ind w:firstLine="0" w:firstLineChars="0"/>
              <w:jc w:val="center"/>
              <w:rPr>
                <w:sz w:val="21"/>
                <w:szCs w:val="21"/>
                <w:highlight w:val="none"/>
              </w:rPr>
            </w:pPr>
            <w:r>
              <w:rPr>
                <w:sz w:val="21"/>
                <w:szCs w:val="21"/>
                <w:highlight w:val="none"/>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rFonts w:hint="eastAsia"/>
                <w:sz w:val="21"/>
                <w:szCs w:val="21"/>
                <w:highlight w:val="none"/>
              </w:rPr>
              <w:t>6</w:t>
            </w:r>
          </w:p>
        </w:tc>
        <w:tc>
          <w:tcPr>
            <w:tcW w:w="1483" w:type="dxa"/>
            <w:vAlign w:val="center"/>
          </w:tcPr>
          <w:p>
            <w:pPr>
              <w:spacing w:line="320" w:lineRule="exact"/>
              <w:ind w:firstLine="0" w:firstLineChars="0"/>
              <w:jc w:val="center"/>
              <w:rPr>
                <w:rFonts w:hint="eastAsia" w:eastAsia="宋体"/>
                <w:sz w:val="21"/>
                <w:szCs w:val="21"/>
                <w:highlight w:val="none"/>
                <w:lang w:eastAsia="zh-CN"/>
              </w:rPr>
            </w:pPr>
            <w:r>
              <w:rPr>
                <w:rFonts w:hint="eastAsia"/>
                <w:sz w:val="21"/>
                <w:szCs w:val="21"/>
                <w:highlight w:val="none"/>
                <w:lang w:val="en-US" w:eastAsia="zh-CN"/>
              </w:rPr>
              <w:t>矿物油</w:t>
            </w:r>
          </w:p>
        </w:tc>
        <w:tc>
          <w:tcPr>
            <w:tcW w:w="914" w:type="dxa"/>
            <w:vAlign w:val="center"/>
          </w:tcPr>
          <w:p>
            <w:pPr>
              <w:spacing w:line="320" w:lineRule="exact"/>
              <w:ind w:firstLine="0" w:firstLineChars="0"/>
              <w:jc w:val="center"/>
              <w:rPr>
                <w:rFonts w:hint="default" w:eastAsia="宋体"/>
                <w:sz w:val="21"/>
                <w:szCs w:val="21"/>
                <w:highlight w:val="none"/>
                <w:lang w:val="en-US" w:eastAsia="zh-CN"/>
              </w:rPr>
            </w:pPr>
            <w:r>
              <w:rPr>
                <w:rFonts w:hint="eastAsia"/>
                <w:kern w:val="24"/>
                <w:sz w:val="21"/>
                <w:szCs w:val="21"/>
                <w:highlight w:val="none"/>
                <w:lang w:val="en-US" w:eastAsia="zh-CN"/>
              </w:rPr>
              <w:t>0.6</w:t>
            </w:r>
          </w:p>
        </w:tc>
        <w:tc>
          <w:tcPr>
            <w:tcW w:w="1133" w:type="dxa"/>
            <w:vAlign w:val="center"/>
          </w:tcPr>
          <w:p>
            <w:pPr>
              <w:spacing w:line="320" w:lineRule="exact"/>
              <w:ind w:firstLine="0" w:firstLineChars="0"/>
              <w:jc w:val="center"/>
              <w:rPr>
                <w:sz w:val="21"/>
                <w:szCs w:val="21"/>
                <w:highlight w:val="none"/>
              </w:rPr>
            </w:pPr>
            <w:r>
              <w:rPr>
                <w:rFonts w:hint="eastAsia"/>
                <w:kern w:val="24"/>
                <w:sz w:val="21"/>
                <w:szCs w:val="21"/>
                <w:highlight w:val="none"/>
              </w:rPr>
              <w:t>t/a</w:t>
            </w:r>
          </w:p>
        </w:tc>
        <w:tc>
          <w:tcPr>
            <w:tcW w:w="4359" w:type="dxa"/>
            <w:vAlign w:val="center"/>
          </w:tcPr>
          <w:p>
            <w:pPr>
              <w:spacing w:line="320" w:lineRule="exact"/>
              <w:ind w:firstLine="0" w:firstLineChars="0"/>
              <w:jc w:val="center"/>
              <w:rPr>
                <w:sz w:val="21"/>
                <w:szCs w:val="21"/>
                <w:highlight w:val="none"/>
              </w:rPr>
            </w:pPr>
            <w:r>
              <w:rPr>
                <w:rFonts w:hint="eastAsia"/>
                <w:kern w:val="24"/>
                <w:sz w:val="21"/>
                <w:szCs w:val="21"/>
                <w:highlight w:val="none"/>
              </w:rPr>
              <w:t>外购</w:t>
            </w:r>
          </w:p>
        </w:tc>
      </w:tr>
      <w:bookmarkEnd w:id="261"/>
    </w:tbl>
    <w:p>
      <w:pPr>
        <w:pStyle w:val="6"/>
        <w:keepNext/>
        <w:keepLines/>
        <w:pageBreakBefore w:val="0"/>
        <w:widowControl w:val="0"/>
        <w:numPr>
          <w:ilvl w:val="2"/>
          <w:numId w:val="1"/>
        </w:numPr>
        <w:kinsoku/>
        <w:wordWrap/>
        <w:overflowPunct/>
        <w:topLinePunct w:val="0"/>
        <w:autoSpaceDE/>
        <w:autoSpaceDN/>
        <w:bidi w:val="0"/>
        <w:adjustRightInd/>
        <w:snapToGrid/>
        <w:spacing w:before="157" w:beforeLines="50" w:after="0"/>
        <w:ind w:left="567" w:hanging="567"/>
        <w:textAlignment w:val="auto"/>
        <w:rPr>
          <w:szCs w:val="28"/>
          <w:highlight w:val="none"/>
        </w:rPr>
      </w:pPr>
      <w:bookmarkStart w:id="262" w:name="_Toc521591759"/>
      <w:bookmarkStart w:id="263" w:name="_Toc17475"/>
      <w:r>
        <w:rPr>
          <w:szCs w:val="28"/>
          <w:highlight w:val="none"/>
        </w:rPr>
        <w:t>劳动定员及工作制度</w:t>
      </w:r>
      <w:bookmarkEnd w:id="262"/>
      <w:bookmarkEnd w:id="263"/>
    </w:p>
    <w:p>
      <w:pPr>
        <w:ind w:firstLine="480"/>
        <w:jc w:val="both"/>
        <w:rPr>
          <w:sz w:val="24"/>
          <w:szCs w:val="24"/>
          <w:highlight w:val="none"/>
        </w:rPr>
      </w:pPr>
      <w:r>
        <w:rPr>
          <w:rFonts w:hint="eastAsia"/>
          <w:sz w:val="24"/>
          <w:szCs w:val="24"/>
          <w:highlight w:val="none"/>
          <w:lang w:val="en-US" w:eastAsia="zh-CN"/>
        </w:rPr>
        <w:t>现有工程</w:t>
      </w:r>
      <w:r>
        <w:rPr>
          <w:sz w:val="24"/>
          <w:szCs w:val="24"/>
          <w:highlight w:val="none"/>
        </w:rPr>
        <w:t>劳动定员</w:t>
      </w:r>
      <w:r>
        <w:rPr>
          <w:rFonts w:hint="eastAsia"/>
          <w:sz w:val="24"/>
          <w:szCs w:val="24"/>
          <w:highlight w:val="none"/>
        </w:rPr>
        <w:t>3</w:t>
      </w:r>
      <w:r>
        <w:rPr>
          <w:sz w:val="24"/>
          <w:szCs w:val="24"/>
          <w:highlight w:val="none"/>
        </w:rPr>
        <w:t>0人</w:t>
      </w:r>
      <w:r>
        <w:rPr>
          <w:rFonts w:hint="eastAsia"/>
          <w:sz w:val="24"/>
          <w:szCs w:val="24"/>
          <w:highlight w:val="none"/>
          <w:lang w:eastAsia="zh-CN"/>
        </w:rPr>
        <w:t>，</w:t>
      </w:r>
      <w:r>
        <w:rPr>
          <w:sz w:val="24"/>
          <w:szCs w:val="24"/>
          <w:highlight w:val="none"/>
          <w:lang w:val="en-GB"/>
        </w:rPr>
        <w:t>年工作</w:t>
      </w:r>
      <w:r>
        <w:rPr>
          <w:sz w:val="24"/>
          <w:szCs w:val="24"/>
          <w:highlight w:val="none"/>
        </w:rPr>
        <w:t>3</w:t>
      </w:r>
      <w:r>
        <w:rPr>
          <w:sz w:val="24"/>
          <w:szCs w:val="24"/>
          <w:highlight w:val="none"/>
          <w:lang w:val="en-GB"/>
        </w:rPr>
        <w:t>00天，每天3班，每班8小时，设备年工作小时数</w:t>
      </w:r>
      <w:r>
        <w:rPr>
          <w:sz w:val="24"/>
          <w:szCs w:val="24"/>
          <w:highlight w:val="none"/>
        </w:rPr>
        <w:t>72</w:t>
      </w:r>
      <w:r>
        <w:rPr>
          <w:sz w:val="24"/>
          <w:szCs w:val="24"/>
          <w:highlight w:val="none"/>
          <w:lang w:val="en-GB"/>
        </w:rPr>
        <w:t>00小时。</w:t>
      </w:r>
    </w:p>
    <w:p>
      <w:pPr>
        <w:pStyle w:val="6"/>
        <w:numPr>
          <w:ilvl w:val="2"/>
          <w:numId w:val="1"/>
        </w:numPr>
        <w:spacing w:before="0" w:after="0"/>
        <w:ind w:left="567"/>
        <w:rPr>
          <w:szCs w:val="28"/>
          <w:highlight w:val="none"/>
        </w:rPr>
      </w:pPr>
      <w:bookmarkStart w:id="264" w:name="_Toc521591762"/>
      <w:bookmarkStart w:id="265" w:name="_Toc499651404"/>
      <w:bookmarkStart w:id="266" w:name="_Toc23906"/>
      <w:bookmarkStart w:id="267" w:name="_Toc503218103"/>
      <w:r>
        <w:rPr>
          <w:szCs w:val="28"/>
          <w:highlight w:val="none"/>
        </w:rPr>
        <w:t>公用工程</w:t>
      </w:r>
      <w:bookmarkEnd w:id="264"/>
      <w:bookmarkEnd w:id="265"/>
      <w:bookmarkEnd w:id="266"/>
      <w:bookmarkEnd w:id="267"/>
    </w:p>
    <w:p>
      <w:pPr>
        <w:pStyle w:val="3"/>
        <w:rPr>
          <w:highlight w:val="none"/>
        </w:rPr>
      </w:pPr>
      <w:r>
        <w:rPr>
          <w:highlight w:val="none"/>
        </w:rPr>
        <w:t>3.</w:t>
      </w:r>
      <w:r>
        <w:rPr>
          <w:rFonts w:hint="eastAsia"/>
          <w:highlight w:val="none"/>
        </w:rPr>
        <w:t>1.</w:t>
      </w:r>
      <w:r>
        <w:rPr>
          <w:rFonts w:hint="eastAsia"/>
          <w:highlight w:val="none"/>
          <w:lang w:val="en-US" w:eastAsia="zh-CN"/>
        </w:rPr>
        <w:t>7</w:t>
      </w:r>
      <w:r>
        <w:rPr>
          <w:highlight w:val="none"/>
        </w:rPr>
        <w:t>.1给排水</w:t>
      </w:r>
    </w:p>
    <w:p>
      <w:pPr>
        <w:pStyle w:val="19"/>
        <w:spacing w:after="0" w:line="480" w:lineRule="exact"/>
        <w:ind w:firstLine="480"/>
        <w:jc w:val="both"/>
        <w:rPr>
          <w:sz w:val="24"/>
          <w:szCs w:val="24"/>
          <w:highlight w:val="none"/>
        </w:rPr>
      </w:pPr>
      <w:r>
        <w:rPr>
          <w:sz w:val="24"/>
          <w:szCs w:val="24"/>
          <w:highlight w:val="none"/>
        </w:rPr>
        <w:t>（1）给水</w:t>
      </w:r>
    </w:p>
    <w:p>
      <w:pPr>
        <w:pStyle w:val="19"/>
        <w:spacing w:after="0" w:line="480" w:lineRule="exact"/>
        <w:ind w:firstLine="480"/>
        <w:jc w:val="both"/>
        <w:rPr>
          <w:sz w:val="24"/>
          <w:szCs w:val="24"/>
          <w:highlight w:val="none"/>
        </w:rPr>
      </w:pPr>
      <w:r>
        <w:rPr>
          <w:rFonts w:hint="eastAsia"/>
          <w:sz w:val="24"/>
          <w:szCs w:val="24"/>
          <w:highlight w:val="none"/>
          <w:lang w:val="en-US" w:eastAsia="zh-CN"/>
        </w:rPr>
        <w:t>现有工程</w:t>
      </w:r>
      <w:r>
        <w:rPr>
          <w:sz w:val="24"/>
          <w:szCs w:val="24"/>
          <w:highlight w:val="none"/>
        </w:rPr>
        <w:t>用水来源于厂区自备井</w:t>
      </w:r>
      <w:r>
        <w:rPr>
          <w:rFonts w:hint="eastAsia"/>
          <w:sz w:val="24"/>
          <w:szCs w:val="24"/>
          <w:highlight w:val="none"/>
          <w:lang w:eastAsia="zh-CN"/>
        </w:rPr>
        <w:t>，</w:t>
      </w:r>
      <w:r>
        <w:rPr>
          <w:sz w:val="24"/>
          <w:szCs w:val="24"/>
          <w:highlight w:val="none"/>
        </w:rPr>
        <w:t>用水主要为生活用水、生产用水，总用水量约为</w:t>
      </w:r>
      <w:r>
        <w:rPr>
          <w:rFonts w:hint="eastAsia"/>
          <w:sz w:val="24"/>
          <w:szCs w:val="24"/>
          <w:highlight w:val="none"/>
          <w:lang w:val="en-US" w:eastAsia="zh-CN"/>
        </w:rPr>
        <w:t>6049.38</w:t>
      </w:r>
      <w:r>
        <w:rPr>
          <w:sz w:val="24"/>
          <w:szCs w:val="24"/>
          <w:highlight w:val="none"/>
        </w:rPr>
        <w:t>m</w:t>
      </w:r>
      <w:r>
        <w:rPr>
          <w:rFonts w:hint="eastAsia"/>
          <w:sz w:val="24"/>
          <w:szCs w:val="24"/>
          <w:highlight w:val="none"/>
          <w:vertAlign w:val="superscript"/>
          <w:lang w:val="en-US" w:eastAsia="zh-CN"/>
        </w:rPr>
        <w:t>3</w:t>
      </w:r>
      <w:r>
        <w:rPr>
          <w:sz w:val="24"/>
          <w:szCs w:val="24"/>
          <w:highlight w:val="none"/>
        </w:rPr>
        <w:t>/d、其中新鲜水用量为</w:t>
      </w:r>
      <w:r>
        <w:rPr>
          <w:rFonts w:hint="eastAsia"/>
          <w:sz w:val="24"/>
          <w:szCs w:val="24"/>
          <w:highlight w:val="none"/>
          <w:lang w:val="en-US" w:eastAsia="zh-CN"/>
        </w:rPr>
        <w:t>244.92</w:t>
      </w:r>
      <w:r>
        <w:rPr>
          <w:sz w:val="24"/>
          <w:szCs w:val="24"/>
          <w:highlight w:val="none"/>
        </w:rPr>
        <w:t>m</w:t>
      </w:r>
      <w:r>
        <w:rPr>
          <w:rFonts w:hint="eastAsia"/>
          <w:sz w:val="24"/>
          <w:szCs w:val="24"/>
          <w:highlight w:val="none"/>
          <w:vertAlign w:val="superscript"/>
          <w:lang w:val="en-US" w:eastAsia="zh-CN"/>
        </w:rPr>
        <w:t>3</w:t>
      </w:r>
      <w:r>
        <w:rPr>
          <w:sz w:val="24"/>
          <w:szCs w:val="24"/>
          <w:highlight w:val="none"/>
        </w:rPr>
        <w:t>/d、循环水量为</w:t>
      </w:r>
      <w:r>
        <w:rPr>
          <w:rFonts w:hint="eastAsia"/>
          <w:sz w:val="24"/>
          <w:szCs w:val="24"/>
          <w:highlight w:val="none"/>
          <w:lang w:val="en-US" w:eastAsia="zh-CN"/>
        </w:rPr>
        <w:t>5804.46</w:t>
      </w:r>
      <w:r>
        <w:rPr>
          <w:sz w:val="24"/>
          <w:szCs w:val="24"/>
          <w:highlight w:val="none"/>
        </w:rPr>
        <w:t>m</w:t>
      </w:r>
      <w:r>
        <w:rPr>
          <w:rFonts w:hint="eastAsia"/>
          <w:sz w:val="24"/>
          <w:szCs w:val="24"/>
          <w:highlight w:val="none"/>
          <w:vertAlign w:val="superscript"/>
          <w:lang w:val="en-US" w:eastAsia="zh-CN"/>
        </w:rPr>
        <w:t>3</w:t>
      </w:r>
      <w:r>
        <w:rPr>
          <w:sz w:val="24"/>
          <w:szCs w:val="24"/>
          <w:highlight w:val="none"/>
        </w:rPr>
        <w:t>/d，水循环利用率为95.</w:t>
      </w:r>
      <w:r>
        <w:rPr>
          <w:rFonts w:hint="eastAsia"/>
          <w:sz w:val="24"/>
          <w:szCs w:val="24"/>
          <w:highlight w:val="none"/>
          <w:lang w:val="en-US" w:eastAsia="zh-CN"/>
        </w:rPr>
        <w:t>9</w:t>
      </w:r>
      <w:r>
        <w:rPr>
          <w:sz w:val="24"/>
          <w:szCs w:val="24"/>
          <w:highlight w:val="none"/>
        </w:rPr>
        <w:t>%。</w:t>
      </w:r>
    </w:p>
    <w:p>
      <w:pPr>
        <w:pStyle w:val="19"/>
        <w:spacing w:after="0" w:line="480" w:lineRule="exact"/>
        <w:ind w:firstLine="480"/>
        <w:jc w:val="both"/>
        <w:rPr>
          <w:sz w:val="24"/>
          <w:szCs w:val="24"/>
          <w:highlight w:val="none"/>
        </w:rPr>
      </w:pPr>
      <w:r>
        <w:rPr>
          <w:sz w:val="24"/>
          <w:szCs w:val="24"/>
          <w:highlight w:val="none"/>
        </w:rPr>
        <w:t>（2）排水</w:t>
      </w:r>
    </w:p>
    <w:p>
      <w:pPr>
        <w:pStyle w:val="19"/>
        <w:spacing w:after="0" w:line="480" w:lineRule="exact"/>
        <w:ind w:firstLine="480"/>
        <w:jc w:val="both"/>
        <w:rPr>
          <w:sz w:val="24"/>
          <w:szCs w:val="24"/>
          <w:highlight w:val="none"/>
        </w:rPr>
      </w:pPr>
      <w:r>
        <w:rPr>
          <w:sz w:val="24"/>
          <w:szCs w:val="24"/>
          <w:highlight w:val="none"/>
        </w:rPr>
        <w:t>生产废水主要为铁精粉过滤废水和尾矿中的废水。其中铁精粉过滤废水返回一段磁选循环使用；尾矿中的废水随尾矿砂一并经尾矿泵送至旋流罐、高效深锥浓密器，再经过沉淀池澄清、压滤机压滤后返回清水池，全部回用于生产。</w:t>
      </w:r>
    </w:p>
    <w:p>
      <w:pPr>
        <w:pStyle w:val="19"/>
        <w:spacing w:after="0" w:line="480" w:lineRule="exact"/>
        <w:ind w:firstLine="480"/>
        <w:jc w:val="both"/>
        <w:rPr>
          <w:sz w:val="24"/>
          <w:szCs w:val="24"/>
          <w:highlight w:val="none"/>
        </w:rPr>
      </w:pPr>
      <w:r>
        <w:rPr>
          <w:sz w:val="24"/>
          <w:szCs w:val="24"/>
          <w:highlight w:val="none"/>
        </w:rPr>
        <w:t>生活污水主要为职工盥洗废水，产生量为0.6m³/d，排放量按用水量的85%计，生活污水产生量为0.51m³/d，全部用于泼洒地面抑尘；厂区设防渗旱厕，定期清掏用于肥田，无生活污水外排。</w:t>
      </w:r>
    </w:p>
    <w:p>
      <w:pPr>
        <w:pStyle w:val="19"/>
        <w:keepNext w:val="0"/>
        <w:keepLines w:val="0"/>
        <w:pageBreakBefore w:val="0"/>
        <w:widowControl w:val="0"/>
        <w:kinsoku/>
        <w:wordWrap/>
        <w:overflowPunct/>
        <w:topLinePunct w:val="0"/>
        <w:autoSpaceDE/>
        <w:autoSpaceDN/>
        <w:bidi w:val="0"/>
        <w:adjustRightInd/>
        <w:snapToGrid/>
        <w:spacing w:after="0" w:line="480" w:lineRule="exact"/>
        <w:ind w:firstLine="480"/>
        <w:jc w:val="both"/>
        <w:textAlignment w:val="bottom"/>
        <w:rPr>
          <w:sz w:val="24"/>
          <w:szCs w:val="24"/>
          <w:highlight w:val="none"/>
        </w:rPr>
      </w:pPr>
      <w:r>
        <w:rPr>
          <w:rFonts w:hint="eastAsia"/>
          <w:sz w:val="24"/>
          <w:szCs w:val="24"/>
          <w:highlight w:val="none"/>
          <w:lang w:val="en-US" w:eastAsia="zh-CN"/>
        </w:rPr>
        <w:t>现有工程</w:t>
      </w:r>
      <w:r>
        <w:rPr>
          <w:sz w:val="24"/>
          <w:szCs w:val="24"/>
          <w:highlight w:val="none"/>
        </w:rPr>
        <w:t>给排水水平衡见表3.1-</w:t>
      </w:r>
      <w:r>
        <w:rPr>
          <w:rFonts w:hint="eastAsia"/>
          <w:sz w:val="24"/>
          <w:szCs w:val="24"/>
          <w:highlight w:val="none"/>
          <w:lang w:val="en-US" w:eastAsia="zh-CN"/>
        </w:rPr>
        <w:t>6</w:t>
      </w:r>
      <w:r>
        <w:rPr>
          <w:sz w:val="24"/>
          <w:szCs w:val="24"/>
          <w:highlight w:val="none"/>
        </w:rPr>
        <w:t>，水平衡图见</w:t>
      </w:r>
      <w:r>
        <w:rPr>
          <w:sz w:val="24"/>
          <w:szCs w:val="24"/>
          <w:highlight w:val="none"/>
        </w:rPr>
        <w:fldChar w:fldCharType="begin"/>
      </w:r>
      <w:r>
        <w:rPr>
          <w:sz w:val="24"/>
          <w:szCs w:val="24"/>
          <w:highlight w:val="none"/>
        </w:rPr>
        <w:instrText xml:space="preserve"> REF _Ref6880958 \h  \* MERGEFORMAT </w:instrText>
      </w:r>
      <w:r>
        <w:rPr>
          <w:sz w:val="24"/>
          <w:szCs w:val="24"/>
          <w:highlight w:val="none"/>
        </w:rPr>
        <w:fldChar w:fldCharType="separate"/>
      </w:r>
      <w:r>
        <w:rPr>
          <w:sz w:val="24"/>
          <w:szCs w:val="24"/>
          <w:highlight w:val="none"/>
          <w:lang w:val="zh-CN"/>
        </w:rPr>
        <w:t xml:space="preserve">图 </w:t>
      </w:r>
      <w:r>
        <w:rPr>
          <w:sz w:val="24"/>
          <w:szCs w:val="24"/>
          <w:highlight w:val="none"/>
        </w:rPr>
        <w:t>3.1–1</w:t>
      </w:r>
      <w:r>
        <w:rPr>
          <w:sz w:val="24"/>
          <w:szCs w:val="24"/>
          <w:highlight w:val="none"/>
        </w:rPr>
        <w:fldChar w:fldCharType="end"/>
      </w:r>
      <w:r>
        <w:rPr>
          <w:sz w:val="24"/>
          <w:szCs w:val="24"/>
          <w:highlight w:val="none"/>
        </w:rPr>
        <w:t>。</w:t>
      </w:r>
    </w:p>
    <w:p>
      <w:pPr>
        <w:pStyle w:val="13"/>
        <w:spacing w:line="480" w:lineRule="exact"/>
        <w:ind w:firstLine="480"/>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表 3.1-</w:t>
      </w:r>
      <w:r>
        <w:rPr>
          <w:rFonts w:hint="default" w:ascii="Times New Roman" w:hAnsi="Times New Roman" w:eastAsia="黑体" w:cs="Times New Roman"/>
          <w:color w:val="auto"/>
          <w:sz w:val="21"/>
          <w:szCs w:val="21"/>
          <w:highlight w:val="none"/>
          <w:lang w:val="en-US" w:eastAsia="zh-CN"/>
        </w:rPr>
        <w:t>6</w:t>
      </w:r>
      <w:r>
        <w:rPr>
          <w:rFonts w:hint="default" w:ascii="Times New Roman" w:hAnsi="Times New Roman" w:eastAsia="黑体" w:cs="Times New Roman"/>
          <w:color w:val="auto"/>
          <w:sz w:val="21"/>
          <w:szCs w:val="21"/>
          <w:highlight w:val="none"/>
        </w:rPr>
        <w:t xml:space="preserve">    水量平衡情况表   单位m</w:t>
      </w:r>
      <w:r>
        <w:rPr>
          <w:rFonts w:hint="default" w:ascii="Times New Roman" w:hAnsi="Times New Roman" w:eastAsia="黑体" w:cs="Times New Roman"/>
          <w:color w:val="auto"/>
          <w:sz w:val="21"/>
          <w:szCs w:val="21"/>
          <w:highlight w:val="none"/>
          <w:vertAlign w:val="superscript"/>
          <w:lang w:val="en-US" w:eastAsia="zh-CN"/>
        </w:rPr>
        <w:t>3</w:t>
      </w:r>
      <w:r>
        <w:rPr>
          <w:rFonts w:hint="default" w:ascii="Times New Roman" w:hAnsi="Times New Roman" w:eastAsia="黑体" w:cs="Times New Roman"/>
          <w:color w:val="auto"/>
          <w:sz w:val="21"/>
          <w:szCs w:val="21"/>
          <w:highlight w:val="none"/>
        </w:rPr>
        <w:t>/d</w:t>
      </w:r>
    </w:p>
    <w:tbl>
      <w:tblPr>
        <w:tblStyle w:val="4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7"/>
        <w:gridCol w:w="708"/>
        <w:gridCol w:w="1764"/>
        <w:gridCol w:w="1140"/>
        <w:gridCol w:w="977"/>
        <w:gridCol w:w="652"/>
        <w:gridCol w:w="1140"/>
        <w:gridCol w:w="815"/>
        <w:gridCol w:w="6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序号</w:t>
            </w:r>
          </w:p>
        </w:tc>
        <w:tc>
          <w:tcPr>
            <w:tcW w:w="425" w:type="pct"/>
            <w:vAlign w:val="center"/>
          </w:tcPr>
          <w:p>
            <w:pPr>
              <w:spacing w:line="240" w:lineRule="auto"/>
              <w:ind w:firstLine="0" w:firstLineChars="0"/>
              <w:jc w:val="center"/>
              <w:rPr>
                <w:sz w:val="21"/>
                <w:szCs w:val="21"/>
                <w:highlight w:val="none"/>
              </w:rPr>
            </w:pPr>
            <w:r>
              <w:rPr>
                <w:sz w:val="21"/>
                <w:szCs w:val="21"/>
                <w:highlight w:val="none"/>
              </w:rPr>
              <w:t>项目</w:t>
            </w:r>
          </w:p>
        </w:tc>
        <w:tc>
          <w:tcPr>
            <w:tcW w:w="1061" w:type="pct"/>
            <w:vAlign w:val="center"/>
          </w:tcPr>
          <w:p>
            <w:pPr>
              <w:spacing w:line="240" w:lineRule="auto"/>
              <w:ind w:firstLine="0" w:firstLineChars="0"/>
              <w:jc w:val="center"/>
              <w:rPr>
                <w:sz w:val="21"/>
                <w:szCs w:val="21"/>
                <w:highlight w:val="none"/>
              </w:rPr>
            </w:pPr>
            <w:r>
              <w:rPr>
                <w:sz w:val="21"/>
                <w:szCs w:val="21"/>
                <w:highlight w:val="none"/>
              </w:rPr>
              <w:t>用水环节</w:t>
            </w:r>
          </w:p>
        </w:tc>
        <w:tc>
          <w:tcPr>
            <w:tcW w:w="686" w:type="pct"/>
            <w:vAlign w:val="center"/>
          </w:tcPr>
          <w:p>
            <w:pPr>
              <w:spacing w:line="240" w:lineRule="auto"/>
              <w:ind w:firstLine="0" w:firstLineChars="0"/>
              <w:jc w:val="center"/>
              <w:rPr>
                <w:sz w:val="21"/>
                <w:szCs w:val="21"/>
                <w:highlight w:val="none"/>
              </w:rPr>
            </w:pPr>
            <w:r>
              <w:rPr>
                <w:sz w:val="21"/>
                <w:szCs w:val="21"/>
                <w:highlight w:val="none"/>
              </w:rPr>
              <w:t>总用水量</w:t>
            </w:r>
          </w:p>
        </w:tc>
        <w:tc>
          <w:tcPr>
            <w:tcW w:w="588" w:type="pct"/>
            <w:vAlign w:val="center"/>
          </w:tcPr>
          <w:p>
            <w:pPr>
              <w:spacing w:line="240" w:lineRule="auto"/>
              <w:ind w:firstLine="0" w:firstLineChars="0"/>
              <w:jc w:val="center"/>
              <w:rPr>
                <w:sz w:val="21"/>
                <w:szCs w:val="21"/>
                <w:highlight w:val="none"/>
              </w:rPr>
            </w:pPr>
            <w:r>
              <w:rPr>
                <w:sz w:val="21"/>
                <w:szCs w:val="21"/>
                <w:highlight w:val="none"/>
              </w:rPr>
              <w:t>自备井水</w:t>
            </w:r>
          </w:p>
        </w:tc>
        <w:tc>
          <w:tcPr>
            <w:tcW w:w="392" w:type="pct"/>
            <w:vAlign w:val="center"/>
          </w:tcPr>
          <w:p>
            <w:pPr>
              <w:spacing w:line="240" w:lineRule="auto"/>
              <w:ind w:firstLine="0" w:firstLineChars="0"/>
              <w:jc w:val="center"/>
              <w:rPr>
                <w:sz w:val="21"/>
                <w:szCs w:val="21"/>
                <w:highlight w:val="none"/>
              </w:rPr>
            </w:pPr>
            <w:r>
              <w:rPr>
                <w:sz w:val="21"/>
                <w:szCs w:val="21"/>
                <w:highlight w:val="none"/>
              </w:rPr>
              <w:t>上料带入</w:t>
            </w:r>
          </w:p>
        </w:tc>
        <w:tc>
          <w:tcPr>
            <w:tcW w:w="686" w:type="pct"/>
            <w:vAlign w:val="center"/>
          </w:tcPr>
          <w:p>
            <w:pPr>
              <w:spacing w:line="240" w:lineRule="auto"/>
              <w:ind w:firstLine="0" w:firstLineChars="0"/>
              <w:jc w:val="center"/>
              <w:rPr>
                <w:sz w:val="21"/>
                <w:szCs w:val="21"/>
                <w:highlight w:val="none"/>
              </w:rPr>
            </w:pPr>
            <w:r>
              <w:rPr>
                <w:sz w:val="21"/>
                <w:szCs w:val="21"/>
                <w:highlight w:val="none"/>
              </w:rPr>
              <w:t>回用水</w:t>
            </w:r>
          </w:p>
        </w:tc>
        <w:tc>
          <w:tcPr>
            <w:tcW w:w="490" w:type="pct"/>
            <w:vAlign w:val="center"/>
          </w:tcPr>
          <w:p>
            <w:pPr>
              <w:spacing w:line="240" w:lineRule="auto"/>
              <w:ind w:firstLine="0" w:firstLineChars="0"/>
              <w:jc w:val="center"/>
              <w:rPr>
                <w:sz w:val="21"/>
                <w:szCs w:val="21"/>
                <w:highlight w:val="none"/>
              </w:rPr>
            </w:pPr>
            <w:r>
              <w:rPr>
                <w:sz w:val="21"/>
                <w:szCs w:val="21"/>
                <w:highlight w:val="none"/>
              </w:rPr>
              <w:t>损耗</w:t>
            </w:r>
          </w:p>
          <w:p>
            <w:pPr>
              <w:spacing w:line="240" w:lineRule="auto"/>
              <w:ind w:firstLine="0" w:firstLineChars="0"/>
              <w:jc w:val="center"/>
              <w:rPr>
                <w:sz w:val="21"/>
                <w:szCs w:val="21"/>
                <w:highlight w:val="none"/>
              </w:rPr>
            </w:pPr>
            <w:r>
              <w:rPr>
                <w:sz w:val="21"/>
                <w:szCs w:val="21"/>
                <w:highlight w:val="none"/>
              </w:rPr>
              <w:t>量</w:t>
            </w:r>
          </w:p>
        </w:tc>
        <w:tc>
          <w:tcPr>
            <w:tcW w:w="376" w:type="pct"/>
            <w:vAlign w:val="center"/>
          </w:tcPr>
          <w:p>
            <w:pPr>
              <w:spacing w:line="240" w:lineRule="auto"/>
              <w:ind w:firstLine="0" w:firstLineChars="0"/>
              <w:jc w:val="center"/>
              <w:rPr>
                <w:sz w:val="21"/>
                <w:szCs w:val="21"/>
                <w:highlight w:val="none"/>
              </w:rPr>
            </w:pPr>
            <w:r>
              <w:rPr>
                <w:sz w:val="21"/>
                <w:szCs w:val="21"/>
                <w:highlight w:val="none"/>
              </w:rPr>
              <w:t>外排水量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1</w:t>
            </w:r>
          </w:p>
        </w:tc>
        <w:tc>
          <w:tcPr>
            <w:tcW w:w="425" w:type="pct"/>
            <w:vMerge w:val="restart"/>
            <w:vAlign w:val="center"/>
          </w:tcPr>
          <w:p>
            <w:pPr>
              <w:spacing w:line="240" w:lineRule="auto"/>
              <w:ind w:firstLine="0" w:firstLineChars="0"/>
              <w:jc w:val="center"/>
              <w:rPr>
                <w:sz w:val="21"/>
                <w:szCs w:val="21"/>
                <w:highlight w:val="none"/>
              </w:rPr>
            </w:pPr>
            <w:r>
              <w:rPr>
                <w:sz w:val="21"/>
                <w:szCs w:val="21"/>
                <w:highlight w:val="none"/>
              </w:rPr>
              <w:t>生产</w:t>
            </w:r>
          </w:p>
          <w:p>
            <w:pPr>
              <w:spacing w:line="240" w:lineRule="auto"/>
              <w:ind w:firstLine="0" w:firstLineChars="0"/>
              <w:jc w:val="center"/>
              <w:rPr>
                <w:sz w:val="21"/>
                <w:szCs w:val="21"/>
                <w:highlight w:val="none"/>
              </w:rPr>
            </w:pPr>
            <w:r>
              <w:rPr>
                <w:sz w:val="21"/>
                <w:szCs w:val="21"/>
                <w:highlight w:val="none"/>
              </w:rPr>
              <w:t>系统</w:t>
            </w:r>
          </w:p>
        </w:tc>
        <w:tc>
          <w:tcPr>
            <w:tcW w:w="1061" w:type="pct"/>
            <w:vAlign w:val="center"/>
          </w:tcPr>
          <w:p>
            <w:pPr>
              <w:spacing w:line="240" w:lineRule="auto"/>
              <w:ind w:firstLine="0" w:firstLineChars="0"/>
              <w:jc w:val="center"/>
              <w:rPr>
                <w:sz w:val="21"/>
                <w:szCs w:val="21"/>
                <w:highlight w:val="none"/>
              </w:rPr>
            </w:pPr>
            <w:r>
              <w:rPr>
                <w:sz w:val="21"/>
                <w:szCs w:val="21"/>
                <w:highlight w:val="none"/>
              </w:rPr>
              <w:t>上料、精粉库等抑尘</w:t>
            </w:r>
          </w:p>
        </w:tc>
        <w:tc>
          <w:tcPr>
            <w:tcW w:w="686" w:type="pct"/>
            <w:vAlign w:val="center"/>
          </w:tcPr>
          <w:p>
            <w:pPr>
              <w:spacing w:line="240" w:lineRule="auto"/>
              <w:ind w:firstLine="0" w:firstLineChars="0"/>
              <w:jc w:val="center"/>
              <w:rPr>
                <w:sz w:val="21"/>
                <w:szCs w:val="21"/>
                <w:highlight w:val="none"/>
              </w:rPr>
            </w:pPr>
            <w:r>
              <w:rPr>
                <w:sz w:val="21"/>
                <w:szCs w:val="21"/>
                <w:highlight w:val="none"/>
              </w:rPr>
              <w:t>15.2</w:t>
            </w:r>
          </w:p>
        </w:tc>
        <w:tc>
          <w:tcPr>
            <w:tcW w:w="588" w:type="pct"/>
            <w:vAlign w:val="center"/>
          </w:tcPr>
          <w:p>
            <w:pPr>
              <w:spacing w:line="240" w:lineRule="auto"/>
              <w:ind w:firstLine="0" w:firstLineChars="0"/>
              <w:jc w:val="center"/>
              <w:rPr>
                <w:sz w:val="21"/>
                <w:szCs w:val="21"/>
                <w:highlight w:val="none"/>
              </w:rPr>
            </w:pPr>
            <w:r>
              <w:rPr>
                <w:sz w:val="21"/>
                <w:szCs w:val="21"/>
                <w:highlight w:val="none"/>
              </w:rPr>
              <w:t>15.2</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7.2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2</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球磨磁选</w:t>
            </w:r>
          </w:p>
        </w:tc>
        <w:tc>
          <w:tcPr>
            <w:tcW w:w="686"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6001.77</w:t>
            </w:r>
          </w:p>
        </w:tc>
        <w:tc>
          <w:tcPr>
            <w:tcW w:w="588" w:type="pct"/>
            <w:vAlign w:val="center"/>
          </w:tcPr>
          <w:p>
            <w:pPr>
              <w:spacing w:line="240" w:lineRule="auto"/>
              <w:ind w:firstLine="0" w:firstLineChars="0"/>
              <w:jc w:val="center"/>
              <w:rPr>
                <w:sz w:val="21"/>
                <w:szCs w:val="21"/>
                <w:highlight w:val="none"/>
              </w:rPr>
            </w:pPr>
            <w:r>
              <w:rPr>
                <w:sz w:val="21"/>
                <w:szCs w:val="21"/>
                <w:highlight w:val="none"/>
              </w:rPr>
              <w:t>209.12</w:t>
            </w:r>
          </w:p>
        </w:tc>
        <w:tc>
          <w:tcPr>
            <w:tcW w:w="392" w:type="pct"/>
            <w:vAlign w:val="center"/>
          </w:tcPr>
          <w:p>
            <w:pPr>
              <w:spacing w:line="240" w:lineRule="auto"/>
              <w:ind w:firstLine="0" w:firstLineChars="0"/>
              <w:jc w:val="center"/>
              <w:rPr>
                <w:sz w:val="21"/>
                <w:szCs w:val="21"/>
                <w:highlight w:val="none"/>
              </w:rPr>
            </w:pPr>
            <w:r>
              <w:rPr>
                <w:sz w:val="21"/>
                <w:szCs w:val="21"/>
                <w:highlight w:val="none"/>
              </w:rPr>
              <w:t>8</w:t>
            </w:r>
          </w:p>
        </w:tc>
        <w:tc>
          <w:tcPr>
            <w:tcW w:w="686"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5993.77</w:t>
            </w:r>
          </w:p>
        </w:tc>
        <w:tc>
          <w:tcPr>
            <w:tcW w:w="490"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58.14</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3</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车间地面</w:t>
            </w:r>
          </w:p>
          <w:p>
            <w:pPr>
              <w:spacing w:line="240" w:lineRule="auto"/>
              <w:ind w:firstLine="0" w:firstLineChars="0"/>
              <w:jc w:val="center"/>
              <w:rPr>
                <w:sz w:val="21"/>
                <w:szCs w:val="21"/>
                <w:highlight w:val="none"/>
              </w:rPr>
            </w:pPr>
            <w:r>
              <w:rPr>
                <w:sz w:val="21"/>
                <w:szCs w:val="21"/>
                <w:highlight w:val="none"/>
              </w:rPr>
              <w:t>冲洗</w:t>
            </w:r>
          </w:p>
        </w:tc>
        <w:tc>
          <w:tcPr>
            <w:tcW w:w="686" w:type="pct"/>
            <w:vAlign w:val="center"/>
          </w:tcPr>
          <w:p>
            <w:pPr>
              <w:spacing w:line="240" w:lineRule="auto"/>
              <w:ind w:firstLine="0" w:firstLineChars="0"/>
              <w:jc w:val="center"/>
              <w:rPr>
                <w:sz w:val="21"/>
                <w:szCs w:val="21"/>
                <w:highlight w:val="none"/>
              </w:rPr>
            </w:pPr>
            <w:r>
              <w:rPr>
                <w:sz w:val="21"/>
                <w:szCs w:val="21"/>
                <w:highlight w:val="none"/>
              </w:rPr>
              <w:t>8.0</w:t>
            </w:r>
          </w:p>
        </w:tc>
        <w:tc>
          <w:tcPr>
            <w:tcW w:w="588" w:type="pct"/>
            <w:vAlign w:val="center"/>
          </w:tcPr>
          <w:p>
            <w:pPr>
              <w:spacing w:line="240" w:lineRule="auto"/>
              <w:ind w:firstLine="0" w:firstLineChars="0"/>
              <w:jc w:val="center"/>
              <w:rPr>
                <w:sz w:val="21"/>
                <w:szCs w:val="21"/>
                <w:highlight w:val="none"/>
              </w:rPr>
            </w:pPr>
            <w:r>
              <w:rPr>
                <w:sz w:val="21"/>
                <w:szCs w:val="21"/>
                <w:highlight w:val="none"/>
              </w:rPr>
              <w:t>8.0</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1.2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4</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洗车平台</w:t>
            </w:r>
          </w:p>
        </w:tc>
        <w:tc>
          <w:tcPr>
            <w:tcW w:w="686" w:type="pct"/>
            <w:vAlign w:val="center"/>
          </w:tcPr>
          <w:p>
            <w:pPr>
              <w:spacing w:line="240" w:lineRule="auto"/>
              <w:ind w:firstLine="0" w:firstLineChars="0"/>
              <w:jc w:val="center"/>
              <w:rPr>
                <w:sz w:val="21"/>
                <w:szCs w:val="21"/>
                <w:highlight w:val="none"/>
              </w:rPr>
            </w:pPr>
            <w:r>
              <w:rPr>
                <w:sz w:val="21"/>
                <w:szCs w:val="21"/>
                <w:highlight w:val="none"/>
              </w:rPr>
              <w:t>13.3</w:t>
            </w:r>
          </w:p>
        </w:tc>
        <w:tc>
          <w:tcPr>
            <w:tcW w:w="588" w:type="pct"/>
            <w:vAlign w:val="center"/>
          </w:tcPr>
          <w:p>
            <w:pPr>
              <w:spacing w:line="240" w:lineRule="auto"/>
              <w:ind w:firstLine="0" w:firstLineChars="0"/>
              <w:jc w:val="center"/>
              <w:rPr>
                <w:sz w:val="21"/>
                <w:szCs w:val="21"/>
                <w:highlight w:val="none"/>
              </w:rPr>
            </w:pPr>
            <w:r>
              <w:rPr>
                <w:sz w:val="21"/>
                <w:szCs w:val="21"/>
                <w:highlight w:val="none"/>
              </w:rPr>
              <w:t>2</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11.3</w:t>
            </w:r>
          </w:p>
        </w:tc>
        <w:tc>
          <w:tcPr>
            <w:tcW w:w="490" w:type="pct"/>
            <w:vAlign w:val="center"/>
          </w:tcPr>
          <w:p>
            <w:pPr>
              <w:spacing w:line="240" w:lineRule="auto"/>
              <w:ind w:firstLine="0" w:firstLineChars="0"/>
              <w:jc w:val="center"/>
              <w:rPr>
                <w:sz w:val="21"/>
                <w:szCs w:val="21"/>
                <w:highlight w:val="none"/>
              </w:rPr>
            </w:pPr>
            <w:r>
              <w:rPr>
                <w:sz w:val="21"/>
                <w:szCs w:val="21"/>
                <w:highlight w:val="none"/>
              </w:rPr>
              <w:t>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5</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厂区抑尘</w:t>
            </w:r>
          </w:p>
        </w:tc>
        <w:tc>
          <w:tcPr>
            <w:tcW w:w="686" w:type="pct"/>
            <w:vAlign w:val="center"/>
          </w:tcPr>
          <w:p>
            <w:pPr>
              <w:spacing w:line="240" w:lineRule="auto"/>
              <w:ind w:firstLine="0" w:firstLineChars="0"/>
              <w:jc w:val="center"/>
              <w:rPr>
                <w:sz w:val="21"/>
                <w:szCs w:val="21"/>
                <w:highlight w:val="none"/>
              </w:rPr>
            </w:pPr>
            <w:r>
              <w:rPr>
                <w:sz w:val="21"/>
                <w:szCs w:val="21"/>
                <w:highlight w:val="none"/>
              </w:rPr>
              <w:t>10.51</w:t>
            </w:r>
          </w:p>
        </w:tc>
        <w:tc>
          <w:tcPr>
            <w:tcW w:w="588" w:type="pct"/>
            <w:vAlign w:val="center"/>
          </w:tcPr>
          <w:p>
            <w:pPr>
              <w:spacing w:line="240" w:lineRule="auto"/>
              <w:ind w:firstLine="0" w:firstLineChars="0"/>
              <w:jc w:val="center"/>
              <w:rPr>
                <w:sz w:val="21"/>
                <w:szCs w:val="21"/>
                <w:highlight w:val="none"/>
              </w:rPr>
            </w:pPr>
            <w:r>
              <w:rPr>
                <w:sz w:val="21"/>
                <w:szCs w:val="21"/>
                <w:highlight w:val="none"/>
              </w:rPr>
              <w:t>10</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0.51</w:t>
            </w:r>
          </w:p>
        </w:tc>
        <w:tc>
          <w:tcPr>
            <w:tcW w:w="490" w:type="pct"/>
            <w:vAlign w:val="center"/>
          </w:tcPr>
          <w:p>
            <w:pPr>
              <w:spacing w:line="240" w:lineRule="auto"/>
              <w:ind w:firstLine="0" w:firstLineChars="0"/>
              <w:jc w:val="center"/>
              <w:rPr>
                <w:sz w:val="21"/>
                <w:szCs w:val="21"/>
                <w:highlight w:val="none"/>
              </w:rPr>
            </w:pPr>
            <w:r>
              <w:rPr>
                <w:sz w:val="21"/>
                <w:szCs w:val="21"/>
                <w:highlight w:val="none"/>
              </w:rPr>
              <w:t>10.51</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6</w:t>
            </w:r>
          </w:p>
        </w:tc>
        <w:tc>
          <w:tcPr>
            <w:tcW w:w="425" w:type="pct"/>
            <w:vAlign w:val="center"/>
          </w:tcPr>
          <w:p>
            <w:pPr>
              <w:spacing w:line="240" w:lineRule="auto"/>
              <w:ind w:firstLine="0" w:firstLineChars="0"/>
              <w:jc w:val="center"/>
              <w:rPr>
                <w:sz w:val="21"/>
                <w:szCs w:val="21"/>
                <w:highlight w:val="none"/>
              </w:rPr>
            </w:pPr>
            <w:r>
              <w:rPr>
                <w:sz w:val="21"/>
                <w:szCs w:val="21"/>
                <w:highlight w:val="none"/>
              </w:rPr>
              <w:t>生活</w:t>
            </w:r>
          </w:p>
          <w:p>
            <w:pPr>
              <w:spacing w:line="240" w:lineRule="auto"/>
              <w:ind w:firstLine="0" w:firstLineChars="0"/>
              <w:jc w:val="center"/>
              <w:rPr>
                <w:sz w:val="21"/>
                <w:szCs w:val="21"/>
                <w:highlight w:val="none"/>
              </w:rPr>
            </w:pPr>
            <w:r>
              <w:rPr>
                <w:sz w:val="21"/>
                <w:szCs w:val="21"/>
                <w:highlight w:val="none"/>
              </w:rPr>
              <w:t>系统</w:t>
            </w:r>
          </w:p>
        </w:tc>
        <w:tc>
          <w:tcPr>
            <w:tcW w:w="1061" w:type="pct"/>
            <w:vAlign w:val="center"/>
          </w:tcPr>
          <w:p>
            <w:pPr>
              <w:spacing w:line="240" w:lineRule="auto"/>
              <w:ind w:firstLine="0" w:firstLineChars="0"/>
              <w:jc w:val="center"/>
              <w:rPr>
                <w:sz w:val="21"/>
                <w:szCs w:val="21"/>
                <w:highlight w:val="none"/>
              </w:rPr>
            </w:pPr>
            <w:r>
              <w:rPr>
                <w:sz w:val="21"/>
                <w:szCs w:val="21"/>
                <w:highlight w:val="none"/>
              </w:rPr>
              <w:t>生活用水</w:t>
            </w:r>
          </w:p>
        </w:tc>
        <w:tc>
          <w:tcPr>
            <w:tcW w:w="686" w:type="pct"/>
            <w:vAlign w:val="center"/>
          </w:tcPr>
          <w:p>
            <w:pPr>
              <w:spacing w:line="240" w:lineRule="auto"/>
              <w:ind w:firstLine="0" w:firstLineChars="0"/>
              <w:jc w:val="center"/>
              <w:rPr>
                <w:sz w:val="21"/>
                <w:szCs w:val="21"/>
                <w:highlight w:val="none"/>
              </w:rPr>
            </w:pPr>
            <w:r>
              <w:rPr>
                <w:sz w:val="21"/>
                <w:szCs w:val="21"/>
                <w:highlight w:val="none"/>
              </w:rPr>
              <w:t>0.6</w:t>
            </w:r>
          </w:p>
        </w:tc>
        <w:tc>
          <w:tcPr>
            <w:tcW w:w="588" w:type="pct"/>
            <w:vAlign w:val="center"/>
          </w:tcPr>
          <w:p>
            <w:pPr>
              <w:spacing w:line="240" w:lineRule="auto"/>
              <w:ind w:firstLine="0" w:firstLineChars="0"/>
              <w:jc w:val="center"/>
              <w:rPr>
                <w:sz w:val="21"/>
                <w:szCs w:val="21"/>
                <w:highlight w:val="none"/>
              </w:rPr>
            </w:pPr>
            <w:r>
              <w:rPr>
                <w:sz w:val="21"/>
                <w:szCs w:val="21"/>
                <w:highlight w:val="none"/>
              </w:rPr>
              <w:t>0.6</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0.09</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gridSpan w:val="2"/>
            <w:vAlign w:val="center"/>
          </w:tcPr>
          <w:p>
            <w:pPr>
              <w:spacing w:line="240" w:lineRule="auto"/>
              <w:ind w:firstLine="0" w:firstLineChars="0"/>
              <w:jc w:val="center"/>
              <w:rPr>
                <w:sz w:val="21"/>
                <w:szCs w:val="21"/>
                <w:highlight w:val="none"/>
              </w:rPr>
            </w:pPr>
            <w:r>
              <w:rPr>
                <w:sz w:val="21"/>
                <w:szCs w:val="21"/>
                <w:highlight w:val="none"/>
              </w:rPr>
              <w:t>全厂</w:t>
            </w:r>
          </w:p>
        </w:tc>
        <w:tc>
          <w:tcPr>
            <w:tcW w:w="1061" w:type="pct"/>
            <w:vAlign w:val="center"/>
          </w:tcPr>
          <w:p>
            <w:pPr>
              <w:spacing w:line="240" w:lineRule="auto"/>
              <w:ind w:firstLine="0" w:firstLineChars="0"/>
              <w:jc w:val="center"/>
              <w:rPr>
                <w:sz w:val="21"/>
                <w:szCs w:val="21"/>
                <w:highlight w:val="none"/>
              </w:rPr>
            </w:pPr>
            <w:r>
              <w:rPr>
                <w:sz w:val="21"/>
                <w:szCs w:val="21"/>
                <w:highlight w:val="none"/>
              </w:rPr>
              <w:t>合计</w:t>
            </w:r>
          </w:p>
        </w:tc>
        <w:tc>
          <w:tcPr>
            <w:tcW w:w="686"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6049.38</w:t>
            </w:r>
          </w:p>
        </w:tc>
        <w:tc>
          <w:tcPr>
            <w:tcW w:w="588" w:type="pct"/>
            <w:vAlign w:val="center"/>
          </w:tcPr>
          <w:p>
            <w:pPr>
              <w:spacing w:line="240" w:lineRule="auto"/>
              <w:ind w:firstLine="0" w:firstLineChars="0"/>
              <w:jc w:val="center"/>
              <w:rPr>
                <w:sz w:val="21"/>
                <w:szCs w:val="21"/>
                <w:highlight w:val="none"/>
              </w:rPr>
            </w:pPr>
            <w:r>
              <w:rPr>
                <w:sz w:val="21"/>
                <w:szCs w:val="21"/>
                <w:highlight w:val="none"/>
              </w:rPr>
              <w:t>244.92</w:t>
            </w:r>
          </w:p>
        </w:tc>
        <w:tc>
          <w:tcPr>
            <w:tcW w:w="392" w:type="pct"/>
            <w:vAlign w:val="center"/>
          </w:tcPr>
          <w:p>
            <w:pPr>
              <w:spacing w:line="240" w:lineRule="auto"/>
              <w:ind w:firstLine="0" w:firstLineChars="0"/>
              <w:jc w:val="center"/>
              <w:rPr>
                <w:sz w:val="21"/>
                <w:szCs w:val="21"/>
                <w:highlight w:val="none"/>
              </w:rPr>
            </w:pPr>
            <w:r>
              <w:rPr>
                <w:sz w:val="21"/>
                <w:szCs w:val="21"/>
                <w:highlight w:val="none"/>
              </w:rPr>
              <w:t>8</w:t>
            </w:r>
          </w:p>
        </w:tc>
        <w:tc>
          <w:tcPr>
            <w:tcW w:w="686"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6005.58</w:t>
            </w:r>
          </w:p>
        </w:tc>
        <w:tc>
          <w:tcPr>
            <w:tcW w:w="490"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79.14</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bl>
    <w:p>
      <w:pPr>
        <w:pStyle w:val="19"/>
        <w:ind w:firstLine="560"/>
        <w:jc w:val="center"/>
        <w:rPr>
          <w:sz w:val="24"/>
          <w:szCs w:val="24"/>
          <w:highlight w:val="none"/>
        </w:rPr>
      </w:pPr>
      <w:r>
        <w:rPr>
          <w:sz w:val="28"/>
        </w:rPr>
        <w:pict>
          <v:shape id="_x0000_s2032" o:spid="_x0000_s2032" o:spt="202" type="#_x0000_t202" style="position:absolute;left:0pt;margin-left:39.8pt;margin-top:170.3pt;height:10.05pt;width:31.6pt;z-index:251712512;mso-width-relative:page;mso-height-relative:page;"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21"/>
                      <w:szCs w:val="21"/>
                      <w:lang w:val="en-US" w:eastAsia="zh-CN"/>
                    </w:rPr>
                  </w:pPr>
                  <w:r>
                    <w:rPr>
                      <w:rFonts w:hint="eastAsia" w:eastAsia="宋体"/>
                      <w:sz w:val="21"/>
                      <w:szCs w:val="21"/>
                      <w:lang w:val="en-US" w:eastAsia="zh-CN"/>
                    </w:rPr>
                    <w:t>244.92</w:t>
                  </w:r>
                </w:p>
              </w:txbxContent>
            </v:textbox>
          </v:shape>
        </w:pict>
      </w:r>
      <w:r>
        <w:rPr>
          <w:highlight w:val="none"/>
        </w:rPr>
        <w:object>
          <v:shape id="_x0000_i1025" o:spt="75" type="#_x0000_t75" style="height:412pt;width:405pt;" o:ole="t" filled="f" o:preferrelative="t" stroked="f" coordsize="21600,21600">
            <v:path/>
            <v:fill on="f" focussize="0,0"/>
            <v:stroke on="f" joinstyle="miter"/>
            <v:imagedata r:id="rId23" o:title=""/>
            <o:lock v:ext="edit" aspectratio="t"/>
            <w10:wrap type="none"/>
            <w10:anchorlock/>
          </v:shape>
          <o:OLEObject Type="Embed" ProgID="Visio.Drawing.11" ShapeID="_x0000_i1025" DrawAspect="Content" ObjectID="_1468075725" r:id="rId22">
            <o:LockedField>false</o:LockedField>
          </o:OLEObject>
        </w:object>
      </w:r>
      <w:bookmarkStart w:id="268" w:name="_Ref6880958"/>
      <w:r>
        <w:rPr>
          <w:b/>
          <w:bCs/>
          <w:sz w:val="24"/>
          <w:szCs w:val="24"/>
          <w:highlight w:val="none"/>
        </w:rPr>
        <w:t xml:space="preserve">图 </w:t>
      </w:r>
      <w:r>
        <w:rPr>
          <w:b/>
          <w:bCs/>
          <w:sz w:val="24"/>
          <w:szCs w:val="24"/>
          <w:highlight w:val="none"/>
        </w:rPr>
        <w:fldChar w:fldCharType="begin"/>
      </w:r>
      <w:r>
        <w:rPr>
          <w:b/>
          <w:bCs/>
          <w:sz w:val="24"/>
          <w:szCs w:val="24"/>
          <w:highlight w:val="none"/>
        </w:rPr>
        <w:instrText xml:space="preserve"> STYLEREF 2 \s </w:instrText>
      </w:r>
      <w:r>
        <w:rPr>
          <w:b/>
          <w:bCs/>
          <w:sz w:val="24"/>
          <w:szCs w:val="24"/>
          <w:highlight w:val="none"/>
        </w:rPr>
        <w:fldChar w:fldCharType="separate"/>
      </w:r>
      <w:r>
        <w:rPr>
          <w:b/>
          <w:bCs/>
          <w:sz w:val="24"/>
          <w:szCs w:val="24"/>
          <w:highlight w:val="none"/>
        </w:rPr>
        <w:t>3.1</w:t>
      </w:r>
      <w:r>
        <w:rPr>
          <w:b/>
          <w:bCs/>
          <w:sz w:val="24"/>
          <w:szCs w:val="24"/>
          <w:highlight w:val="none"/>
        </w:rPr>
        <w:fldChar w:fldCharType="end"/>
      </w:r>
      <w:r>
        <w:rPr>
          <w:b/>
          <w:bCs/>
          <w:sz w:val="24"/>
          <w:szCs w:val="24"/>
          <w:highlight w:val="none"/>
        </w:rPr>
        <w:t>–</w:t>
      </w:r>
      <w:r>
        <w:rPr>
          <w:b/>
          <w:bCs/>
          <w:sz w:val="24"/>
          <w:szCs w:val="24"/>
          <w:highlight w:val="none"/>
        </w:rPr>
        <w:fldChar w:fldCharType="begin"/>
      </w:r>
      <w:r>
        <w:rPr>
          <w:b/>
          <w:bCs/>
          <w:sz w:val="24"/>
          <w:szCs w:val="24"/>
          <w:highlight w:val="none"/>
        </w:rPr>
        <w:instrText xml:space="preserve"> SEQ 图 \* ARABIC \s 2 </w:instrText>
      </w:r>
      <w:r>
        <w:rPr>
          <w:b/>
          <w:bCs/>
          <w:sz w:val="24"/>
          <w:szCs w:val="24"/>
          <w:highlight w:val="none"/>
        </w:rPr>
        <w:fldChar w:fldCharType="separate"/>
      </w:r>
      <w:r>
        <w:rPr>
          <w:b/>
          <w:bCs/>
          <w:sz w:val="24"/>
          <w:szCs w:val="24"/>
          <w:highlight w:val="none"/>
        </w:rPr>
        <w:t>1</w:t>
      </w:r>
      <w:r>
        <w:rPr>
          <w:b/>
          <w:bCs/>
          <w:sz w:val="24"/>
          <w:szCs w:val="24"/>
          <w:highlight w:val="none"/>
        </w:rPr>
        <w:fldChar w:fldCharType="end"/>
      </w:r>
      <w:bookmarkEnd w:id="268"/>
      <w:r>
        <w:rPr>
          <w:b/>
          <w:bCs/>
          <w:sz w:val="24"/>
          <w:szCs w:val="24"/>
          <w:highlight w:val="none"/>
        </w:rPr>
        <w:t xml:space="preserve">    </w:t>
      </w:r>
      <w:r>
        <w:rPr>
          <w:rFonts w:hint="eastAsia"/>
          <w:b/>
          <w:bCs/>
          <w:sz w:val="24"/>
          <w:szCs w:val="24"/>
          <w:highlight w:val="none"/>
          <w:lang w:val="en-US" w:eastAsia="zh-CN"/>
        </w:rPr>
        <w:t>现有工程</w:t>
      </w:r>
      <w:r>
        <w:rPr>
          <w:b/>
          <w:bCs/>
          <w:sz w:val="24"/>
          <w:szCs w:val="24"/>
          <w:highlight w:val="none"/>
        </w:rPr>
        <w:t>水平衡图</w:t>
      </w:r>
    </w:p>
    <w:p>
      <w:pPr>
        <w:pStyle w:val="3"/>
        <w:rPr>
          <w:highlight w:val="none"/>
        </w:rPr>
      </w:pPr>
      <w:r>
        <w:rPr>
          <w:highlight w:val="none"/>
        </w:rPr>
        <w:t>3.</w:t>
      </w:r>
      <w:r>
        <w:rPr>
          <w:rFonts w:hint="eastAsia"/>
          <w:highlight w:val="none"/>
        </w:rPr>
        <w:t>1.</w:t>
      </w:r>
      <w:r>
        <w:rPr>
          <w:rFonts w:hint="eastAsia"/>
          <w:highlight w:val="none"/>
          <w:lang w:val="en-US" w:eastAsia="zh-CN"/>
        </w:rPr>
        <w:t>7</w:t>
      </w:r>
      <w:r>
        <w:rPr>
          <w:highlight w:val="none"/>
        </w:rPr>
        <w:t>.2供配电情况</w:t>
      </w:r>
    </w:p>
    <w:p>
      <w:pPr>
        <w:ind w:firstLine="480"/>
        <w:rPr>
          <w:sz w:val="24"/>
          <w:szCs w:val="24"/>
          <w:highlight w:val="none"/>
        </w:rPr>
      </w:pPr>
      <w:r>
        <w:rPr>
          <w:sz w:val="24"/>
          <w:szCs w:val="24"/>
          <w:highlight w:val="none"/>
        </w:rPr>
        <w:t>采用单电源不分段供电方式，电源引自当地35kV变电站。</w:t>
      </w:r>
    </w:p>
    <w:p>
      <w:pPr>
        <w:pStyle w:val="3"/>
        <w:rPr>
          <w:highlight w:val="none"/>
        </w:rPr>
      </w:pPr>
      <w:r>
        <w:rPr>
          <w:highlight w:val="none"/>
        </w:rPr>
        <w:t>3.</w:t>
      </w:r>
      <w:r>
        <w:rPr>
          <w:rFonts w:hint="eastAsia"/>
          <w:highlight w:val="none"/>
        </w:rPr>
        <w:t>1.</w:t>
      </w:r>
      <w:r>
        <w:rPr>
          <w:rFonts w:hint="eastAsia"/>
          <w:highlight w:val="none"/>
          <w:lang w:val="en-US" w:eastAsia="zh-CN"/>
        </w:rPr>
        <w:t>7</w:t>
      </w:r>
      <w:r>
        <w:rPr>
          <w:highlight w:val="none"/>
        </w:rPr>
        <w:t>.3供热情况</w:t>
      </w:r>
    </w:p>
    <w:p>
      <w:pPr>
        <w:ind w:firstLine="480"/>
        <w:jc w:val="both"/>
        <w:rPr>
          <w:sz w:val="24"/>
          <w:szCs w:val="24"/>
          <w:highlight w:val="none"/>
        </w:rPr>
      </w:pPr>
      <w:r>
        <w:rPr>
          <w:sz w:val="24"/>
          <w:szCs w:val="24"/>
          <w:highlight w:val="none"/>
        </w:rPr>
        <w:t>生产系统无供热设施，办公生活区冬季采用空调或电暖气采暖，</w:t>
      </w:r>
      <w:r>
        <w:rPr>
          <w:rFonts w:hint="eastAsia"/>
          <w:sz w:val="24"/>
          <w:szCs w:val="24"/>
          <w:highlight w:val="none"/>
          <w:lang w:val="en-US" w:eastAsia="zh-CN"/>
        </w:rPr>
        <w:t>无</w:t>
      </w:r>
      <w:r>
        <w:rPr>
          <w:sz w:val="24"/>
          <w:szCs w:val="24"/>
          <w:highlight w:val="none"/>
        </w:rPr>
        <w:t>锅炉。</w:t>
      </w:r>
    </w:p>
    <w:p>
      <w:pPr>
        <w:pStyle w:val="6"/>
        <w:numPr>
          <w:ilvl w:val="2"/>
          <w:numId w:val="1"/>
        </w:numPr>
        <w:spacing w:before="0" w:after="0"/>
        <w:ind w:left="567"/>
        <w:rPr>
          <w:rFonts w:ascii="Times New Roman" w:hAnsi="Times New Roman" w:eastAsia="宋体" w:cs="Times New Roman"/>
          <w:szCs w:val="28"/>
          <w:highlight w:val="none"/>
        </w:rPr>
      </w:pPr>
      <w:r>
        <w:rPr>
          <w:rFonts w:hint="eastAsia" w:ascii="Times New Roman" w:hAnsi="Times New Roman" w:eastAsia="宋体" w:cs="Times New Roman"/>
          <w:szCs w:val="28"/>
          <w:highlight w:val="none"/>
          <w:lang w:val="en-US" w:eastAsia="zh-CN"/>
        </w:rPr>
        <w:t>污染物排放情况及原有环境问题</w:t>
      </w:r>
    </w:p>
    <w:p>
      <w:pPr>
        <w:snapToGrid w:val="0"/>
        <w:ind w:firstLine="480"/>
        <w:jc w:val="both"/>
        <w:rPr>
          <w:rFonts w:hint="eastAsia"/>
          <w:lang w:val="en-US" w:eastAsia="zh-CN"/>
        </w:rPr>
      </w:pPr>
      <w:r>
        <w:rPr>
          <w:rFonts w:hint="eastAsia"/>
          <w:sz w:val="24"/>
          <w:szCs w:val="24"/>
          <w:highlight w:val="none"/>
        </w:rPr>
        <w:t>遵化市恒泰矿业有限公司</w:t>
      </w:r>
      <w:r>
        <w:rPr>
          <w:rFonts w:hint="eastAsia"/>
          <w:sz w:val="24"/>
          <w:szCs w:val="24"/>
          <w:highlight w:val="none"/>
          <w:lang w:val="en-US" w:eastAsia="zh-CN"/>
        </w:rPr>
        <w:t>原名为</w:t>
      </w:r>
      <w:r>
        <w:rPr>
          <w:rFonts w:hint="eastAsia"/>
          <w:sz w:val="24"/>
          <w:szCs w:val="24"/>
          <w:highlight w:val="none"/>
        </w:rPr>
        <w:t>遵化市瑞萍铁选厂</w:t>
      </w:r>
      <w:r>
        <w:rPr>
          <w:rFonts w:hint="eastAsia"/>
          <w:sz w:val="24"/>
          <w:szCs w:val="24"/>
          <w:highlight w:val="none"/>
          <w:lang w:eastAsia="zh-CN"/>
        </w:rPr>
        <w:t>，</w:t>
      </w:r>
      <w:r>
        <w:rPr>
          <w:rFonts w:hint="eastAsia"/>
          <w:sz w:val="24"/>
          <w:szCs w:val="24"/>
          <w:highlight w:val="none"/>
          <w:lang w:val="en-US" w:eastAsia="zh-CN"/>
        </w:rPr>
        <w:t>于2021年实施了“</w:t>
      </w:r>
      <w:r>
        <w:rPr>
          <w:rFonts w:hint="eastAsia"/>
          <w:sz w:val="24"/>
          <w:szCs w:val="24"/>
          <w:highlight w:val="none"/>
        </w:rPr>
        <w:t>遵化市瑞萍铁选厂年处理30万吨铁矿石、30万吨粗精矿项目</w:t>
      </w:r>
      <w:r>
        <w:rPr>
          <w:rFonts w:hint="eastAsia"/>
          <w:sz w:val="24"/>
          <w:szCs w:val="24"/>
          <w:highlight w:val="none"/>
          <w:lang w:val="en-US" w:eastAsia="zh-CN"/>
        </w:rPr>
        <w:t>”，并取得了遵化市行政审批局出具的《</w:t>
      </w:r>
      <w:r>
        <w:rPr>
          <w:rFonts w:hint="eastAsia"/>
          <w:sz w:val="24"/>
          <w:szCs w:val="24"/>
          <w:highlight w:val="none"/>
        </w:rPr>
        <w:t>遵化市瑞萍铁选厂年处理30万吨铁矿石、30万吨粗精矿项目</w:t>
      </w:r>
      <w:r>
        <w:rPr>
          <w:rFonts w:hint="eastAsia"/>
          <w:sz w:val="24"/>
          <w:szCs w:val="24"/>
          <w:highlight w:val="none"/>
          <w:lang w:val="en-US" w:eastAsia="zh-CN"/>
        </w:rPr>
        <w:t>环境影响报告书的》批复文件（遵审投资环字[2021]32号），于2022年建设完成进行了排污登记并通过了竣工环境保护验收，</w:t>
      </w:r>
      <w:r>
        <w:rPr>
          <w:rFonts w:hint="eastAsia"/>
          <w:bCs/>
          <w:sz w:val="24"/>
          <w:szCs w:val="24"/>
          <w:lang w:val="en-US" w:eastAsia="zh-CN"/>
        </w:rPr>
        <w:t>固体废物全部得到妥善处置，无废水外排，噪声排放</w:t>
      </w:r>
      <w:r>
        <w:rPr>
          <w:rFonts w:hint="eastAsia"/>
          <w:sz w:val="24"/>
          <w:szCs w:val="24"/>
          <w:lang w:val="en-US" w:eastAsia="zh-CN"/>
        </w:rPr>
        <w:t>满足</w:t>
      </w:r>
      <w:r>
        <w:rPr>
          <w:sz w:val="24"/>
          <w:szCs w:val="24"/>
        </w:rPr>
        <w:t>《工业企业厂界环境噪声排放标准》（GB12348-2008）2类标准</w:t>
      </w:r>
      <w:r>
        <w:rPr>
          <w:rFonts w:hint="eastAsia"/>
          <w:bCs/>
          <w:sz w:val="24"/>
          <w:szCs w:val="24"/>
          <w:lang w:val="en-US" w:eastAsia="zh-CN"/>
        </w:rPr>
        <w:t>，</w:t>
      </w:r>
      <w:r>
        <w:rPr>
          <w:rFonts w:ascii="Times New Roman" w:hAnsi="Times New Roman" w:eastAsia="宋体" w:cs="Times New Roman"/>
          <w:sz w:val="24"/>
          <w:szCs w:val="24"/>
        </w:rPr>
        <w:t>有组织排放颗粒物</w:t>
      </w:r>
      <w:r>
        <w:rPr>
          <w:rFonts w:hint="eastAsia" w:ascii="Times New Roman" w:hAnsi="Times New Roman" w:eastAsia="宋体" w:cs="Times New Roman"/>
          <w:sz w:val="24"/>
          <w:szCs w:val="24"/>
          <w:lang w:val="en-US" w:eastAsia="zh-CN"/>
        </w:rPr>
        <w:t>满足</w:t>
      </w:r>
      <w:r>
        <w:rPr>
          <w:rFonts w:ascii="Times New Roman" w:hAnsi="Times New Roman" w:eastAsia="宋体" w:cs="Times New Roman"/>
          <w:sz w:val="24"/>
          <w:szCs w:val="24"/>
        </w:rPr>
        <w:t>《铁矿采选工业污染物排放标准》（GB28661-2012）中表6大气污染物特别排放限值，无组织排放颗粒物</w:t>
      </w:r>
      <w:r>
        <w:rPr>
          <w:rFonts w:hint="eastAsia" w:ascii="Times New Roman" w:hAnsi="Times New Roman" w:eastAsia="宋体" w:cs="Times New Roman"/>
          <w:sz w:val="24"/>
          <w:szCs w:val="24"/>
          <w:lang w:val="en-US" w:eastAsia="zh-CN"/>
        </w:rPr>
        <w:t>满足</w:t>
      </w:r>
      <w:r>
        <w:rPr>
          <w:rFonts w:ascii="Times New Roman" w:hAnsi="Times New Roman" w:eastAsia="宋体" w:cs="Times New Roman"/>
          <w:sz w:val="24"/>
          <w:szCs w:val="24"/>
        </w:rPr>
        <w:t>《铁矿采选工业污染物排放标准》（GB28661-2012）中</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表7现有和新建企业大气污染物无组织排放监控浓度限值</w:t>
      </w:r>
      <w:r>
        <w:rPr>
          <w:rFonts w:hint="eastAsia" w:ascii="Times New Roman" w:hAnsi="Times New Roman" w:eastAsia="宋体" w:cs="Times New Roman"/>
          <w:sz w:val="24"/>
          <w:szCs w:val="24"/>
          <w:lang w:eastAsia="zh-CN"/>
        </w:rPr>
        <w:t>”，</w:t>
      </w:r>
      <w:r>
        <w:rPr>
          <w:rFonts w:hint="eastAsia"/>
          <w:bCs/>
          <w:sz w:val="24"/>
          <w:szCs w:val="24"/>
          <w:lang w:val="en-US" w:eastAsia="zh-CN"/>
        </w:rPr>
        <w:t>不存在原有环境问题。</w:t>
      </w:r>
    </w:p>
    <w:p>
      <w:pPr>
        <w:pStyle w:val="6"/>
        <w:keepNext/>
        <w:keepLines/>
        <w:pageBreakBefore w:val="0"/>
        <w:widowControl w:val="0"/>
        <w:numPr>
          <w:ilvl w:val="0"/>
          <w:numId w:val="0"/>
        </w:numPr>
        <w:kinsoku/>
        <w:wordWrap/>
        <w:overflowPunct/>
        <w:topLinePunct w:val="0"/>
        <w:autoSpaceDE/>
        <w:autoSpaceDN/>
        <w:bidi w:val="0"/>
        <w:adjustRightInd/>
        <w:snapToGrid/>
        <w:spacing w:before="60" w:after="60"/>
        <w:ind w:leftChars="0"/>
        <w:textAlignment w:val="auto"/>
        <w:rPr>
          <w:szCs w:val="28"/>
          <w:highlight w:val="none"/>
        </w:rPr>
      </w:pPr>
      <w:r>
        <w:rPr>
          <w:rFonts w:hint="eastAsia"/>
          <w:szCs w:val="28"/>
          <w:highlight w:val="none"/>
          <w:lang w:val="en-US" w:eastAsia="zh-CN"/>
        </w:rPr>
        <w:t>3.1.9</w:t>
      </w:r>
      <w:r>
        <w:rPr>
          <w:rFonts w:hint="eastAsia"/>
          <w:szCs w:val="28"/>
          <w:highlight w:val="none"/>
          <w:lang w:eastAsia="zh-CN"/>
        </w:rPr>
        <w:t>现有工程总量控制指标</w:t>
      </w:r>
    </w:p>
    <w:p>
      <w:pPr>
        <w:rPr>
          <w:highlight w:val="none"/>
        </w:rPr>
      </w:pPr>
      <w:r>
        <w:rPr>
          <w:rFonts w:hint="eastAsia"/>
          <w:bCs/>
          <w:sz w:val="24"/>
          <w:szCs w:val="24"/>
          <w:highlight w:val="none"/>
          <w:lang w:eastAsia="zh-CN"/>
        </w:rPr>
        <w:t>根据原环评</w:t>
      </w:r>
      <w:r>
        <w:rPr>
          <w:rFonts w:hint="eastAsia"/>
          <w:bCs/>
          <w:sz w:val="24"/>
          <w:szCs w:val="24"/>
          <w:highlight w:val="none"/>
          <w:lang w:val="en-US" w:eastAsia="zh-CN"/>
        </w:rPr>
        <w:t>及批复</w:t>
      </w:r>
      <w:r>
        <w:rPr>
          <w:rFonts w:hint="eastAsia"/>
          <w:bCs/>
          <w:sz w:val="24"/>
          <w:szCs w:val="24"/>
          <w:highlight w:val="none"/>
          <w:lang w:eastAsia="zh-CN"/>
        </w:rPr>
        <w:t>文件可知，现有工程总量控制指标情况见表</w:t>
      </w:r>
      <w:r>
        <w:rPr>
          <w:rFonts w:hint="eastAsia"/>
          <w:bCs/>
          <w:sz w:val="24"/>
          <w:szCs w:val="24"/>
          <w:highlight w:val="none"/>
          <w:lang w:val="en-US" w:eastAsia="zh-CN"/>
        </w:rPr>
        <w:t>3.1-7</w:t>
      </w:r>
      <w:r>
        <w:rPr>
          <w:rFonts w:hint="eastAsia"/>
          <w:bCs/>
          <w:sz w:val="24"/>
          <w:szCs w:val="24"/>
          <w:highlight w:val="none"/>
        </w:rPr>
        <w:t>。</w:t>
      </w:r>
    </w:p>
    <w:p>
      <w:pPr>
        <w:ind w:firstLine="420"/>
        <w:jc w:val="center"/>
        <w:rPr>
          <w:rFonts w:eastAsia="黑体"/>
          <w:kern w:val="2"/>
          <w:sz w:val="21"/>
          <w:szCs w:val="21"/>
          <w:highlight w:val="none"/>
        </w:rPr>
      </w:pPr>
      <w:r>
        <w:rPr>
          <w:rFonts w:hint="eastAsia" w:eastAsia="黑体"/>
          <w:kern w:val="2"/>
          <w:sz w:val="21"/>
          <w:szCs w:val="21"/>
          <w:highlight w:val="none"/>
        </w:rPr>
        <w:t>表</w:t>
      </w:r>
      <w:r>
        <w:rPr>
          <w:rFonts w:eastAsia="黑体"/>
          <w:kern w:val="2"/>
          <w:sz w:val="21"/>
          <w:szCs w:val="21"/>
          <w:highlight w:val="none"/>
        </w:rPr>
        <w:t xml:space="preserve"> 3.</w:t>
      </w:r>
      <w:r>
        <w:rPr>
          <w:rFonts w:hint="eastAsia" w:eastAsia="黑体"/>
          <w:kern w:val="2"/>
          <w:sz w:val="21"/>
          <w:szCs w:val="21"/>
          <w:highlight w:val="none"/>
          <w:lang w:val="en-US" w:eastAsia="zh-CN"/>
        </w:rPr>
        <w:t>1</w:t>
      </w:r>
      <w:r>
        <w:rPr>
          <w:rFonts w:eastAsia="黑体"/>
          <w:kern w:val="2"/>
          <w:sz w:val="21"/>
          <w:szCs w:val="21"/>
          <w:highlight w:val="none"/>
        </w:rPr>
        <w:t>-</w:t>
      </w:r>
      <w:r>
        <w:rPr>
          <w:rFonts w:hint="eastAsia" w:eastAsia="黑体"/>
          <w:kern w:val="2"/>
          <w:sz w:val="21"/>
          <w:szCs w:val="21"/>
          <w:highlight w:val="none"/>
          <w:lang w:val="en-US" w:eastAsia="zh-CN"/>
        </w:rPr>
        <w:t xml:space="preserve">7 </w:t>
      </w:r>
      <w:r>
        <w:rPr>
          <w:rFonts w:eastAsia="黑体"/>
          <w:kern w:val="2"/>
          <w:sz w:val="21"/>
          <w:szCs w:val="21"/>
          <w:highlight w:val="none"/>
        </w:rPr>
        <w:t xml:space="preserve">  </w:t>
      </w:r>
      <w:r>
        <w:rPr>
          <w:rFonts w:hint="eastAsia" w:eastAsia="黑体"/>
          <w:kern w:val="2"/>
          <w:sz w:val="21"/>
          <w:szCs w:val="21"/>
          <w:highlight w:val="none"/>
          <w:lang w:eastAsia="zh-CN"/>
        </w:rPr>
        <w:t>现有工程</w:t>
      </w:r>
      <w:r>
        <w:rPr>
          <w:rFonts w:hint="eastAsia" w:eastAsia="黑体"/>
          <w:kern w:val="2"/>
          <w:sz w:val="21"/>
          <w:szCs w:val="21"/>
          <w:highlight w:val="none"/>
        </w:rPr>
        <w:t>总量控制指表</w:t>
      </w:r>
      <w:r>
        <w:rPr>
          <w:rFonts w:eastAsia="黑体"/>
          <w:kern w:val="2"/>
          <w:sz w:val="21"/>
          <w:szCs w:val="21"/>
          <w:highlight w:val="none"/>
        </w:rPr>
        <w:t xml:space="preserve"> </w:t>
      </w:r>
      <w:r>
        <w:rPr>
          <w:rFonts w:hint="eastAsia" w:eastAsia="黑体"/>
          <w:kern w:val="2"/>
          <w:sz w:val="21"/>
          <w:szCs w:val="21"/>
          <w:highlight w:val="none"/>
        </w:rPr>
        <w:t>单位</w:t>
      </w:r>
      <w:r>
        <w:rPr>
          <w:rFonts w:eastAsia="黑体"/>
          <w:kern w:val="2"/>
          <w:sz w:val="21"/>
          <w:szCs w:val="21"/>
          <w:highlight w:val="none"/>
        </w:rPr>
        <w:t xml:space="preserve"> t/a</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1705"/>
        <w:gridCol w:w="1696"/>
        <w:gridCol w:w="1366"/>
        <w:gridCol w:w="977"/>
        <w:gridCol w:w="10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tcPr>
          <w:p>
            <w:pPr>
              <w:spacing w:line="240" w:lineRule="auto"/>
              <w:ind w:firstLine="0" w:firstLineChars="0"/>
              <w:jc w:val="center"/>
              <w:rPr>
                <w:bCs/>
                <w:sz w:val="21"/>
                <w:szCs w:val="21"/>
                <w:highlight w:val="none"/>
              </w:rPr>
            </w:pPr>
            <w:r>
              <w:rPr>
                <w:rFonts w:hint="eastAsia"/>
                <w:bCs/>
                <w:sz w:val="21"/>
                <w:szCs w:val="21"/>
                <w:highlight w:val="none"/>
              </w:rPr>
              <w:t>项目</w:t>
            </w:r>
          </w:p>
        </w:tc>
        <w:tc>
          <w:tcPr>
            <w:tcW w:w="3488" w:type="dxa"/>
            <w:gridSpan w:val="2"/>
          </w:tcPr>
          <w:p>
            <w:pPr>
              <w:spacing w:line="240" w:lineRule="auto"/>
              <w:ind w:firstLine="420"/>
              <w:jc w:val="both"/>
              <w:rPr>
                <w:bCs/>
                <w:sz w:val="21"/>
                <w:szCs w:val="21"/>
                <w:highlight w:val="none"/>
              </w:rPr>
            </w:pPr>
            <w:r>
              <w:rPr>
                <w:rFonts w:hint="eastAsia"/>
                <w:bCs/>
                <w:sz w:val="21"/>
                <w:szCs w:val="21"/>
                <w:highlight w:val="none"/>
              </w:rPr>
              <w:t>废水污染物</w:t>
            </w:r>
          </w:p>
        </w:tc>
        <w:tc>
          <w:tcPr>
            <w:tcW w:w="3489" w:type="dxa"/>
            <w:gridSpan w:val="3"/>
          </w:tcPr>
          <w:p>
            <w:pPr>
              <w:spacing w:line="240" w:lineRule="auto"/>
              <w:ind w:firstLine="420"/>
              <w:jc w:val="both"/>
              <w:rPr>
                <w:bCs/>
                <w:sz w:val="21"/>
                <w:szCs w:val="21"/>
                <w:highlight w:val="none"/>
              </w:rPr>
            </w:pPr>
            <w:r>
              <w:rPr>
                <w:rFonts w:hint="eastAsia"/>
                <w:bCs/>
                <w:sz w:val="21"/>
                <w:szCs w:val="21"/>
                <w:highlight w:val="none"/>
              </w:rPr>
              <w:t>大气污染物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restart"/>
            <w:vAlign w:val="center"/>
          </w:tcPr>
          <w:p>
            <w:pPr>
              <w:spacing w:line="240" w:lineRule="auto"/>
              <w:ind w:firstLine="0" w:firstLineChars="0"/>
              <w:jc w:val="center"/>
              <w:rPr>
                <w:bCs/>
                <w:sz w:val="21"/>
                <w:szCs w:val="21"/>
                <w:highlight w:val="none"/>
              </w:rPr>
            </w:pPr>
            <w:r>
              <w:rPr>
                <w:rFonts w:hint="eastAsia"/>
                <w:bCs/>
                <w:sz w:val="21"/>
                <w:szCs w:val="21"/>
                <w:highlight w:val="none"/>
              </w:rPr>
              <w:t>总量控制指标</w:t>
            </w:r>
          </w:p>
        </w:tc>
        <w:tc>
          <w:tcPr>
            <w:tcW w:w="1744" w:type="dxa"/>
          </w:tcPr>
          <w:p>
            <w:pPr>
              <w:spacing w:line="240" w:lineRule="auto"/>
              <w:ind w:firstLine="0" w:firstLineChars="0"/>
              <w:jc w:val="center"/>
              <w:rPr>
                <w:bCs/>
                <w:sz w:val="21"/>
                <w:szCs w:val="21"/>
                <w:highlight w:val="none"/>
              </w:rPr>
            </w:pPr>
            <w:r>
              <w:rPr>
                <w:bCs/>
                <w:sz w:val="21"/>
                <w:szCs w:val="21"/>
                <w:highlight w:val="none"/>
              </w:rPr>
              <w:t>COD</w:t>
            </w:r>
          </w:p>
        </w:tc>
        <w:tc>
          <w:tcPr>
            <w:tcW w:w="1744" w:type="dxa"/>
          </w:tcPr>
          <w:p>
            <w:pPr>
              <w:spacing w:line="240" w:lineRule="auto"/>
              <w:ind w:firstLine="0" w:firstLineChars="0"/>
              <w:jc w:val="center"/>
              <w:rPr>
                <w:bCs/>
                <w:sz w:val="21"/>
                <w:szCs w:val="21"/>
                <w:highlight w:val="none"/>
              </w:rPr>
            </w:pPr>
            <w:r>
              <w:rPr>
                <w:rFonts w:hint="eastAsia"/>
                <w:bCs/>
                <w:sz w:val="21"/>
                <w:szCs w:val="21"/>
                <w:highlight w:val="none"/>
              </w:rPr>
              <w:t>氨氮</w:t>
            </w:r>
          </w:p>
        </w:tc>
        <w:tc>
          <w:tcPr>
            <w:tcW w:w="1397" w:type="dxa"/>
          </w:tcPr>
          <w:p>
            <w:pPr>
              <w:spacing w:line="240" w:lineRule="auto"/>
              <w:ind w:firstLine="0" w:firstLineChars="0"/>
              <w:jc w:val="center"/>
              <w:rPr>
                <w:bCs/>
                <w:sz w:val="21"/>
                <w:szCs w:val="21"/>
                <w:highlight w:val="none"/>
              </w:rPr>
            </w:pPr>
            <w:r>
              <w:rPr>
                <w:bCs/>
                <w:sz w:val="21"/>
                <w:szCs w:val="21"/>
                <w:highlight w:val="none"/>
              </w:rPr>
              <w:t>SO</w:t>
            </w:r>
            <w:r>
              <w:rPr>
                <w:bCs/>
                <w:sz w:val="21"/>
                <w:szCs w:val="21"/>
                <w:highlight w:val="none"/>
                <w:vertAlign w:val="subscript"/>
              </w:rPr>
              <w:t>2</w:t>
            </w:r>
          </w:p>
        </w:tc>
        <w:tc>
          <w:tcPr>
            <w:tcW w:w="992" w:type="dxa"/>
          </w:tcPr>
          <w:p>
            <w:pPr>
              <w:spacing w:line="240" w:lineRule="auto"/>
              <w:ind w:firstLine="0" w:firstLineChars="0"/>
              <w:jc w:val="center"/>
              <w:rPr>
                <w:bCs/>
                <w:sz w:val="21"/>
                <w:szCs w:val="21"/>
                <w:highlight w:val="none"/>
              </w:rPr>
            </w:pPr>
            <w:r>
              <w:rPr>
                <w:bCs/>
                <w:sz w:val="21"/>
                <w:szCs w:val="21"/>
                <w:highlight w:val="none"/>
              </w:rPr>
              <w:t>NO</w:t>
            </w:r>
            <w:r>
              <w:rPr>
                <w:bCs/>
                <w:sz w:val="21"/>
                <w:szCs w:val="21"/>
                <w:highlight w:val="none"/>
                <w:vertAlign w:val="subscript"/>
              </w:rPr>
              <w:t>x</w:t>
            </w:r>
          </w:p>
        </w:tc>
        <w:tc>
          <w:tcPr>
            <w:tcW w:w="1100" w:type="dxa"/>
          </w:tcPr>
          <w:p>
            <w:pPr>
              <w:spacing w:line="240" w:lineRule="auto"/>
              <w:ind w:firstLine="0" w:firstLineChars="0"/>
              <w:jc w:val="center"/>
              <w:rPr>
                <w:bCs/>
                <w:sz w:val="21"/>
                <w:szCs w:val="21"/>
                <w:highlight w:val="none"/>
              </w:rPr>
            </w:pPr>
            <w:r>
              <w:rPr>
                <w:rFonts w:hint="eastAsia"/>
                <w:bCs/>
                <w:sz w:val="21"/>
                <w:szCs w:val="21"/>
                <w:highlight w:val="none"/>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0" w:firstLineChars="0"/>
              <w:jc w:val="center"/>
              <w:rPr>
                <w:bCs/>
                <w:sz w:val="21"/>
                <w:szCs w:val="21"/>
                <w:highlight w:val="none"/>
              </w:rPr>
            </w:pPr>
          </w:p>
        </w:tc>
        <w:tc>
          <w:tcPr>
            <w:tcW w:w="1744" w:type="dxa"/>
          </w:tcPr>
          <w:p>
            <w:pPr>
              <w:spacing w:line="240" w:lineRule="auto"/>
              <w:ind w:firstLine="0" w:firstLineChars="0"/>
              <w:jc w:val="center"/>
              <w:rPr>
                <w:bCs/>
                <w:sz w:val="21"/>
                <w:szCs w:val="21"/>
                <w:highlight w:val="none"/>
              </w:rPr>
            </w:pPr>
            <w:r>
              <w:rPr>
                <w:bCs/>
                <w:sz w:val="21"/>
                <w:szCs w:val="21"/>
                <w:highlight w:val="none"/>
              </w:rPr>
              <w:t>0</w:t>
            </w:r>
          </w:p>
        </w:tc>
        <w:tc>
          <w:tcPr>
            <w:tcW w:w="1744" w:type="dxa"/>
          </w:tcPr>
          <w:p>
            <w:pPr>
              <w:spacing w:line="240" w:lineRule="auto"/>
              <w:ind w:firstLine="0" w:firstLineChars="0"/>
              <w:jc w:val="center"/>
              <w:rPr>
                <w:bCs/>
                <w:sz w:val="21"/>
                <w:szCs w:val="21"/>
                <w:highlight w:val="none"/>
              </w:rPr>
            </w:pPr>
            <w:r>
              <w:rPr>
                <w:bCs/>
                <w:sz w:val="21"/>
                <w:szCs w:val="21"/>
                <w:highlight w:val="none"/>
              </w:rPr>
              <w:t>0</w:t>
            </w:r>
          </w:p>
        </w:tc>
        <w:tc>
          <w:tcPr>
            <w:tcW w:w="1397" w:type="dxa"/>
          </w:tcPr>
          <w:p>
            <w:pPr>
              <w:spacing w:line="240" w:lineRule="auto"/>
              <w:ind w:firstLine="0" w:firstLineChars="0"/>
              <w:jc w:val="center"/>
              <w:rPr>
                <w:bCs/>
                <w:sz w:val="21"/>
                <w:szCs w:val="21"/>
                <w:highlight w:val="none"/>
              </w:rPr>
            </w:pPr>
            <w:r>
              <w:rPr>
                <w:bCs/>
                <w:sz w:val="21"/>
                <w:szCs w:val="21"/>
                <w:highlight w:val="none"/>
              </w:rPr>
              <w:t>0</w:t>
            </w:r>
          </w:p>
        </w:tc>
        <w:tc>
          <w:tcPr>
            <w:tcW w:w="992" w:type="dxa"/>
          </w:tcPr>
          <w:p>
            <w:pPr>
              <w:spacing w:line="240" w:lineRule="auto"/>
              <w:ind w:firstLine="0" w:firstLineChars="0"/>
              <w:jc w:val="center"/>
              <w:rPr>
                <w:bCs/>
                <w:sz w:val="21"/>
                <w:szCs w:val="21"/>
                <w:highlight w:val="none"/>
              </w:rPr>
            </w:pPr>
            <w:r>
              <w:rPr>
                <w:bCs/>
                <w:sz w:val="21"/>
                <w:szCs w:val="21"/>
                <w:highlight w:val="none"/>
              </w:rPr>
              <w:t>0</w:t>
            </w:r>
          </w:p>
        </w:tc>
        <w:tc>
          <w:tcPr>
            <w:tcW w:w="1100" w:type="dxa"/>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2.88</w:t>
            </w:r>
          </w:p>
        </w:tc>
      </w:tr>
    </w:tbl>
    <w:p>
      <w:pPr>
        <w:pStyle w:val="5"/>
        <w:keepNext/>
        <w:keepLines w:val="0"/>
        <w:pageBreakBefore w:val="0"/>
        <w:widowControl/>
        <w:numPr>
          <w:ilvl w:val="1"/>
          <w:numId w:val="1"/>
        </w:numPr>
        <w:tabs>
          <w:tab w:val="left" w:pos="482"/>
        </w:tabs>
        <w:kinsoku/>
        <w:wordWrap/>
        <w:overflowPunct/>
        <w:topLinePunct w:val="0"/>
        <w:autoSpaceDE/>
        <w:autoSpaceDN/>
        <w:bidi w:val="0"/>
        <w:adjustRightInd/>
        <w:snapToGrid/>
        <w:spacing w:before="157" w:beforeLines="50" w:after="0" w:line="360" w:lineRule="auto"/>
        <w:ind w:left="567" w:hanging="567"/>
        <w:textAlignment w:val="auto"/>
        <w:rPr>
          <w:rFonts w:ascii="Times New Roman" w:hAnsi="Times New Roman" w:eastAsia="宋体"/>
          <w:bCs w:val="0"/>
          <w:snapToGrid w:val="0"/>
          <w:kern w:val="0"/>
          <w:sz w:val="28"/>
          <w:szCs w:val="28"/>
        </w:rPr>
      </w:pPr>
      <w:bookmarkStart w:id="269" w:name="_Toc6198"/>
      <w:bookmarkStart w:id="270" w:name="_Toc28673"/>
      <w:bookmarkStart w:id="271" w:name="_Toc536557288"/>
      <w:bookmarkStart w:id="272" w:name="_Toc17143"/>
      <w:bookmarkStart w:id="273" w:name="_Toc521591763"/>
      <w:bookmarkStart w:id="274" w:name="_Toc524284666"/>
      <w:r>
        <w:rPr>
          <w:rFonts w:hint="eastAsia" w:ascii="Times New Roman" w:hAnsi="Times New Roman" w:eastAsia="宋体"/>
          <w:bCs w:val="0"/>
          <w:snapToGrid w:val="0"/>
          <w:kern w:val="0"/>
          <w:sz w:val="28"/>
          <w:szCs w:val="28"/>
          <w:lang w:val="en-US" w:eastAsia="zh-CN"/>
        </w:rPr>
        <w:t>改扩建工程</w:t>
      </w:r>
      <w:r>
        <w:rPr>
          <w:rFonts w:ascii="Times New Roman" w:hAnsi="Times New Roman" w:eastAsia="宋体"/>
          <w:bCs w:val="0"/>
          <w:snapToGrid w:val="0"/>
          <w:kern w:val="0"/>
          <w:sz w:val="28"/>
          <w:szCs w:val="28"/>
        </w:rPr>
        <w:t>概况</w:t>
      </w:r>
    </w:p>
    <w:p>
      <w:pPr>
        <w:pStyle w:val="6"/>
        <w:numPr>
          <w:ilvl w:val="2"/>
          <w:numId w:val="1"/>
        </w:numPr>
        <w:spacing w:before="0" w:after="0"/>
        <w:ind w:left="567"/>
        <w:rPr>
          <w:rFonts w:ascii="Times New Roman" w:hAnsi="Times New Roman" w:eastAsia="宋体" w:cs="Times New Roman"/>
          <w:szCs w:val="28"/>
          <w:highlight w:val="none"/>
        </w:rPr>
      </w:pPr>
      <w:r>
        <w:rPr>
          <w:rFonts w:hint="eastAsia" w:ascii="Times New Roman" w:hAnsi="Times New Roman" w:eastAsia="宋体" w:cs="Times New Roman"/>
          <w:szCs w:val="28"/>
          <w:highlight w:val="none"/>
          <w:lang w:val="en-US" w:eastAsia="zh-CN"/>
        </w:rPr>
        <w:t>基本情况</w:t>
      </w:r>
    </w:p>
    <w:p>
      <w:pPr>
        <w:ind w:firstLine="480"/>
        <w:jc w:val="both"/>
        <w:rPr>
          <w:sz w:val="24"/>
          <w:szCs w:val="24"/>
        </w:rPr>
      </w:pPr>
      <w:r>
        <w:rPr>
          <w:bCs/>
          <w:sz w:val="24"/>
          <w:szCs w:val="24"/>
        </w:rPr>
        <w:t>（1）项目名称：</w:t>
      </w:r>
      <w:r>
        <w:rPr>
          <w:rFonts w:hint="eastAsia"/>
          <w:sz w:val="24"/>
          <w:szCs w:val="24"/>
          <w:highlight w:val="none"/>
        </w:rPr>
        <w:t>遵化市恒泰矿业有限公司年处理60万吨铁矿石、30万吨粗精矿改扩建项目</w:t>
      </w:r>
    </w:p>
    <w:p>
      <w:pPr>
        <w:ind w:firstLine="480"/>
        <w:jc w:val="both"/>
        <w:rPr>
          <w:bCs/>
          <w:sz w:val="24"/>
          <w:szCs w:val="24"/>
        </w:rPr>
      </w:pPr>
      <w:r>
        <w:rPr>
          <w:bCs/>
          <w:sz w:val="24"/>
          <w:szCs w:val="24"/>
        </w:rPr>
        <w:t>（2）建设性质：</w:t>
      </w:r>
      <w:r>
        <w:rPr>
          <w:rFonts w:hint="eastAsia"/>
          <w:bCs/>
          <w:sz w:val="24"/>
          <w:szCs w:val="24"/>
          <w:lang w:val="en-US" w:eastAsia="zh-CN"/>
        </w:rPr>
        <w:t>改扩</w:t>
      </w:r>
      <w:r>
        <w:rPr>
          <w:bCs/>
          <w:sz w:val="24"/>
          <w:szCs w:val="24"/>
        </w:rPr>
        <w:t>建</w:t>
      </w:r>
    </w:p>
    <w:p>
      <w:pPr>
        <w:ind w:firstLine="480"/>
        <w:jc w:val="both"/>
        <w:rPr>
          <w:bCs/>
          <w:sz w:val="24"/>
          <w:szCs w:val="24"/>
        </w:rPr>
      </w:pPr>
      <w:r>
        <w:rPr>
          <w:bCs/>
          <w:sz w:val="24"/>
          <w:szCs w:val="24"/>
        </w:rPr>
        <w:t>（3）建设单位：</w:t>
      </w:r>
      <w:r>
        <w:rPr>
          <w:rFonts w:hint="eastAsia"/>
          <w:sz w:val="24"/>
          <w:szCs w:val="24"/>
          <w:highlight w:val="none"/>
        </w:rPr>
        <w:t>遵化市恒泰矿业有限公司</w:t>
      </w:r>
    </w:p>
    <w:p>
      <w:pPr>
        <w:ind w:firstLine="480"/>
        <w:jc w:val="both"/>
        <w:rPr>
          <w:bCs/>
          <w:sz w:val="24"/>
          <w:szCs w:val="24"/>
        </w:rPr>
      </w:pPr>
      <w:r>
        <w:rPr>
          <w:bCs/>
          <w:sz w:val="24"/>
          <w:szCs w:val="24"/>
        </w:rPr>
        <w:t>（4）建设地点：</w:t>
      </w:r>
      <w:r>
        <w:rPr>
          <w:rFonts w:hint="eastAsia"/>
          <w:bCs/>
          <w:sz w:val="24"/>
          <w:szCs w:val="24"/>
          <w:lang w:val="en-US" w:eastAsia="zh-CN"/>
        </w:rPr>
        <w:t>位于</w:t>
      </w:r>
      <w:r>
        <w:rPr>
          <w:rFonts w:hint="eastAsia"/>
          <w:sz w:val="24"/>
          <w:szCs w:val="24"/>
          <w:highlight w:val="none"/>
        </w:rPr>
        <w:t>遵化市恒泰矿业有限公司</w:t>
      </w:r>
      <w:r>
        <w:rPr>
          <w:rFonts w:hint="eastAsia"/>
          <w:bCs/>
          <w:sz w:val="24"/>
          <w:szCs w:val="24"/>
          <w:lang w:val="en-US" w:eastAsia="zh-CN"/>
        </w:rPr>
        <w:t>现有南厂区内</w:t>
      </w:r>
      <w:r>
        <w:rPr>
          <w:bCs/>
          <w:sz w:val="24"/>
          <w:szCs w:val="24"/>
        </w:rPr>
        <w:t>，</w:t>
      </w:r>
      <w:r>
        <w:rPr>
          <w:rFonts w:hint="eastAsia"/>
          <w:bCs/>
          <w:sz w:val="24"/>
          <w:szCs w:val="24"/>
        </w:rPr>
        <w:t>南厂区</w:t>
      </w:r>
      <w:r>
        <w:rPr>
          <w:bCs/>
          <w:sz w:val="24"/>
          <w:szCs w:val="24"/>
        </w:rPr>
        <w:t>中心地理位置坐标为：东经：</w:t>
      </w:r>
      <w:r>
        <w:rPr>
          <w:rFonts w:hint="eastAsia"/>
          <w:bCs/>
          <w:sz w:val="24"/>
          <w:szCs w:val="24"/>
        </w:rPr>
        <w:t>117.806026°</w:t>
      </w:r>
      <w:r>
        <w:rPr>
          <w:bCs/>
          <w:sz w:val="24"/>
          <w:szCs w:val="24"/>
        </w:rPr>
        <w:t>，北纬：</w:t>
      </w:r>
      <w:r>
        <w:rPr>
          <w:rFonts w:hint="eastAsia"/>
          <w:bCs/>
          <w:sz w:val="24"/>
          <w:szCs w:val="24"/>
        </w:rPr>
        <w:t>40.140089°</w:t>
      </w:r>
      <w:r>
        <w:rPr>
          <w:bCs/>
          <w:sz w:val="24"/>
          <w:szCs w:val="24"/>
        </w:rPr>
        <w:t>。</w:t>
      </w:r>
    </w:p>
    <w:p>
      <w:pPr>
        <w:ind w:firstLine="480"/>
        <w:jc w:val="both"/>
        <w:rPr>
          <w:bCs/>
          <w:sz w:val="24"/>
          <w:szCs w:val="24"/>
        </w:rPr>
      </w:pPr>
      <w:r>
        <w:rPr>
          <w:bCs/>
          <w:sz w:val="24"/>
          <w:szCs w:val="24"/>
        </w:rPr>
        <w:t>（5）周边关系：</w:t>
      </w:r>
      <w:r>
        <w:rPr>
          <w:rFonts w:hint="eastAsia"/>
          <w:sz w:val="24"/>
          <w:szCs w:val="24"/>
        </w:rPr>
        <w:t>南厂区北侧</w:t>
      </w:r>
      <w:r>
        <w:rPr>
          <w:rFonts w:hint="eastAsia"/>
          <w:sz w:val="24"/>
          <w:szCs w:val="24"/>
          <w:lang w:val="en-US" w:eastAsia="zh-CN"/>
        </w:rPr>
        <w:t>为</w:t>
      </w:r>
      <w:r>
        <w:rPr>
          <w:rFonts w:hint="eastAsia"/>
          <w:sz w:val="24"/>
          <w:szCs w:val="24"/>
        </w:rPr>
        <w:t>选矿</w:t>
      </w:r>
      <w:r>
        <w:rPr>
          <w:rFonts w:hint="eastAsia"/>
          <w:sz w:val="24"/>
          <w:szCs w:val="24"/>
          <w:lang w:val="en-US" w:eastAsia="zh-CN"/>
        </w:rPr>
        <w:t>厂</w:t>
      </w:r>
      <w:r>
        <w:rPr>
          <w:rFonts w:hint="eastAsia"/>
          <w:sz w:val="24"/>
          <w:szCs w:val="24"/>
        </w:rPr>
        <w:t>，</w:t>
      </w:r>
      <w:r>
        <w:rPr>
          <w:rFonts w:hint="eastAsia"/>
          <w:sz w:val="24"/>
          <w:szCs w:val="24"/>
          <w:lang w:val="en-US" w:eastAsia="zh-CN"/>
        </w:rPr>
        <w:t>其余三</w:t>
      </w:r>
      <w:r>
        <w:rPr>
          <w:sz w:val="24"/>
          <w:szCs w:val="24"/>
        </w:rPr>
        <w:t>侧为农田</w:t>
      </w:r>
      <w:r>
        <w:rPr>
          <w:rFonts w:hint="eastAsia"/>
          <w:sz w:val="24"/>
          <w:szCs w:val="24"/>
        </w:rPr>
        <w:t>，</w:t>
      </w:r>
      <w:r>
        <w:rPr>
          <w:rFonts w:hint="eastAsia"/>
          <w:color w:val="000000"/>
          <w:sz w:val="24"/>
          <w:szCs w:val="24"/>
        </w:rPr>
        <w:t>距离本项目最近的敏感点为项目南侧68</w:t>
      </w:r>
      <w:r>
        <w:rPr>
          <w:color w:val="000000"/>
          <w:sz w:val="24"/>
          <w:szCs w:val="24"/>
        </w:rPr>
        <w:t>0m</w:t>
      </w:r>
      <w:r>
        <w:rPr>
          <w:rFonts w:hint="eastAsia"/>
          <w:color w:val="000000"/>
          <w:sz w:val="24"/>
          <w:szCs w:val="24"/>
        </w:rPr>
        <w:t>的贾庄子村。本项目不在遵化市堡子店水源地准保护区范围内，东侧厂界距离准保护区边界约</w:t>
      </w:r>
      <w:r>
        <w:rPr>
          <w:color w:val="000000"/>
          <w:sz w:val="24"/>
          <w:szCs w:val="24"/>
        </w:rPr>
        <w:t>3</w:t>
      </w:r>
      <w:r>
        <w:rPr>
          <w:rFonts w:hint="eastAsia"/>
          <w:color w:val="000000"/>
          <w:sz w:val="24"/>
          <w:szCs w:val="24"/>
        </w:rPr>
        <w:t>.2</w:t>
      </w:r>
      <w:r>
        <w:rPr>
          <w:color w:val="000000"/>
          <w:sz w:val="24"/>
          <w:szCs w:val="24"/>
        </w:rPr>
        <w:t>k</w:t>
      </w:r>
      <w:r>
        <w:rPr>
          <w:rFonts w:hint="eastAsia"/>
          <w:color w:val="000000"/>
          <w:sz w:val="24"/>
          <w:szCs w:val="24"/>
        </w:rPr>
        <w:t>m</w:t>
      </w:r>
      <w:r>
        <w:rPr>
          <w:sz w:val="24"/>
          <w:szCs w:val="24"/>
        </w:rPr>
        <w:t>。</w:t>
      </w:r>
    </w:p>
    <w:p>
      <w:pPr>
        <w:snapToGrid w:val="0"/>
        <w:ind w:firstLine="480"/>
        <w:jc w:val="both"/>
        <w:rPr>
          <w:sz w:val="24"/>
          <w:szCs w:val="24"/>
          <w:highlight w:val="none"/>
        </w:rPr>
      </w:pPr>
      <w:r>
        <w:rPr>
          <w:bCs/>
          <w:sz w:val="24"/>
          <w:szCs w:val="24"/>
        </w:rPr>
        <w:t>（</w:t>
      </w:r>
      <w:r>
        <w:rPr>
          <w:rFonts w:hint="eastAsia"/>
          <w:bCs/>
          <w:sz w:val="24"/>
          <w:szCs w:val="24"/>
          <w:lang w:val="en-US" w:eastAsia="zh-CN"/>
        </w:rPr>
        <w:t>6</w:t>
      </w:r>
      <w:r>
        <w:rPr>
          <w:bCs/>
          <w:sz w:val="24"/>
          <w:szCs w:val="24"/>
        </w:rPr>
        <w:t>）建设内容及规模：</w:t>
      </w:r>
      <w:r>
        <w:rPr>
          <w:rFonts w:hint="eastAsia"/>
          <w:sz w:val="24"/>
          <w:szCs w:val="24"/>
          <w:highlight w:val="none"/>
          <w:lang w:val="en-US" w:eastAsia="zh-CN"/>
        </w:rPr>
        <w:t>主要新增南厂区的破碎生产能力，将原有年30万吨破碎生产能力提升至年60万吨，建设完成后南厂区年产粗精矿30万吨，全部作为北厂区精选生产线原料使用，本项目主要新增1套破碎设备，</w:t>
      </w:r>
      <w:r>
        <w:rPr>
          <w:rFonts w:hint="eastAsia"/>
          <w:sz w:val="24"/>
          <w:szCs w:val="24"/>
          <w:highlight w:val="none"/>
        </w:rPr>
        <w:t>主要建设</w:t>
      </w:r>
      <w:r>
        <w:rPr>
          <w:sz w:val="24"/>
          <w:szCs w:val="24"/>
          <w:highlight w:val="none"/>
        </w:rPr>
        <w:t>破碎车间、</w:t>
      </w:r>
      <w:r>
        <w:rPr>
          <w:rFonts w:hint="eastAsia"/>
          <w:sz w:val="24"/>
          <w:szCs w:val="24"/>
          <w:highlight w:val="none"/>
          <w:lang w:val="en-US" w:eastAsia="zh-CN"/>
        </w:rPr>
        <w:t>原料棚</w:t>
      </w:r>
      <w:r>
        <w:rPr>
          <w:sz w:val="24"/>
          <w:szCs w:val="24"/>
          <w:highlight w:val="none"/>
        </w:rPr>
        <w:t>、成品库</w:t>
      </w:r>
      <w:r>
        <w:rPr>
          <w:rFonts w:hint="eastAsia"/>
          <w:sz w:val="24"/>
          <w:szCs w:val="24"/>
          <w:highlight w:val="none"/>
          <w:lang w:val="en-US" w:eastAsia="zh-CN"/>
        </w:rPr>
        <w:t>等</w:t>
      </w:r>
      <w:r>
        <w:rPr>
          <w:sz w:val="24"/>
          <w:szCs w:val="24"/>
          <w:highlight w:val="none"/>
        </w:rPr>
        <w:t>相关配套公辅设施</w:t>
      </w:r>
      <w:r>
        <w:rPr>
          <w:rFonts w:hint="eastAsia"/>
          <w:sz w:val="24"/>
          <w:szCs w:val="24"/>
          <w:highlight w:val="none"/>
          <w:lang w:eastAsia="zh-CN"/>
        </w:rPr>
        <w:t>，</w:t>
      </w:r>
      <w:r>
        <w:rPr>
          <w:rFonts w:hint="eastAsia"/>
          <w:sz w:val="24"/>
          <w:szCs w:val="24"/>
          <w:highlight w:val="none"/>
          <w:lang w:val="en-US" w:eastAsia="zh-CN"/>
        </w:rPr>
        <w:t>北厂区维持现状不变，项目建设完成后全厂</w:t>
      </w:r>
      <w:r>
        <w:rPr>
          <w:rFonts w:hint="eastAsia"/>
          <w:sz w:val="24"/>
          <w:szCs w:val="24"/>
          <w:highlight w:val="none"/>
        </w:rPr>
        <w:t>年处理60万吨铁矿石、30万吨粗</w:t>
      </w:r>
      <w:r>
        <w:rPr>
          <w:rFonts w:hint="eastAsia"/>
          <w:sz w:val="24"/>
          <w:szCs w:val="24"/>
          <w:highlight w:val="none"/>
          <w:lang w:eastAsia="zh-CN"/>
        </w:rPr>
        <w:t>，</w:t>
      </w:r>
      <w:r>
        <w:rPr>
          <w:rFonts w:hint="eastAsia"/>
          <w:sz w:val="24"/>
          <w:szCs w:val="24"/>
          <w:highlight w:val="none"/>
          <w:lang w:val="en-US" w:eastAsia="zh-CN"/>
        </w:rPr>
        <w:t>全厂保持年产品位66%铁精粉25万吨的生产能力不变</w:t>
      </w:r>
      <w:r>
        <w:rPr>
          <w:rFonts w:hint="eastAsia"/>
          <w:sz w:val="24"/>
          <w:szCs w:val="24"/>
          <w:highlight w:val="none"/>
        </w:rPr>
        <w:t>。</w:t>
      </w:r>
    </w:p>
    <w:p>
      <w:pPr>
        <w:ind w:firstLine="480"/>
        <w:jc w:val="both"/>
        <w:rPr>
          <w:bCs/>
          <w:sz w:val="24"/>
          <w:szCs w:val="24"/>
        </w:rPr>
      </w:pPr>
      <w:r>
        <w:rPr>
          <w:bCs/>
          <w:sz w:val="24"/>
          <w:szCs w:val="24"/>
        </w:rPr>
        <w:t>（</w:t>
      </w:r>
      <w:r>
        <w:rPr>
          <w:rFonts w:hint="eastAsia"/>
          <w:bCs/>
          <w:sz w:val="24"/>
          <w:szCs w:val="24"/>
          <w:lang w:val="en-US" w:eastAsia="zh-CN"/>
        </w:rPr>
        <w:t>7</w:t>
      </w:r>
      <w:r>
        <w:rPr>
          <w:bCs/>
          <w:sz w:val="24"/>
          <w:szCs w:val="24"/>
        </w:rPr>
        <w:t>）</w:t>
      </w:r>
      <w:r>
        <w:rPr>
          <w:sz w:val="24"/>
          <w:szCs w:val="24"/>
        </w:rPr>
        <w:t>项目投资：本项目总投资为</w:t>
      </w:r>
      <w:r>
        <w:rPr>
          <w:rFonts w:hint="eastAsia"/>
          <w:sz w:val="24"/>
          <w:szCs w:val="24"/>
          <w:lang w:val="en-US" w:eastAsia="zh-CN"/>
        </w:rPr>
        <w:t>28</w:t>
      </w:r>
      <w:r>
        <w:rPr>
          <w:sz w:val="24"/>
          <w:szCs w:val="24"/>
        </w:rPr>
        <w:t>00万元，其中环保投资估算</w:t>
      </w:r>
      <w:r>
        <w:rPr>
          <w:rFonts w:hint="eastAsia"/>
          <w:sz w:val="24"/>
          <w:szCs w:val="24"/>
          <w:lang w:val="en-US" w:eastAsia="zh-CN"/>
        </w:rPr>
        <w:t>70</w:t>
      </w:r>
      <w:r>
        <w:rPr>
          <w:sz w:val="24"/>
          <w:szCs w:val="24"/>
        </w:rPr>
        <w:t>万元，占总投资的比例为</w:t>
      </w:r>
      <w:r>
        <w:rPr>
          <w:rFonts w:hint="eastAsia"/>
          <w:sz w:val="24"/>
          <w:szCs w:val="24"/>
          <w:lang w:val="en-US" w:eastAsia="zh-CN"/>
        </w:rPr>
        <w:t>2.5</w:t>
      </w:r>
      <w:r>
        <w:rPr>
          <w:sz w:val="24"/>
          <w:szCs w:val="24"/>
        </w:rPr>
        <w:t>%。</w:t>
      </w:r>
    </w:p>
    <w:p>
      <w:pPr>
        <w:ind w:firstLine="480"/>
        <w:jc w:val="both"/>
        <w:rPr>
          <w:bCs/>
          <w:sz w:val="24"/>
          <w:szCs w:val="24"/>
          <w:highlight w:val="none"/>
        </w:rPr>
      </w:pPr>
      <w:r>
        <w:rPr>
          <w:bCs/>
          <w:sz w:val="24"/>
          <w:szCs w:val="24"/>
        </w:rPr>
        <w:t>（</w:t>
      </w:r>
      <w:r>
        <w:rPr>
          <w:rFonts w:hint="eastAsia"/>
          <w:bCs/>
          <w:sz w:val="24"/>
          <w:szCs w:val="24"/>
          <w:lang w:val="en-US" w:eastAsia="zh-CN"/>
        </w:rPr>
        <w:t>8</w:t>
      </w:r>
      <w:r>
        <w:rPr>
          <w:bCs/>
          <w:sz w:val="24"/>
          <w:szCs w:val="24"/>
        </w:rPr>
        <w:t>）建设周期：20</w:t>
      </w:r>
      <w:r>
        <w:rPr>
          <w:rFonts w:hint="eastAsia"/>
          <w:bCs/>
          <w:sz w:val="24"/>
          <w:szCs w:val="24"/>
          <w:lang w:val="en-US" w:eastAsia="zh-CN"/>
        </w:rPr>
        <w:t>23</w:t>
      </w:r>
      <w:r>
        <w:rPr>
          <w:bCs/>
          <w:sz w:val="24"/>
          <w:szCs w:val="24"/>
        </w:rPr>
        <w:t>年9月-202</w:t>
      </w:r>
      <w:r>
        <w:rPr>
          <w:rFonts w:hint="eastAsia"/>
          <w:bCs/>
          <w:sz w:val="24"/>
          <w:szCs w:val="24"/>
          <w:lang w:val="en-US" w:eastAsia="zh-CN"/>
        </w:rPr>
        <w:t>4</w:t>
      </w:r>
      <w:r>
        <w:rPr>
          <w:bCs/>
          <w:sz w:val="24"/>
          <w:szCs w:val="24"/>
        </w:rPr>
        <w:t>年3月</w:t>
      </w:r>
    </w:p>
    <w:p>
      <w:pPr>
        <w:pStyle w:val="6"/>
        <w:numPr>
          <w:ilvl w:val="2"/>
          <w:numId w:val="1"/>
        </w:numPr>
        <w:spacing w:before="0" w:after="0"/>
        <w:ind w:left="567"/>
        <w:rPr>
          <w:szCs w:val="28"/>
          <w:highlight w:val="none"/>
        </w:rPr>
      </w:pPr>
      <w:r>
        <w:rPr>
          <w:szCs w:val="28"/>
          <w:highlight w:val="none"/>
        </w:rPr>
        <w:t>产品方案</w:t>
      </w:r>
    </w:p>
    <w:p>
      <w:pPr>
        <w:ind w:firstLine="480"/>
        <w:jc w:val="both"/>
        <w:rPr>
          <w:sz w:val="24"/>
          <w:szCs w:val="24"/>
          <w:highlight w:val="none"/>
        </w:rPr>
      </w:pPr>
      <w:r>
        <w:rPr>
          <w:sz w:val="24"/>
          <w:szCs w:val="24"/>
          <w:highlight w:val="none"/>
        </w:rPr>
        <w:t>本项目</w:t>
      </w:r>
      <w:r>
        <w:rPr>
          <w:rFonts w:hint="eastAsia"/>
          <w:sz w:val="24"/>
          <w:szCs w:val="24"/>
          <w:highlight w:val="none"/>
          <w:lang w:val="en-US" w:eastAsia="zh-CN"/>
        </w:rPr>
        <w:t>建设完成后全厂</w:t>
      </w:r>
      <w:r>
        <w:rPr>
          <w:sz w:val="24"/>
          <w:szCs w:val="24"/>
          <w:highlight w:val="none"/>
        </w:rPr>
        <w:t>生产规模为</w:t>
      </w:r>
      <w:r>
        <w:rPr>
          <w:bCs/>
          <w:sz w:val="24"/>
          <w:szCs w:val="24"/>
          <w:highlight w:val="none"/>
        </w:rPr>
        <w:t>年处理</w:t>
      </w:r>
      <w:r>
        <w:rPr>
          <w:rFonts w:hint="eastAsia"/>
          <w:bCs/>
          <w:sz w:val="24"/>
          <w:szCs w:val="24"/>
          <w:highlight w:val="none"/>
          <w:lang w:val="en-US" w:eastAsia="zh-CN"/>
        </w:rPr>
        <w:t>60</w:t>
      </w:r>
      <w:r>
        <w:rPr>
          <w:bCs/>
          <w:sz w:val="24"/>
          <w:szCs w:val="24"/>
          <w:highlight w:val="none"/>
        </w:rPr>
        <w:t>万吨铁矿石</w:t>
      </w:r>
      <w:r>
        <w:rPr>
          <w:rFonts w:hint="eastAsia"/>
          <w:sz w:val="24"/>
          <w:szCs w:val="24"/>
          <w:highlight w:val="none"/>
        </w:rPr>
        <w:t>、粗精矿30</w:t>
      </w:r>
      <w:r>
        <w:rPr>
          <w:sz w:val="24"/>
          <w:szCs w:val="24"/>
          <w:highlight w:val="none"/>
        </w:rPr>
        <w:t>万吨</w:t>
      </w:r>
      <w:r>
        <w:rPr>
          <w:rFonts w:hint="eastAsia"/>
          <w:sz w:val="24"/>
          <w:szCs w:val="24"/>
          <w:highlight w:val="none"/>
        </w:rPr>
        <w:t>，</w:t>
      </w:r>
      <w:r>
        <w:rPr>
          <w:sz w:val="24"/>
          <w:szCs w:val="24"/>
          <w:highlight w:val="none"/>
        </w:rPr>
        <w:t>年产6</w:t>
      </w:r>
      <w:r>
        <w:rPr>
          <w:rFonts w:hint="eastAsia"/>
          <w:sz w:val="24"/>
          <w:szCs w:val="24"/>
          <w:highlight w:val="none"/>
        </w:rPr>
        <w:t>6</w:t>
      </w:r>
      <w:r>
        <w:rPr>
          <w:sz w:val="24"/>
          <w:szCs w:val="24"/>
          <w:highlight w:val="none"/>
        </w:rPr>
        <w:t>%铁精粉</w:t>
      </w:r>
      <w:r>
        <w:rPr>
          <w:rFonts w:hint="eastAsia"/>
          <w:sz w:val="24"/>
          <w:szCs w:val="24"/>
          <w:highlight w:val="none"/>
        </w:rPr>
        <w:t>25</w:t>
      </w:r>
      <w:r>
        <w:rPr>
          <w:sz w:val="24"/>
          <w:szCs w:val="24"/>
          <w:highlight w:val="none"/>
        </w:rPr>
        <w:t>万吨</w:t>
      </w:r>
      <w:r>
        <w:rPr>
          <w:rFonts w:hint="eastAsia"/>
          <w:sz w:val="24"/>
          <w:szCs w:val="24"/>
          <w:highlight w:val="none"/>
          <w:lang w:eastAsia="zh-CN"/>
        </w:rPr>
        <w:t>，</w:t>
      </w:r>
      <w:r>
        <w:rPr>
          <w:sz w:val="24"/>
          <w:szCs w:val="24"/>
          <w:highlight w:val="none"/>
        </w:rPr>
        <w:t>产品方案详见表3.</w:t>
      </w:r>
      <w:r>
        <w:rPr>
          <w:rFonts w:hint="eastAsia"/>
          <w:sz w:val="24"/>
          <w:szCs w:val="24"/>
          <w:highlight w:val="none"/>
          <w:lang w:val="en-US" w:eastAsia="zh-CN"/>
        </w:rPr>
        <w:t>2</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2</w:t>
      </w:r>
      <w:r>
        <w:rPr>
          <w:rFonts w:eastAsia="黑体"/>
          <w:kern w:val="2"/>
          <w:sz w:val="21"/>
          <w:szCs w:val="21"/>
          <w:highlight w:val="none"/>
        </w:rPr>
        <w:t>-1    产品方案</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41"/>
        <w:gridCol w:w="2081"/>
        <w:gridCol w:w="400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76" w:hRule="atLeast"/>
          <w:jc w:val="center"/>
        </w:trPr>
        <w:tc>
          <w:tcPr>
            <w:tcW w:w="2441" w:type="dxa"/>
            <w:vAlign w:val="center"/>
          </w:tcPr>
          <w:p>
            <w:pPr>
              <w:spacing w:line="240" w:lineRule="auto"/>
              <w:ind w:firstLine="0" w:firstLineChars="0"/>
              <w:jc w:val="center"/>
              <w:rPr>
                <w:sz w:val="21"/>
                <w:szCs w:val="21"/>
                <w:highlight w:val="none"/>
              </w:rPr>
            </w:pPr>
            <w:r>
              <w:rPr>
                <w:sz w:val="21"/>
                <w:szCs w:val="21"/>
                <w:highlight w:val="none"/>
              </w:rPr>
              <w:t>产品名称</w:t>
            </w:r>
          </w:p>
        </w:tc>
        <w:tc>
          <w:tcPr>
            <w:tcW w:w="2081" w:type="dxa"/>
            <w:vAlign w:val="center"/>
          </w:tcPr>
          <w:p>
            <w:pPr>
              <w:spacing w:line="240" w:lineRule="auto"/>
              <w:ind w:firstLine="0" w:firstLineChars="0"/>
              <w:jc w:val="center"/>
              <w:rPr>
                <w:sz w:val="21"/>
                <w:szCs w:val="21"/>
                <w:highlight w:val="none"/>
              </w:rPr>
            </w:pPr>
            <w:r>
              <w:rPr>
                <w:sz w:val="21"/>
                <w:szCs w:val="21"/>
                <w:highlight w:val="none"/>
              </w:rPr>
              <w:t>产量（t/a）</w:t>
            </w:r>
          </w:p>
        </w:tc>
        <w:tc>
          <w:tcPr>
            <w:tcW w:w="4000" w:type="dxa"/>
            <w:vAlign w:val="center"/>
          </w:tcPr>
          <w:p>
            <w:pPr>
              <w:spacing w:line="240" w:lineRule="auto"/>
              <w:ind w:firstLine="149" w:firstLineChars="71"/>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441" w:type="dxa"/>
            <w:vAlign w:val="center"/>
          </w:tcPr>
          <w:p>
            <w:pPr>
              <w:spacing w:line="240" w:lineRule="auto"/>
              <w:ind w:firstLine="0" w:firstLineChars="0"/>
              <w:jc w:val="center"/>
              <w:rPr>
                <w:sz w:val="21"/>
                <w:szCs w:val="21"/>
                <w:highlight w:val="none"/>
              </w:rPr>
            </w:pPr>
            <w:r>
              <w:rPr>
                <w:sz w:val="21"/>
                <w:szCs w:val="21"/>
                <w:highlight w:val="none"/>
              </w:rPr>
              <w:t>铁精粉</w:t>
            </w:r>
          </w:p>
        </w:tc>
        <w:tc>
          <w:tcPr>
            <w:tcW w:w="2081" w:type="dxa"/>
            <w:vAlign w:val="center"/>
          </w:tcPr>
          <w:p>
            <w:pPr>
              <w:spacing w:line="240" w:lineRule="auto"/>
              <w:ind w:firstLine="0" w:firstLineChars="0"/>
              <w:jc w:val="center"/>
              <w:rPr>
                <w:sz w:val="21"/>
                <w:szCs w:val="21"/>
                <w:highlight w:val="none"/>
              </w:rPr>
            </w:pPr>
            <w:r>
              <w:rPr>
                <w:rFonts w:hint="eastAsia"/>
                <w:sz w:val="21"/>
                <w:szCs w:val="21"/>
                <w:highlight w:val="none"/>
              </w:rPr>
              <w:t>25万</w:t>
            </w:r>
          </w:p>
        </w:tc>
        <w:tc>
          <w:tcPr>
            <w:tcW w:w="4000" w:type="dxa"/>
            <w:vAlign w:val="center"/>
          </w:tcPr>
          <w:p>
            <w:pPr>
              <w:spacing w:line="240" w:lineRule="auto"/>
              <w:ind w:firstLine="0" w:firstLineChars="0"/>
              <w:jc w:val="center"/>
              <w:rPr>
                <w:sz w:val="21"/>
                <w:szCs w:val="21"/>
                <w:highlight w:val="none"/>
              </w:rPr>
            </w:pPr>
            <w:r>
              <w:rPr>
                <w:sz w:val="21"/>
                <w:szCs w:val="21"/>
                <w:highlight w:val="none"/>
              </w:rPr>
              <w:t>平均品位为</w:t>
            </w:r>
            <w:r>
              <w:rPr>
                <w:rFonts w:hint="eastAsia"/>
                <w:sz w:val="21"/>
                <w:szCs w:val="21"/>
                <w:highlight w:val="none"/>
              </w:rPr>
              <w:t>66</w:t>
            </w:r>
            <w:r>
              <w:rPr>
                <w:sz w:val="21"/>
                <w:szCs w:val="21"/>
                <w:highlight w:val="none"/>
              </w:rPr>
              <w:t>%</w:t>
            </w:r>
          </w:p>
        </w:tc>
      </w:tr>
    </w:tbl>
    <w:p>
      <w:pPr>
        <w:pStyle w:val="6"/>
        <w:numPr>
          <w:ilvl w:val="2"/>
          <w:numId w:val="1"/>
        </w:numPr>
        <w:spacing w:before="0" w:after="0"/>
        <w:ind w:left="567"/>
        <w:rPr>
          <w:szCs w:val="28"/>
          <w:highlight w:val="none"/>
        </w:rPr>
      </w:pPr>
      <w:r>
        <w:rPr>
          <w:szCs w:val="28"/>
          <w:highlight w:val="none"/>
        </w:rPr>
        <w:t>项目建设内容</w:t>
      </w:r>
    </w:p>
    <w:p>
      <w:pPr>
        <w:ind w:firstLine="480"/>
        <w:rPr>
          <w:sz w:val="44"/>
          <w:szCs w:val="44"/>
          <w:highlight w:val="none"/>
        </w:rPr>
      </w:pPr>
      <w:r>
        <w:rPr>
          <w:rFonts w:hint="eastAsia"/>
          <w:sz w:val="24"/>
          <w:szCs w:val="24"/>
          <w:highlight w:val="none"/>
          <w:lang w:val="en-US" w:eastAsia="zh-CN"/>
        </w:rPr>
        <w:t>改扩建工程在</w:t>
      </w:r>
      <w:r>
        <w:rPr>
          <w:rFonts w:hint="eastAsia"/>
          <w:sz w:val="24"/>
          <w:szCs w:val="24"/>
          <w:highlight w:val="none"/>
        </w:rPr>
        <w:t>南厂区</w:t>
      </w:r>
      <w:r>
        <w:rPr>
          <w:rFonts w:hint="eastAsia"/>
          <w:sz w:val="24"/>
          <w:szCs w:val="24"/>
          <w:highlight w:val="none"/>
          <w:lang w:val="en-US" w:eastAsia="zh-CN"/>
        </w:rPr>
        <w:t>新建</w:t>
      </w:r>
      <w:r>
        <w:rPr>
          <w:rFonts w:hint="eastAsia"/>
          <w:sz w:val="24"/>
          <w:szCs w:val="24"/>
          <w:highlight w:val="none"/>
        </w:rPr>
        <w:t>1条</w:t>
      </w:r>
      <w:r>
        <w:rPr>
          <w:rFonts w:hint="eastAsia"/>
          <w:sz w:val="24"/>
          <w:szCs w:val="24"/>
          <w:highlight w:val="none"/>
          <w:lang w:val="en-US" w:eastAsia="zh-CN"/>
        </w:rPr>
        <w:t>破碎</w:t>
      </w:r>
      <w:r>
        <w:rPr>
          <w:rFonts w:hint="eastAsia"/>
          <w:sz w:val="24"/>
          <w:szCs w:val="24"/>
          <w:highlight w:val="none"/>
        </w:rPr>
        <w:t>生产线，</w:t>
      </w:r>
      <w:r>
        <w:rPr>
          <w:sz w:val="24"/>
          <w:szCs w:val="24"/>
          <w:highlight w:val="none"/>
        </w:rPr>
        <w:t>项目组成及工程内容见表3.</w:t>
      </w:r>
      <w:r>
        <w:rPr>
          <w:rFonts w:hint="eastAsia"/>
          <w:sz w:val="24"/>
          <w:szCs w:val="24"/>
          <w:highlight w:val="none"/>
          <w:lang w:val="en-US" w:eastAsia="zh-CN"/>
        </w:rPr>
        <w:t>2</w:t>
      </w:r>
      <w:r>
        <w:rPr>
          <w:sz w:val="24"/>
          <w:szCs w:val="24"/>
          <w:highlight w:val="none"/>
        </w:rPr>
        <w:t>-2，主要建构筑物见表3.</w:t>
      </w:r>
      <w:r>
        <w:rPr>
          <w:rFonts w:hint="eastAsia"/>
          <w:sz w:val="24"/>
          <w:szCs w:val="24"/>
          <w:highlight w:val="none"/>
          <w:lang w:val="en-US" w:eastAsia="zh-CN"/>
        </w:rPr>
        <w:t>2</w:t>
      </w:r>
      <w:r>
        <w:rPr>
          <w:sz w:val="24"/>
          <w:szCs w:val="24"/>
          <w:highlight w:val="none"/>
        </w:rPr>
        <w:t>-3。</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2</w:t>
      </w:r>
      <w:r>
        <w:rPr>
          <w:rFonts w:eastAsia="黑体"/>
          <w:kern w:val="2"/>
          <w:sz w:val="21"/>
          <w:szCs w:val="21"/>
          <w:highlight w:val="none"/>
        </w:rPr>
        <w:t xml:space="preserve">-2  </w:t>
      </w:r>
      <w:r>
        <w:rPr>
          <w:rFonts w:hint="eastAsia" w:eastAsia="黑体"/>
          <w:sz w:val="21"/>
          <w:szCs w:val="21"/>
          <w:highlight w:val="none"/>
          <w:lang w:val="en-US" w:eastAsia="zh-CN"/>
        </w:rPr>
        <w:t>改扩建项目</w:t>
      </w:r>
      <w:r>
        <w:rPr>
          <w:rFonts w:eastAsia="黑体"/>
          <w:sz w:val="21"/>
          <w:szCs w:val="21"/>
          <w:highlight w:val="none"/>
        </w:rPr>
        <w:t>组成及工程内容</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8"/>
        <w:gridCol w:w="808"/>
        <w:gridCol w:w="890"/>
        <w:gridCol w:w="5007"/>
        <w:gridCol w:w="113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2376" w:type="dxa"/>
            <w:gridSpan w:val="3"/>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工程项目</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建设内容</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主体工程</w:t>
            </w:r>
          </w:p>
        </w:tc>
        <w:tc>
          <w:tcPr>
            <w:tcW w:w="808" w:type="dxa"/>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南厂区</w:t>
            </w:r>
          </w:p>
        </w:tc>
        <w:tc>
          <w:tcPr>
            <w:tcW w:w="890" w:type="dxa"/>
            <w:tcBorders>
              <w:left w:val="single" w:color="auto" w:sz="4" w:space="0"/>
            </w:tcBorders>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破碎</w:t>
            </w:r>
          </w:p>
          <w:p>
            <w:pPr>
              <w:pStyle w:val="269"/>
              <w:spacing w:line="240" w:lineRule="auto"/>
              <w:ind w:firstLine="0" w:firstLineChars="0"/>
              <w:rPr>
                <w:rFonts w:ascii="Times New Roman" w:eastAsia="宋体" w:cs="Times New Roman"/>
                <w:highlight w:val="none"/>
              </w:rPr>
            </w:pPr>
            <w:r>
              <w:rPr>
                <w:rFonts w:ascii="Times New Roman" w:eastAsia="宋体" w:cs="Times New Roman"/>
                <w:highlight w:val="none"/>
              </w:rPr>
              <w:t>车间</w:t>
            </w:r>
          </w:p>
        </w:tc>
        <w:tc>
          <w:tcPr>
            <w:tcW w:w="5007" w:type="dxa"/>
            <w:vAlign w:val="center"/>
          </w:tcPr>
          <w:p>
            <w:pPr>
              <w:pStyle w:val="269"/>
              <w:spacing w:line="240" w:lineRule="auto"/>
              <w:ind w:firstLine="0" w:firstLineChars="0"/>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272</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34</w:t>
            </w:r>
            <w:r>
              <w:rPr>
                <w:rFonts w:ascii="Times New Roman" w:eastAsia="宋体" w:cs="Times New Roman"/>
                <w:highlight w:val="none"/>
              </w:rPr>
              <w:t>m×</w:t>
            </w:r>
            <w:r>
              <w:rPr>
                <w:rFonts w:hint="eastAsia" w:ascii="Times New Roman" w:eastAsia="宋体" w:cs="Times New Roman"/>
                <w:highlight w:val="none"/>
              </w:rPr>
              <w:t>8</w:t>
            </w:r>
            <w:r>
              <w:rPr>
                <w:rFonts w:ascii="Times New Roman" w:eastAsia="宋体" w:cs="Times New Roman"/>
                <w:highlight w:val="none"/>
              </w:rPr>
              <w:t>m，内置1台鄂破机、1台</w:t>
            </w:r>
            <w:r>
              <w:rPr>
                <w:rFonts w:hint="eastAsia" w:ascii="Times New Roman" w:eastAsia="宋体" w:cs="Times New Roman"/>
                <w:highlight w:val="none"/>
                <w:lang w:val="en-US" w:eastAsia="zh-CN"/>
              </w:rPr>
              <w:t>圆锥</w:t>
            </w:r>
            <w:r>
              <w:rPr>
                <w:rFonts w:ascii="Times New Roman" w:eastAsia="宋体" w:cs="Times New Roman"/>
                <w:highlight w:val="none"/>
              </w:rPr>
              <w:t>破</w:t>
            </w:r>
            <w:r>
              <w:rPr>
                <w:rFonts w:hint="eastAsia" w:ascii="Times New Roman" w:eastAsia="宋体" w:cs="Times New Roman"/>
                <w:highlight w:val="none"/>
              </w:rPr>
              <w:t>碎</w:t>
            </w:r>
            <w:r>
              <w:rPr>
                <w:rFonts w:ascii="Times New Roman" w:eastAsia="宋体" w:cs="Times New Roman"/>
                <w:highlight w:val="none"/>
              </w:rPr>
              <w:t>机</w:t>
            </w:r>
            <w:r>
              <w:rPr>
                <w:rFonts w:hint="eastAsia" w:ascii="Times New Roman" w:eastAsia="宋体" w:cs="Times New Roman"/>
                <w:highlight w:val="none"/>
              </w:rPr>
              <w:t>、</w:t>
            </w:r>
            <w:r>
              <w:rPr>
                <w:rFonts w:hint="eastAsia" w:ascii="Times New Roman" w:eastAsia="宋体" w:cs="Times New Roman"/>
                <w:highlight w:val="none"/>
                <w:lang w:val="en-US" w:eastAsia="zh-CN"/>
              </w:rPr>
              <w:t>2</w:t>
            </w:r>
            <w:r>
              <w:rPr>
                <w:rFonts w:hint="eastAsia" w:ascii="Times New Roman" w:eastAsia="宋体" w:cs="Times New Roman"/>
                <w:highlight w:val="none"/>
              </w:rPr>
              <w:t>台振动筛</w:t>
            </w:r>
            <w:r>
              <w:rPr>
                <w:rFonts w:hint="eastAsia" w:ascii="Times New Roman" w:eastAsia="宋体" w:cs="Times New Roman"/>
                <w:highlight w:val="none"/>
                <w:lang w:val="en-US" w:eastAsia="zh-CN"/>
              </w:rPr>
              <w:t>等</w:t>
            </w:r>
            <w:r>
              <w:rPr>
                <w:rFonts w:ascii="Times New Roman" w:eastAsia="宋体" w:cs="Times New Roman"/>
                <w:highlight w:val="none"/>
              </w:rPr>
              <w:t>。</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储运工程</w:t>
            </w:r>
          </w:p>
        </w:tc>
        <w:tc>
          <w:tcPr>
            <w:tcW w:w="808" w:type="dxa"/>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lang w:val="en-US" w:eastAsia="zh-CN"/>
              </w:rPr>
              <w:t>南</w:t>
            </w:r>
            <w:r>
              <w:rPr>
                <w:rFonts w:hint="eastAsia" w:ascii="Times New Roman" w:eastAsia="宋体" w:cs="Times New Roman"/>
                <w:highlight w:val="none"/>
              </w:rPr>
              <w:t>厂区</w:t>
            </w:r>
          </w:p>
        </w:tc>
        <w:tc>
          <w:tcPr>
            <w:tcW w:w="890" w:type="dxa"/>
            <w:tcBorders>
              <w:left w:val="single" w:color="auto" w:sz="4" w:space="0"/>
            </w:tcBorders>
            <w:vAlign w:val="center"/>
          </w:tcPr>
          <w:p>
            <w:pPr>
              <w:pStyle w:val="269"/>
              <w:spacing w:line="240" w:lineRule="auto"/>
              <w:rPr>
                <w:rFonts w:hint="eastAsia" w:ascii="Times New Roman" w:eastAsia="宋体" w:cs="Times New Roman"/>
                <w:highlight w:val="none"/>
                <w:lang w:eastAsia="zh-CN"/>
              </w:rPr>
            </w:pPr>
            <w:r>
              <w:rPr>
                <w:rFonts w:ascii="Times New Roman" w:eastAsia="宋体" w:cs="Times New Roman"/>
                <w:highlight w:val="none"/>
              </w:rPr>
              <w:t>原料</w:t>
            </w:r>
            <w:r>
              <w:rPr>
                <w:rFonts w:hint="eastAsia" w:ascii="Times New Roman" w:eastAsia="宋体" w:cs="Times New Roman"/>
                <w:highlight w:val="none"/>
                <w:lang w:val="en-US" w:eastAsia="zh-CN"/>
              </w:rPr>
              <w:t>棚</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lang w:val="en-US" w:eastAsia="zh-CN"/>
              </w:rPr>
              <w:t>三面围挡带顶</w:t>
            </w:r>
            <w:r>
              <w:rPr>
                <w:rFonts w:ascii="Times New Roman" w:eastAsia="宋体" w:cs="Times New Roman"/>
                <w:highlight w:val="none"/>
              </w:rPr>
              <w:t>，</w:t>
            </w:r>
            <w:r>
              <w:rPr>
                <w:rFonts w:hint="eastAsia" w:ascii="Times New Roman" w:eastAsia="宋体" w:cs="Times New Roman"/>
                <w:highlight w:val="none"/>
                <w:lang w:val="en-US" w:eastAsia="zh-CN"/>
              </w:rPr>
              <w:t>进深不小于8米</w:t>
            </w:r>
            <w:r>
              <w:rPr>
                <w:rFonts w:hint="eastAsia" w:ascii="Times New Roman" w:eastAsia="宋体" w:cs="Times New Roman"/>
                <w:highlight w:val="none"/>
              </w:rPr>
              <w:t>，</w:t>
            </w:r>
            <w:r>
              <w:rPr>
                <w:rFonts w:hint="eastAsia" w:ascii="Times New Roman" w:eastAsia="宋体" w:cs="Times New Roman"/>
                <w:highlight w:val="none"/>
                <w:lang w:val="en-US" w:eastAsia="zh-CN"/>
              </w:rPr>
              <w:t>受料仓设喷雾抑尘装置</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rPr>
                <w:rFonts w:ascii="Times New Roman" w:eastAsia="宋体" w:cs="Times New Roman"/>
                <w:highlight w:val="none"/>
              </w:rPr>
            </w:pPr>
          </w:p>
        </w:tc>
        <w:tc>
          <w:tcPr>
            <w:tcW w:w="808" w:type="dxa"/>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890" w:type="dxa"/>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成品库</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全封闭，</w:t>
            </w:r>
            <w:r>
              <w:rPr>
                <w:rFonts w:ascii="Times New Roman" w:eastAsia="宋体" w:cs="Times New Roman"/>
                <w:highlight w:val="none"/>
              </w:rPr>
              <w:t>面积</w:t>
            </w:r>
            <w:r>
              <w:rPr>
                <w:rFonts w:hint="eastAsia" w:ascii="Times New Roman" w:eastAsia="宋体" w:cs="Times New Roman"/>
                <w:highlight w:val="none"/>
              </w:rPr>
              <w:t>40</w:t>
            </w:r>
            <w:r>
              <w:rPr>
                <w:rFonts w:ascii="Times New Roman" w:eastAsia="宋体" w:cs="Times New Roman"/>
                <w:highlight w:val="none"/>
              </w:rPr>
              <w:t>0m</w:t>
            </w:r>
            <w:r>
              <w:rPr>
                <w:rFonts w:ascii="Times New Roman" w:eastAsia="宋体" w:cs="Times New Roman"/>
                <w:highlight w:val="none"/>
                <w:vertAlign w:val="superscript"/>
              </w:rPr>
              <w:t>2</w:t>
            </w:r>
            <w:r>
              <w:rPr>
                <w:rFonts w:ascii="Times New Roman" w:eastAsia="宋体" w:cs="Times New Roman"/>
                <w:highlight w:val="none"/>
              </w:rPr>
              <w:t>，尺寸为</w:t>
            </w:r>
            <w:r>
              <w:rPr>
                <w:rFonts w:hint="eastAsia" w:ascii="Times New Roman" w:eastAsia="宋体" w:cs="Times New Roman"/>
                <w:highlight w:val="none"/>
              </w:rPr>
              <w:t>20</w:t>
            </w:r>
            <w:r>
              <w:rPr>
                <w:rFonts w:ascii="Times New Roman" w:eastAsia="宋体" w:cs="Times New Roman"/>
                <w:highlight w:val="none"/>
              </w:rPr>
              <w:t>m×</w:t>
            </w:r>
            <w:r>
              <w:rPr>
                <w:rFonts w:hint="eastAsia" w:ascii="Times New Roman" w:eastAsia="宋体" w:cs="Times New Roman"/>
                <w:highlight w:val="none"/>
              </w:rPr>
              <w:t>20</w:t>
            </w:r>
            <w:r>
              <w:rPr>
                <w:rFonts w:ascii="Times New Roman" w:eastAsia="宋体" w:cs="Times New Roman"/>
                <w:highlight w:val="none"/>
              </w:rPr>
              <w:t>m</w:t>
            </w:r>
            <w:r>
              <w:rPr>
                <w:rFonts w:hint="eastAsia" w:ascii="Times New Roman" w:eastAsia="宋体" w:cs="Times New Roman"/>
                <w:highlight w:val="none"/>
              </w:rPr>
              <w:t>，</w:t>
            </w:r>
            <w:r>
              <w:rPr>
                <w:rFonts w:hint="eastAsia" w:ascii="Times New Roman" w:eastAsia="宋体" w:cs="Times New Roman"/>
                <w:highlight w:val="none"/>
                <w:lang w:val="en-US" w:eastAsia="zh-CN"/>
              </w:rPr>
              <w:t>砂石料</w:t>
            </w:r>
            <w:r>
              <w:rPr>
                <w:rFonts w:hint="eastAsia" w:ascii="Times New Roman" w:eastAsia="宋体" w:cs="Times New Roman"/>
                <w:highlight w:val="none"/>
              </w:rPr>
              <w:t>存储</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pStyle w:val="269"/>
              <w:spacing w:line="240" w:lineRule="auto"/>
              <w:jc w:val="both"/>
              <w:rPr>
                <w:rFonts w:ascii="Times New Roman" w:eastAsia="宋体" w:cs="Times New Roman"/>
                <w:highlight w:val="none"/>
              </w:rPr>
            </w:pPr>
            <w:r>
              <w:rPr>
                <w:rFonts w:ascii="Times New Roman" w:eastAsia="宋体" w:cs="Times New Roman"/>
                <w:highlight w:val="none"/>
              </w:rPr>
              <w:t>辅助工程</w:t>
            </w: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办公区</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建筑面积约100m</w:t>
            </w:r>
            <w:r>
              <w:rPr>
                <w:rFonts w:ascii="Times New Roman" w:eastAsia="宋体" w:cs="Times New Roman"/>
                <w:highlight w:val="none"/>
                <w:vertAlign w:val="superscript"/>
              </w:rPr>
              <w:t>2</w:t>
            </w:r>
            <w:r>
              <w:rPr>
                <w:rFonts w:ascii="Times New Roman" w:eastAsia="宋体" w:cs="Times New Roman"/>
                <w:highlight w:val="none"/>
              </w:rPr>
              <w:t>，20m×5m，砖混结构</w:t>
            </w:r>
          </w:p>
        </w:tc>
        <w:tc>
          <w:tcPr>
            <w:tcW w:w="1139" w:type="dxa"/>
            <w:vMerge w:val="restart"/>
            <w:vAlign w:val="center"/>
          </w:tcPr>
          <w:p>
            <w:pPr>
              <w:spacing w:line="240" w:lineRule="auto"/>
              <w:ind w:firstLine="0" w:firstLineChars="0"/>
              <w:jc w:val="center"/>
              <w:rPr>
                <w:rFonts w:hint="eastAsia" w:eastAsia="宋体"/>
                <w:highlight w:val="none"/>
                <w:lang w:eastAsia="zh-CN"/>
              </w:rPr>
            </w:pPr>
            <w:r>
              <w:rPr>
                <w:rFonts w:hint="eastAsia"/>
                <w:sz w:val="21"/>
                <w:szCs w:val="21"/>
                <w:highlight w:val="none"/>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pStyle w:val="269"/>
              <w:spacing w:line="240" w:lineRule="auto"/>
              <w:ind w:firstLine="560"/>
              <w:rPr>
                <w:rFonts w:ascii="Times New Roman" w:eastAsia="宋体" w:cs="Times New Roman"/>
                <w:highlight w:val="none"/>
              </w:rPr>
            </w:pPr>
            <w:r>
              <w:rPr>
                <w:rFonts w:ascii="Times New Roman" w:eastAsia="宋体" w:cs="Times New Roman"/>
                <w:highlight w:val="none"/>
              </w:rPr>
              <w:t>公</w:t>
            </w:r>
          </w:p>
          <w:p>
            <w:pPr>
              <w:spacing w:line="240" w:lineRule="auto"/>
              <w:ind w:firstLine="0" w:firstLineChars="0"/>
              <w:jc w:val="center"/>
              <w:rPr>
                <w:kern w:val="2"/>
                <w:sz w:val="21"/>
                <w:szCs w:val="21"/>
                <w:highlight w:val="none"/>
              </w:rPr>
            </w:pPr>
            <w:r>
              <w:rPr>
                <w:kern w:val="2"/>
                <w:sz w:val="21"/>
                <w:szCs w:val="21"/>
                <w:highlight w:val="none"/>
              </w:rPr>
              <w:t>公用工程</w:t>
            </w: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供水工程</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由厂区内现有的自备井供给</w:t>
            </w:r>
          </w:p>
        </w:tc>
        <w:tc>
          <w:tcPr>
            <w:tcW w:w="1139" w:type="dxa"/>
            <w:vMerge w:val="continue"/>
            <w:vAlign w:val="center"/>
          </w:tcPr>
          <w:p>
            <w:pPr>
              <w:spacing w:line="240" w:lineRule="auto"/>
              <w:ind w:firstLine="0" w:firstLineChars="0"/>
              <w:jc w:val="center"/>
              <w:rPr>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供电工程</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电源引自</w:t>
            </w:r>
            <w:r>
              <w:rPr>
                <w:rFonts w:ascii="Times New Roman" w:eastAsia="宋体" w:cs="Times New Roman"/>
                <w:highlight w:val="none"/>
                <w:lang w:val="en-GB"/>
              </w:rPr>
              <w:t>当地</w:t>
            </w:r>
            <w:r>
              <w:rPr>
                <w:rFonts w:ascii="Times New Roman" w:eastAsia="宋体" w:cs="Times New Roman"/>
                <w:highlight w:val="none"/>
              </w:rPr>
              <w:t>35kV变电站，厂区内设配电室1座。</w:t>
            </w:r>
          </w:p>
        </w:tc>
        <w:tc>
          <w:tcPr>
            <w:tcW w:w="1139" w:type="dxa"/>
            <w:vMerge w:val="continue"/>
            <w:vAlign w:val="center"/>
          </w:tcPr>
          <w:p>
            <w:pPr>
              <w:pStyle w:val="269"/>
              <w:spacing w:line="240" w:lineRule="auto"/>
              <w:rPr>
                <w:rFonts w:ascii="Times New Roman" w:eastAsia="宋体" w:cs="Times New Roman"/>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供热设施</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生产系统无供热设施，办公区采用空调或电暖气采暖。</w:t>
            </w:r>
          </w:p>
        </w:tc>
        <w:tc>
          <w:tcPr>
            <w:tcW w:w="1139" w:type="dxa"/>
            <w:vMerge w:val="continue"/>
          </w:tcPr>
          <w:p>
            <w:pPr>
              <w:pStyle w:val="269"/>
              <w:spacing w:line="240" w:lineRule="auto"/>
              <w:rPr>
                <w:rFonts w:ascii="Times New Roman" w:eastAsia="宋体" w:cs="Times New Roman"/>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环保工程</w:t>
            </w: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破碎车间</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封闭车间，各产尘点由集气罩收集进入布袋除尘器处理，由</w:t>
            </w:r>
            <w:r>
              <w:rPr>
                <w:rFonts w:hint="eastAsia" w:ascii="Times New Roman" w:eastAsia="宋体" w:cs="Times New Roman"/>
                <w:highlight w:val="none"/>
              </w:rPr>
              <w:t>20</w:t>
            </w:r>
            <w:r>
              <w:rPr>
                <w:rFonts w:ascii="Times New Roman" w:eastAsia="宋体" w:cs="Times New Roman"/>
                <w:highlight w:val="none"/>
              </w:rPr>
              <w:t>m高排气筒排放。</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成</w:t>
            </w:r>
            <w:r>
              <w:rPr>
                <w:rFonts w:ascii="Times New Roman" w:eastAsia="宋体" w:cs="Times New Roman"/>
                <w:highlight w:val="none"/>
              </w:rPr>
              <w:t>品库</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设置全封闭结构，并进行地面硬化，设置喷雾抑尘装置。</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rPr>
                <w:rFonts w:ascii="Times New Roman" w:eastAsia="宋体" w:cs="Times New Roman"/>
                <w:highlight w:val="none"/>
              </w:rPr>
            </w:pPr>
          </w:p>
        </w:tc>
        <w:tc>
          <w:tcPr>
            <w:tcW w:w="1698" w:type="dxa"/>
            <w:gridSpan w:val="2"/>
            <w:vAlign w:val="center"/>
          </w:tcPr>
          <w:p>
            <w:pPr>
              <w:pStyle w:val="269"/>
              <w:spacing w:line="240" w:lineRule="auto"/>
              <w:rPr>
                <w:rFonts w:hint="eastAsia" w:ascii="Times New Roman" w:eastAsia="宋体" w:cs="Times New Roman"/>
                <w:highlight w:val="none"/>
                <w:lang w:val="en-US" w:eastAsia="zh-CN"/>
              </w:rPr>
            </w:pPr>
            <w:r>
              <w:rPr>
                <w:rFonts w:hint="eastAsia" w:ascii="Times New Roman" w:eastAsia="宋体" w:cs="Times New Roman"/>
                <w:highlight w:val="none"/>
                <w:lang w:val="en-US" w:eastAsia="zh-CN"/>
              </w:rPr>
              <w:t>原料棚</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lang w:val="en-US" w:eastAsia="zh-CN"/>
              </w:rPr>
              <w:t>三面围挡带顶</w:t>
            </w:r>
            <w:r>
              <w:rPr>
                <w:rFonts w:ascii="Times New Roman" w:eastAsia="宋体" w:cs="Times New Roman"/>
                <w:highlight w:val="none"/>
              </w:rPr>
              <w:t>，</w:t>
            </w:r>
            <w:r>
              <w:rPr>
                <w:rFonts w:hint="eastAsia" w:ascii="Times New Roman" w:eastAsia="宋体" w:cs="Times New Roman"/>
                <w:highlight w:val="none"/>
                <w:lang w:val="en-US" w:eastAsia="zh-CN"/>
              </w:rPr>
              <w:t>进深不小于8米</w:t>
            </w:r>
            <w:r>
              <w:rPr>
                <w:rFonts w:hint="eastAsia" w:ascii="Times New Roman" w:eastAsia="宋体" w:cs="Times New Roman"/>
                <w:highlight w:val="none"/>
              </w:rPr>
              <w:t>，</w:t>
            </w:r>
            <w:r>
              <w:rPr>
                <w:rFonts w:hint="eastAsia" w:ascii="Times New Roman" w:eastAsia="宋体" w:cs="Times New Roman"/>
                <w:highlight w:val="none"/>
                <w:lang w:val="en-US" w:eastAsia="zh-CN"/>
              </w:rPr>
              <w:t>受料仓设喷雾抑尘装置</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生产废水</w:t>
            </w:r>
          </w:p>
        </w:tc>
        <w:tc>
          <w:tcPr>
            <w:tcW w:w="5007" w:type="dxa"/>
            <w:vAlign w:val="center"/>
          </w:tcPr>
          <w:p>
            <w:pPr>
              <w:pStyle w:val="269"/>
              <w:spacing w:line="240" w:lineRule="auto"/>
              <w:jc w:val="both"/>
              <w:rPr>
                <w:rFonts w:ascii="Times New Roman" w:eastAsia="宋体" w:cs="Times New Roman"/>
                <w:highlight w:val="none"/>
              </w:rPr>
            </w:pPr>
            <w:r>
              <w:rPr>
                <w:rFonts w:hint="eastAsia" w:ascii="Times New Roman" w:eastAsia="宋体" w:cs="Times New Roman"/>
                <w:highlight w:val="none"/>
                <w:lang w:val="en-US" w:eastAsia="zh-CN"/>
              </w:rPr>
              <w:t>新建1座</w:t>
            </w:r>
            <w:r>
              <w:rPr>
                <w:rFonts w:ascii="Times New Roman" w:eastAsia="宋体" w:cs="Times New Roman"/>
                <w:highlight w:val="none"/>
              </w:rPr>
              <w:t>浓缩</w:t>
            </w:r>
            <w:r>
              <w:rPr>
                <w:rFonts w:hint="eastAsia" w:ascii="Times New Roman" w:eastAsia="宋体" w:cs="Times New Roman"/>
                <w:highlight w:val="none"/>
                <w:lang w:val="en-US" w:eastAsia="zh-CN"/>
              </w:rPr>
              <w:t>罐，生产废水经管道引至北厂区干排系统进行处理后回用于生产不外排</w:t>
            </w:r>
          </w:p>
        </w:tc>
        <w:tc>
          <w:tcPr>
            <w:tcW w:w="1139" w:type="dxa"/>
            <w:vAlign w:val="center"/>
          </w:tcPr>
          <w:p>
            <w:pPr>
              <w:pStyle w:val="269"/>
              <w:spacing w:line="240" w:lineRule="auto"/>
              <w:rPr>
                <w:rFonts w:hint="eastAsia" w:ascii="Times New Roman" w:eastAsia="宋体" w:cs="Times New Roman"/>
                <w:highlight w:val="none"/>
                <w:lang w:val="en-US" w:eastAsia="zh-CN"/>
              </w:rPr>
            </w:pPr>
            <w:r>
              <w:rPr>
                <w:rFonts w:hint="eastAsia" w:ascii="Times New Roman" w:eastAsia="宋体" w:cs="Times New Roman"/>
                <w:highlight w:val="none"/>
                <w:lang w:val="en-US" w:eastAsia="zh-CN"/>
              </w:rPr>
              <w:t>依托北厂区现有</w:t>
            </w:r>
          </w:p>
          <w:p>
            <w:pPr>
              <w:pStyle w:val="269"/>
              <w:spacing w:line="240" w:lineRule="auto"/>
              <w:rPr>
                <w:rFonts w:hint="default" w:ascii="Times New Roman" w:eastAsia="宋体" w:cs="Times New Roman"/>
                <w:highlight w:val="none"/>
                <w:lang w:val="en-US" w:eastAsia="zh-CN"/>
              </w:rPr>
            </w:pPr>
            <w:r>
              <w:rPr>
                <w:rFonts w:hint="eastAsia" w:ascii="Times New Roman" w:eastAsia="宋体" w:cs="Times New Roman"/>
                <w:highlight w:val="none"/>
                <w:lang w:val="en-US" w:eastAsia="zh-CN"/>
              </w:rPr>
              <w:t>设施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噪声</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基础减振、隔声等措施</w:t>
            </w:r>
          </w:p>
        </w:tc>
        <w:tc>
          <w:tcPr>
            <w:tcW w:w="1139" w:type="dxa"/>
          </w:tcPr>
          <w:p>
            <w:pPr>
              <w:pStyle w:val="269"/>
              <w:spacing w:line="240" w:lineRule="auto"/>
              <w:rPr>
                <w:rFonts w:ascii="Times New Roman" w:eastAsia="宋体" w:cs="Times New Roman"/>
                <w:highlight w:val="none"/>
              </w:rPr>
            </w:pPr>
            <w:r>
              <w:rPr>
                <w:rFonts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固体废物</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尾矿砂在</w:t>
            </w:r>
            <w:r>
              <w:rPr>
                <w:rFonts w:hint="eastAsia" w:ascii="Times New Roman" w:eastAsia="宋体" w:cs="Times New Roman"/>
                <w:highlight w:val="none"/>
              </w:rPr>
              <w:t>尾矿砂库内暂存，</w:t>
            </w:r>
            <w:r>
              <w:rPr>
                <w:rFonts w:ascii="Times New Roman" w:eastAsia="宋体" w:cs="Times New Roman"/>
                <w:highlight w:val="none"/>
              </w:rPr>
              <w:t>粗砂作为建筑生产原料综合利用</w:t>
            </w:r>
            <w:r>
              <w:rPr>
                <w:rFonts w:hint="eastAsia" w:ascii="Times New Roman" w:eastAsia="宋体" w:cs="Times New Roman"/>
                <w:highlight w:val="none"/>
              </w:rPr>
              <w:t>，</w:t>
            </w:r>
            <w:r>
              <w:rPr>
                <w:rFonts w:ascii="Times New Roman" w:eastAsia="宋体" w:cs="Times New Roman"/>
                <w:highlight w:val="none"/>
              </w:rPr>
              <w:t>细砂</w:t>
            </w:r>
            <w:r>
              <w:rPr>
                <w:rFonts w:hint="eastAsia" w:ascii="Times New Roman" w:eastAsia="宋体" w:cs="Times New Roman"/>
                <w:bCs/>
                <w:highlight w:val="none"/>
              </w:rPr>
              <w:t>用于项目周边铺路</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危险废物</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设1座危废暂存间</w:t>
            </w:r>
            <w:r>
              <w:rPr>
                <w:rFonts w:ascii="Times New Roman" w:eastAsia="宋体" w:cs="Times New Roman"/>
                <w:highlight w:val="none"/>
              </w:rPr>
              <w:t>，</w:t>
            </w:r>
            <w:r>
              <w:rPr>
                <w:rFonts w:hint="eastAsia" w:ascii="Times New Roman" w:eastAsia="宋体" w:cs="Times New Roman"/>
                <w:highlight w:val="none"/>
              </w:rPr>
              <w:t>建筑面积6</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，一层砖混结构</w:t>
            </w:r>
          </w:p>
        </w:tc>
        <w:tc>
          <w:tcPr>
            <w:tcW w:w="1139" w:type="dxa"/>
          </w:tcPr>
          <w:p>
            <w:pPr>
              <w:pStyle w:val="269"/>
              <w:spacing w:line="240" w:lineRule="auto"/>
              <w:rPr>
                <w:rFonts w:ascii="Times New Roman" w:eastAsia="宋体" w:cs="Times New Roman"/>
                <w:highlight w:val="none"/>
              </w:rPr>
            </w:pPr>
            <w:r>
              <w:rPr>
                <w:rFonts w:hint="eastAsia" w:ascii="Times New Roman" w:hAnsi="Times New Roman" w:eastAsia="宋体" w:cs="Times New Roman"/>
                <w:highlight w:val="none"/>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6705" w:type="dxa"/>
            <w:gridSpan w:val="3"/>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厂区门口附近设置洗车平台（8m×3.5m），在洗车平台使用高压喷雾清洗轮胎及车身，洗车平台四周应设置防溢座，废水经导流渠流入沉淀池内（2m×2m×2.5m），上清水流入清水池内（2m×2m×2.5m），回用于运输车辆清洗</w:t>
            </w:r>
          </w:p>
        </w:tc>
        <w:tc>
          <w:tcPr>
            <w:tcW w:w="1139" w:type="dxa"/>
            <w:vAlign w:val="center"/>
          </w:tcPr>
          <w:p>
            <w:pPr>
              <w:pStyle w:val="269"/>
              <w:spacing w:line="240" w:lineRule="auto"/>
              <w:ind w:firstLine="0" w:firstLineChars="0"/>
              <w:jc w:val="center"/>
              <w:rPr>
                <w:rFonts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highlight w:val="none"/>
                <w:lang w:val="en-US" w:eastAsia="zh-CN"/>
              </w:rPr>
              <w:t>依托现有</w:t>
            </w:r>
          </w:p>
        </w:tc>
      </w:tr>
    </w:tbl>
    <w:p>
      <w:pPr>
        <w:widowControl/>
        <w:spacing w:line="240" w:lineRule="auto"/>
        <w:ind w:firstLine="0" w:firstLineChars="0"/>
        <w:jc w:val="center"/>
        <w:textAlignment w:val="auto"/>
        <w:rPr>
          <w:rFonts w:eastAsia="黑体"/>
          <w:sz w:val="21"/>
          <w:szCs w:val="21"/>
          <w:highlight w:val="none"/>
        </w:rPr>
      </w:pPr>
    </w:p>
    <w:p>
      <w:pPr>
        <w:widowControl/>
        <w:spacing w:line="240" w:lineRule="auto"/>
        <w:ind w:firstLine="0" w:firstLineChars="0"/>
        <w:jc w:val="center"/>
        <w:textAlignment w:val="auto"/>
        <w:rPr>
          <w:rFonts w:eastAsia="黑体"/>
          <w:sz w:val="21"/>
          <w:szCs w:val="21"/>
          <w:highlight w:val="none"/>
        </w:rPr>
      </w:pPr>
      <w:r>
        <w:rPr>
          <w:rFonts w:eastAsia="黑体"/>
          <w:sz w:val="21"/>
          <w:szCs w:val="21"/>
          <w:highlight w:val="none"/>
        </w:rPr>
        <w:t>表3.</w:t>
      </w:r>
      <w:r>
        <w:rPr>
          <w:rFonts w:hint="eastAsia" w:eastAsia="黑体"/>
          <w:sz w:val="21"/>
          <w:szCs w:val="21"/>
          <w:highlight w:val="none"/>
          <w:lang w:val="en-US" w:eastAsia="zh-CN"/>
        </w:rPr>
        <w:t>2</w:t>
      </w:r>
      <w:r>
        <w:rPr>
          <w:rFonts w:eastAsia="黑体"/>
          <w:sz w:val="21"/>
          <w:szCs w:val="21"/>
          <w:highlight w:val="none"/>
        </w:rPr>
        <w:t>-3</w:t>
      </w:r>
      <w:r>
        <w:rPr>
          <w:rFonts w:hint="eastAsia" w:eastAsia="黑体"/>
          <w:sz w:val="21"/>
          <w:szCs w:val="21"/>
          <w:highlight w:val="none"/>
          <w:lang w:val="en-US" w:eastAsia="zh-CN"/>
        </w:rPr>
        <w:t>改扩建工程新增</w:t>
      </w:r>
      <w:r>
        <w:rPr>
          <w:rFonts w:eastAsia="黑体"/>
          <w:sz w:val="21"/>
          <w:szCs w:val="21"/>
          <w:highlight w:val="none"/>
        </w:rPr>
        <w:t>主要建（构）筑物一览表</w:t>
      </w:r>
    </w:p>
    <w:tbl>
      <w:tblPr>
        <w:tblStyle w:val="48"/>
        <w:tblW w:w="861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8"/>
        <w:gridCol w:w="484"/>
        <w:gridCol w:w="1143"/>
        <w:gridCol w:w="937"/>
        <w:gridCol w:w="3882"/>
        <w:gridCol w:w="15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608" w:type="dxa"/>
            <w:vAlign w:val="center"/>
          </w:tcPr>
          <w:p>
            <w:pPr>
              <w:spacing w:line="240" w:lineRule="auto"/>
              <w:ind w:firstLine="0" w:firstLineChars="0"/>
              <w:jc w:val="center"/>
              <w:rPr>
                <w:sz w:val="21"/>
                <w:szCs w:val="21"/>
                <w:highlight w:val="none"/>
              </w:rPr>
            </w:pPr>
            <w:r>
              <w:rPr>
                <w:sz w:val="21"/>
                <w:szCs w:val="21"/>
                <w:highlight w:val="none"/>
              </w:rPr>
              <w:t>序号</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建/构筑物名称</w:t>
            </w:r>
          </w:p>
        </w:tc>
        <w:tc>
          <w:tcPr>
            <w:tcW w:w="937" w:type="dxa"/>
            <w:vAlign w:val="center"/>
          </w:tcPr>
          <w:p>
            <w:pPr>
              <w:spacing w:line="240" w:lineRule="auto"/>
              <w:ind w:firstLine="0" w:firstLineChars="0"/>
              <w:jc w:val="center"/>
              <w:rPr>
                <w:sz w:val="21"/>
                <w:szCs w:val="21"/>
                <w:highlight w:val="none"/>
              </w:rPr>
            </w:pPr>
            <w:r>
              <w:rPr>
                <w:sz w:val="21"/>
                <w:szCs w:val="21"/>
                <w:highlight w:val="none"/>
              </w:rPr>
              <w:t>规模</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结构及</w:t>
            </w:r>
            <w:r>
              <w:rPr>
                <w:sz w:val="21"/>
                <w:szCs w:val="21"/>
                <w:highlight w:val="none"/>
              </w:rPr>
              <w:t>规格（长×宽×高）</w:t>
            </w:r>
          </w:p>
        </w:tc>
        <w:tc>
          <w:tcPr>
            <w:tcW w:w="1563" w:type="dxa"/>
            <w:vAlign w:val="center"/>
          </w:tcPr>
          <w:p>
            <w:pPr>
              <w:spacing w:line="240" w:lineRule="auto"/>
              <w:ind w:firstLine="0" w:firstLineChars="0"/>
              <w:jc w:val="center"/>
              <w:rPr>
                <w:sz w:val="21"/>
                <w:szCs w:val="21"/>
                <w:highlight w:val="none"/>
              </w:rPr>
            </w:pPr>
            <w:r>
              <w:rPr>
                <w:rFonts w:hint="eastAsia"/>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w:t>
            </w:r>
          </w:p>
        </w:tc>
        <w:tc>
          <w:tcPr>
            <w:tcW w:w="484"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w:t>
            </w:r>
          </w:p>
        </w:tc>
        <w:tc>
          <w:tcPr>
            <w:tcW w:w="1143" w:type="dxa"/>
            <w:vAlign w:val="center"/>
          </w:tcPr>
          <w:p>
            <w:pPr>
              <w:spacing w:line="240" w:lineRule="auto"/>
              <w:ind w:firstLine="0" w:firstLineChars="0"/>
              <w:jc w:val="center"/>
              <w:rPr>
                <w:sz w:val="21"/>
                <w:szCs w:val="21"/>
                <w:highlight w:val="none"/>
              </w:rPr>
            </w:pPr>
            <w:r>
              <w:rPr>
                <w:sz w:val="21"/>
                <w:szCs w:val="21"/>
                <w:highlight w:val="none"/>
              </w:rPr>
              <w:t>破碎车间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1000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w:t>
            </w:r>
            <w:r>
              <w:rPr>
                <w:rFonts w:hint="eastAsia"/>
                <w:sz w:val="21"/>
                <w:szCs w:val="21"/>
                <w:highlight w:val="none"/>
                <w:lang w:val="en-US" w:eastAsia="zh-CN"/>
              </w:rPr>
              <w:t>50</w:t>
            </w:r>
            <w:r>
              <w:rPr>
                <w:sz w:val="21"/>
                <w:szCs w:val="21"/>
                <w:highlight w:val="none"/>
              </w:rPr>
              <w:t>m×</w:t>
            </w:r>
            <w:r>
              <w:rPr>
                <w:rFonts w:hint="eastAsia"/>
                <w:sz w:val="21"/>
                <w:szCs w:val="21"/>
                <w:highlight w:val="none"/>
                <w:lang w:val="en-US" w:eastAsia="zh-CN"/>
              </w:rPr>
              <w:t>20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2</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rFonts w:hint="eastAsia" w:eastAsia="宋体"/>
                <w:sz w:val="21"/>
                <w:szCs w:val="21"/>
                <w:highlight w:val="none"/>
                <w:lang w:eastAsia="zh-CN"/>
              </w:rPr>
            </w:pPr>
            <w:r>
              <w:rPr>
                <w:sz w:val="21"/>
                <w:szCs w:val="21"/>
                <w:highlight w:val="none"/>
              </w:rPr>
              <w:t>原料</w:t>
            </w:r>
            <w:r>
              <w:rPr>
                <w:rFonts w:hint="eastAsia"/>
                <w:sz w:val="21"/>
                <w:szCs w:val="21"/>
                <w:highlight w:val="none"/>
                <w:lang w:val="en-US" w:eastAsia="zh-CN"/>
              </w:rPr>
              <w:t>棚</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50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三面围挡带顶</w:t>
            </w:r>
            <w:r>
              <w:rPr>
                <w:rFonts w:ascii="Times New Roman" w:hAnsi="Times New Roman" w:eastAsia="宋体" w:cs="Times New Roman"/>
                <w:sz w:val="21"/>
                <w:szCs w:val="21"/>
                <w:highlight w:val="none"/>
              </w:rPr>
              <w:t>，</w:t>
            </w:r>
            <w:r>
              <w:rPr>
                <w:rFonts w:hint="eastAsia" w:ascii="Times New Roman" w:hAnsi="Times New Roman" w:eastAsia="宋体" w:cs="Times New Roman"/>
                <w:sz w:val="21"/>
                <w:szCs w:val="21"/>
                <w:highlight w:val="none"/>
                <w:lang w:val="en-US" w:eastAsia="zh-CN"/>
              </w:rPr>
              <w:t>进深不小于8米</w:t>
            </w:r>
            <w:r>
              <w:rPr>
                <w:rFonts w:hint="eastAsia" w:ascii="Times New Roman" w:hAnsi="Times New Roman" w:eastAsia="宋体" w:cs="Times New Roman"/>
                <w:sz w:val="21"/>
                <w:szCs w:val="21"/>
                <w:highlight w:val="none"/>
              </w:rPr>
              <w:t>，</w:t>
            </w:r>
            <w:r>
              <w:rPr>
                <w:rFonts w:hint="eastAsia" w:ascii="Times New Roman" w:hAnsi="Times New Roman" w:eastAsia="宋体" w:cs="Times New Roman"/>
                <w:sz w:val="21"/>
                <w:szCs w:val="21"/>
                <w:highlight w:val="none"/>
                <w:lang w:val="en-US" w:eastAsia="zh-CN"/>
              </w:rPr>
              <w:t>受料仓设喷雾抑尘装置</w:t>
            </w:r>
          </w:p>
          <w:p>
            <w:pPr>
              <w:spacing w:line="240" w:lineRule="auto"/>
              <w:ind w:firstLine="0" w:firstLineChars="0"/>
              <w:jc w:val="center"/>
              <w:rPr>
                <w:sz w:val="21"/>
                <w:szCs w:val="21"/>
                <w:highlight w:val="none"/>
              </w:rPr>
            </w:pPr>
            <w:r>
              <w:rPr>
                <w:rFonts w:hint="eastAsia"/>
                <w:sz w:val="21"/>
                <w:szCs w:val="21"/>
                <w:highlight w:val="none"/>
              </w:rPr>
              <w:t>规格：</w:t>
            </w:r>
            <w:r>
              <w:rPr>
                <w:rFonts w:hint="eastAsia"/>
                <w:sz w:val="21"/>
                <w:szCs w:val="21"/>
                <w:highlight w:val="none"/>
                <w:lang w:val="en-US" w:eastAsia="zh-CN"/>
              </w:rPr>
              <w:t>1</w:t>
            </w:r>
            <w:r>
              <w:rPr>
                <w:rFonts w:hint="eastAsia"/>
                <w:sz w:val="21"/>
                <w:szCs w:val="21"/>
                <w:highlight w:val="none"/>
              </w:rPr>
              <w:t>0</w:t>
            </w:r>
            <w:r>
              <w:rPr>
                <w:sz w:val="21"/>
                <w:szCs w:val="21"/>
                <w:highlight w:val="none"/>
              </w:rPr>
              <w:t>m×</w:t>
            </w:r>
            <w:r>
              <w:rPr>
                <w:rFonts w:hint="eastAsia"/>
                <w:sz w:val="21"/>
                <w:szCs w:val="21"/>
                <w:highlight w:val="none"/>
                <w:lang w:val="en-US" w:eastAsia="zh-CN"/>
              </w:rPr>
              <w:t>5</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3</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成品库</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400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w:t>
            </w:r>
            <w:r>
              <w:rPr>
                <w:rFonts w:hint="eastAsia"/>
                <w:sz w:val="21"/>
                <w:szCs w:val="21"/>
                <w:highlight w:val="none"/>
                <w:lang w:val="en-US" w:eastAsia="zh-CN"/>
              </w:rPr>
              <w:t>40</w:t>
            </w:r>
            <w:r>
              <w:rPr>
                <w:sz w:val="21"/>
                <w:szCs w:val="21"/>
                <w:highlight w:val="none"/>
              </w:rPr>
              <w:t>m×</w:t>
            </w:r>
            <w:r>
              <w:rPr>
                <w:rFonts w:hint="eastAsia"/>
                <w:sz w:val="21"/>
                <w:szCs w:val="21"/>
                <w:highlight w:val="none"/>
                <w:lang w:val="en-US" w:eastAsia="zh-CN"/>
              </w:rPr>
              <w:t>10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bl>
    <w:p>
      <w:pPr>
        <w:pStyle w:val="6"/>
        <w:numPr>
          <w:ilvl w:val="2"/>
          <w:numId w:val="1"/>
        </w:numPr>
        <w:spacing w:beforeLines="50" w:after="0"/>
        <w:ind w:left="567"/>
        <w:rPr>
          <w:szCs w:val="28"/>
          <w:highlight w:val="none"/>
        </w:rPr>
      </w:pPr>
      <w:r>
        <w:rPr>
          <w:rFonts w:hint="eastAsia"/>
          <w:szCs w:val="28"/>
          <w:highlight w:val="none"/>
        </w:rPr>
        <w:t xml:space="preserve"> </w:t>
      </w:r>
      <w:r>
        <w:rPr>
          <w:szCs w:val="28"/>
          <w:highlight w:val="none"/>
        </w:rPr>
        <w:t>项目主要设备</w:t>
      </w:r>
    </w:p>
    <w:p>
      <w:pPr>
        <w:ind w:firstLine="480"/>
        <w:rPr>
          <w:bCs/>
          <w:sz w:val="24"/>
          <w:szCs w:val="24"/>
          <w:highlight w:val="none"/>
        </w:rPr>
      </w:pPr>
      <w:r>
        <w:rPr>
          <w:rFonts w:hint="eastAsia"/>
          <w:bCs/>
          <w:sz w:val="24"/>
          <w:szCs w:val="24"/>
          <w:highlight w:val="none"/>
          <w:lang w:val="en-US" w:eastAsia="zh-CN"/>
        </w:rPr>
        <w:t>改扩建工程新增</w:t>
      </w:r>
      <w:r>
        <w:rPr>
          <w:bCs/>
          <w:sz w:val="24"/>
          <w:szCs w:val="24"/>
          <w:highlight w:val="none"/>
        </w:rPr>
        <w:t>设备</w:t>
      </w:r>
      <w:r>
        <w:rPr>
          <w:rFonts w:hint="eastAsia"/>
          <w:bCs/>
          <w:sz w:val="24"/>
          <w:szCs w:val="24"/>
          <w:highlight w:val="none"/>
          <w:lang w:val="en-US" w:eastAsia="zh-CN"/>
        </w:rPr>
        <w:t>情况</w:t>
      </w:r>
      <w:r>
        <w:rPr>
          <w:bCs/>
          <w:sz w:val="24"/>
          <w:szCs w:val="24"/>
          <w:highlight w:val="none"/>
        </w:rPr>
        <w:t>详见表3.</w:t>
      </w:r>
      <w:r>
        <w:rPr>
          <w:rFonts w:hint="eastAsia"/>
          <w:bCs/>
          <w:sz w:val="24"/>
          <w:szCs w:val="24"/>
          <w:highlight w:val="none"/>
          <w:lang w:val="en-US" w:eastAsia="zh-CN"/>
        </w:rPr>
        <w:t>2</w:t>
      </w:r>
      <w:r>
        <w:rPr>
          <w:bCs/>
          <w:sz w:val="24"/>
          <w:szCs w:val="24"/>
          <w:highlight w:val="none"/>
        </w:rPr>
        <w:t>-4</w:t>
      </w:r>
      <w:r>
        <w:rPr>
          <w:rFonts w:hint="eastAsia"/>
          <w:bCs/>
          <w:sz w:val="24"/>
          <w:szCs w:val="24"/>
          <w:highlight w:val="none"/>
          <w:lang w:eastAsia="zh-CN"/>
        </w:rPr>
        <w:t>，</w:t>
      </w:r>
      <w:r>
        <w:rPr>
          <w:rFonts w:hint="eastAsia"/>
          <w:bCs/>
          <w:sz w:val="24"/>
          <w:szCs w:val="24"/>
          <w:highlight w:val="none"/>
          <w:lang w:val="en-US" w:eastAsia="zh-CN"/>
        </w:rPr>
        <w:t>改扩建工程实施后南厂区</w:t>
      </w:r>
      <w:r>
        <w:rPr>
          <w:bCs/>
          <w:sz w:val="24"/>
          <w:szCs w:val="24"/>
          <w:highlight w:val="none"/>
        </w:rPr>
        <w:t>设备</w:t>
      </w:r>
      <w:r>
        <w:rPr>
          <w:rFonts w:hint="eastAsia"/>
          <w:bCs/>
          <w:sz w:val="24"/>
          <w:szCs w:val="24"/>
          <w:highlight w:val="none"/>
          <w:lang w:val="en-US" w:eastAsia="zh-CN"/>
        </w:rPr>
        <w:t>情况</w:t>
      </w:r>
      <w:r>
        <w:rPr>
          <w:bCs/>
          <w:sz w:val="24"/>
          <w:szCs w:val="24"/>
          <w:highlight w:val="none"/>
        </w:rPr>
        <w:t>详见表3.</w:t>
      </w:r>
      <w:r>
        <w:rPr>
          <w:rFonts w:hint="eastAsia"/>
          <w:bCs/>
          <w:sz w:val="24"/>
          <w:szCs w:val="24"/>
          <w:highlight w:val="none"/>
          <w:lang w:val="en-US" w:eastAsia="zh-CN"/>
        </w:rPr>
        <w:t>2</w:t>
      </w:r>
      <w:r>
        <w:rPr>
          <w:bCs/>
          <w:sz w:val="24"/>
          <w:szCs w:val="24"/>
          <w:highlight w:val="none"/>
        </w:rPr>
        <w:t>-</w:t>
      </w:r>
      <w:r>
        <w:rPr>
          <w:rFonts w:hint="eastAsia"/>
          <w:bCs/>
          <w:sz w:val="24"/>
          <w:szCs w:val="24"/>
          <w:highlight w:val="none"/>
          <w:lang w:val="en-US" w:eastAsia="zh-CN"/>
        </w:rPr>
        <w:t>5</w:t>
      </w:r>
      <w:r>
        <w:rPr>
          <w:bCs/>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2</w:t>
      </w:r>
      <w:r>
        <w:rPr>
          <w:rFonts w:eastAsia="黑体"/>
          <w:kern w:val="2"/>
          <w:sz w:val="21"/>
          <w:szCs w:val="21"/>
          <w:highlight w:val="none"/>
        </w:rPr>
        <w:t xml:space="preserve">-4    </w:t>
      </w:r>
      <w:r>
        <w:rPr>
          <w:rFonts w:hint="eastAsia" w:ascii="Times New Roman" w:hAnsi="Times New Roman" w:eastAsia="黑体" w:cs="Times New Roman"/>
          <w:kern w:val="2"/>
          <w:sz w:val="21"/>
          <w:szCs w:val="21"/>
          <w:highlight w:val="none"/>
          <w:lang w:val="en-US" w:eastAsia="zh-CN"/>
        </w:rPr>
        <w:t>改扩建工程新增</w:t>
      </w:r>
      <w:r>
        <w:rPr>
          <w:rFonts w:ascii="Times New Roman" w:hAnsi="Times New Roman" w:eastAsia="黑体" w:cs="Times New Roman"/>
          <w:kern w:val="2"/>
          <w:sz w:val="21"/>
          <w:szCs w:val="21"/>
          <w:highlight w:val="none"/>
        </w:rPr>
        <w:t>设备一</w:t>
      </w:r>
      <w:r>
        <w:rPr>
          <w:rFonts w:eastAsia="黑体"/>
          <w:kern w:val="2"/>
          <w:sz w:val="21"/>
          <w:szCs w:val="21"/>
          <w:highlight w:val="none"/>
        </w:rPr>
        <w:t>览表</w:t>
      </w:r>
    </w:p>
    <w:tbl>
      <w:tblPr>
        <w:tblStyle w:val="48"/>
        <w:tblW w:w="8489"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8"/>
        <w:gridCol w:w="1805"/>
        <w:gridCol w:w="2209"/>
        <w:gridCol w:w="1011"/>
        <w:gridCol w:w="1011"/>
        <w:gridCol w:w="177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1805" w:type="dxa"/>
            <w:vAlign w:val="center"/>
          </w:tcPr>
          <w:p>
            <w:pPr>
              <w:widowControl/>
              <w:spacing w:line="240" w:lineRule="auto"/>
              <w:ind w:firstLine="0" w:firstLineChars="0"/>
              <w:jc w:val="center"/>
              <w:rPr>
                <w:sz w:val="21"/>
                <w:szCs w:val="21"/>
                <w:highlight w:val="none"/>
              </w:rPr>
            </w:pPr>
            <w:r>
              <w:rPr>
                <w:sz w:val="21"/>
                <w:szCs w:val="21"/>
                <w:highlight w:val="none"/>
              </w:rPr>
              <w:t>名称</w:t>
            </w:r>
          </w:p>
        </w:tc>
        <w:tc>
          <w:tcPr>
            <w:tcW w:w="2209" w:type="dxa"/>
            <w:vAlign w:val="center"/>
          </w:tcPr>
          <w:p>
            <w:pPr>
              <w:widowControl/>
              <w:spacing w:line="240" w:lineRule="auto"/>
              <w:ind w:firstLine="0" w:firstLineChars="0"/>
              <w:jc w:val="center"/>
              <w:rPr>
                <w:sz w:val="21"/>
                <w:szCs w:val="21"/>
                <w:highlight w:val="none"/>
              </w:rPr>
            </w:pPr>
            <w:r>
              <w:rPr>
                <w:sz w:val="21"/>
                <w:szCs w:val="21"/>
                <w:highlight w:val="none"/>
              </w:rPr>
              <w:t>型号</w:t>
            </w:r>
          </w:p>
        </w:tc>
        <w:tc>
          <w:tcPr>
            <w:tcW w:w="1011" w:type="dxa"/>
            <w:vAlign w:val="center"/>
          </w:tcPr>
          <w:p>
            <w:pPr>
              <w:widowControl/>
              <w:spacing w:line="240" w:lineRule="auto"/>
              <w:ind w:firstLine="0" w:firstLineChars="0"/>
              <w:jc w:val="center"/>
              <w:rPr>
                <w:sz w:val="21"/>
                <w:szCs w:val="21"/>
                <w:highlight w:val="none"/>
              </w:rPr>
            </w:pPr>
            <w:r>
              <w:rPr>
                <w:sz w:val="21"/>
                <w:szCs w:val="21"/>
                <w:highlight w:val="none"/>
              </w:rPr>
              <w:t>单位</w:t>
            </w:r>
          </w:p>
        </w:tc>
        <w:tc>
          <w:tcPr>
            <w:tcW w:w="1011" w:type="dxa"/>
            <w:vAlign w:val="center"/>
          </w:tcPr>
          <w:p>
            <w:pPr>
              <w:spacing w:line="240" w:lineRule="auto"/>
              <w:ind w:firstLine="0" w:firstLineChars="0"/>
              <w:jc w:val="center"/>
              <w:rPr>
                <w:sz w:val="21"/>
                <w:szCs w:val="21"/>
                <w:highlight w:val="none"/>
              </w:rPr>
            </w:pPr>
            <w:r>
              <w:rPr>
                <w:sz w:val="21"/>
                <w:szCs w:val="21"/>
                <w:highlight w:val="none"/>
              </w:rPr>
              <w:t>数量</w:t>
            </w:r>
          </w:p>
        </w:tc>
        <w:tc>
          <w:tcPr>
            <w:tcW w:w="1775" w:type="dxa"/>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1</w:t>
            </w:r>
          </w:p>
        </w:tc>
        <w:tc>
          <w:tcPr>
            <w:tcW w:w="1805" w:type="dxa"/>
            <w:vAlign w:val="center"/>
          </w:tcPr>
          <w:p>
            <w:pPr>
              <w:spacing w:line="240" w:lineRule="auto"/>
              <w:ind w:firstLine="0" w:firstLineChars="0"/>
              <w:jc w:val="center"/>
              <w:rPr>
                <w:sz w:val="21"/>
                <w:szCs w:val="21"/>
                <w:highlight w:val="none"/>
              </w:rPr>
            </w:pPr>
            <w:r>
              <w:rPr>
                <w:sz w:val="21"/>
                <w:szCs w:val="21"/>
                <w:highlight w:val="none"/>
              </w:rPr>
              <w:t>颚式破碎机</w:t>
            </w:r>
          </w:p>
        </w:tc>
        <w:tc>
          <w:tcPr>
            <w:tcW w:w="2209" w:type="dxa"/>
            <w:vAlign w:val="bottom"/>
          </w:tcPr>
          <w:p>
            <w:pPr>
              <w:spacing w:line="240" w:lineRule="auto"/>
              <w:ind w:firstLine="420"/>
              <w:rPr>
                <w:sz w:val="21"/>
                <w:szCs w:val="21"/>
                <w:highlight w:val="none"/>
              </w:rPr>
            </w:pPr>
            <w:r>
              <w:rPr>
                <w:rFonts w:hint="eastAsia" w:eastAsiaTheme="minorEastAsia"/>
                <w:sz w:val="21"/>
                <w:szCs w:val="21"/>
                <w:highlight w:val="none"/>
                <w:lang w:val="en-US" w:eastAsia="zh-CN"/>
              </w:rPr>
              <w:t>75</w:t>
            </w:r>
            <w:r>
              <w:rPr>
                <w:rFonts w:eastAsiaTheme="minorEastAsia"/>
                <w:sz w:val="21"/>
                <w:szCs w:val="21"/>
                <w:highlight w:val="none"/>
              </w:rPr>
              <w:t>0*</w:t>
            </w:r>
            <w:r>
              <w:rPr>
                <w:rFonts w:hint="eastAsia" w:eastAsiaTheme="minorEastAsia"/>
                <w:sz w:val="21"/>
                <w:szCs w:val="21"/>
                <w:highlight w:val="none"/>
                <w:lang w:val="en-US" w:eastAsia="zh-CN"/>
              </w:rPr>
              <w:t>106</w:t>
            </w:r>
            <w:r>
              <w:rPr>
                <w:rFonts w:eastAsiaTheme="minorEastAsia"/>
                <w:sz w:val="21"/>
                <w:szCs w:val="21"/>
                <w:highlight w:val="none"/>
              </w:rPr>
              <w:t>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w:t>
            </w:r>
            <w:r>
              <w:rPr>
                <w:rFonts w:hint="eastAsia"/>
                <w:sz w:val="21"/>
                <w:szCs w:val="21"/>
                <w:highlight w:val="none"/>
                <w:lang w:val="en-US" w:eastAsia="zh-CN"/>
              </w:rPr>
              <w:t>新增</w:t>
            </w:r>
            <w:r>
              <w:rPr>
                <w:rFonts w:hint="eastAsia"/>
                <w:sz w:val="21"/>
                <w:szCs w:val="21"/>
                <w:highlight w:val="none"/>
              </w:rPr>
              <w:t>设备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2</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圆锥</w:t>
            </w:r>
            <w:r>
              <w:rPr>
                <w:sz w:val="21"/>
                <w:szCs w:val="21"/>
                <w:highlight w:val="none"/>
              </w:rPr>
              <w:t>破碎机</w:t>
            </w:r>
          </w:p>
        </w:tc>
        <w:tc>
          <w:tcPr>
            <w:tcW w:w="2209" w:type="dxa"/>
            <w:vAlign w:val="bottom"/>
          </w:tcPr>
          <w:p>
            <w:pPr>
              <w:spacing w:line="240" w:lineRule="auto"/>
              <w:ind w:firstLine="630" w:firstLineChars="300"/>
              <w:rPr>
                <w:rFonts w:hint="default" w:eastAsia="宋体"/>
                <w:sz w:val="21"/>
                <w:szCs w:val="21"/>
                <w:highlight w:val="none"/>
                <w:lang w:val="en-US" w:eastAsia="zh-CN"/>
              </w:rPr>
            </w:pPr>
            <w:r>
              <w:rPr>
                <w:rFonts w:hint="eastAsia"/>
                <w:sz w:val="21"/>
                <w:szCs w:val="21"/>
                <w:highlight w:val="none"/>
                <w:lang w:val="en-US" w:eastAsia="zh-CN"/>
              </w:rPr>
              <w:t>HP550</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3</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72</w:t>
            </w:r>
            <w:r>
              <w:rPr>
                <w:sz w:val="21"/>
                <w:szCs w:val="21"/>
                <w:highlight w:val="none"/>
              </w:rPr>
              <w:t>00mm×</w:t>
            </w:r>
            <w:r>
              <w:rPr>
                <w:rFonts w:hint="eastAsia"/>
                <w:sz w:val="21"/>
                <w:szCs w:val="21"/>
                <w:highlight w:val="none"/>
                <w:lang w:val="en-US" w:eastAsia="zh-CN"/>
              </w:rPr>
              <w:t>36</w:t>
            </w:r>
            <w:r>
              <w:rPr>
                <w:sz w:val="21"/>
                <w:szCs w:val="21"/>
                <w:highlight w:val="none"/>
              </w:rPr>
              <w:t>00mm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sz w:val="21"/>
                <w:szCs w:val="21"/>
                <w:highlight w:val="none"/>
              </w:rPr>
            </w:pPr>
            <w:r>
              <w:rPr>
                <w:rFonts w:hint="eastAsia"/>
                <w:sz w:val="21"/>
                <w:szCs w:val="21"/>
                <w:highlight w:val="none"/>
              </w:rPr>
              <w:t>4</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振动筛</w:t>
            </w:r>
          </w:p>
        </w:tc>
        <w:tc>
          <w:tcPr>
            <w:tcW w:w="2209"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72</w:t>
            </w:r>
            <w:r>
              <w:rPr>
                <w:sz w:val="21"/>
                <w:szCs w:val="21"/>
                <w:highlight w:val="none"/>
              </w:rPr>
              <w:t>00mm×</w:t>
            </w:r>
            <w:r>
              <w:rPr>
                <w:rFonts w:hint="eastAsia"/>
                <w:sz w:val="21"/>
                <w:szCs w:val="21"/>
                <w:highlight w:val="none"/>
                <w:lang w:val="en-US" w:eastAsia="zh-CN"/>
              </w:rPr>
              <w:t>20</w:t>
            </w:r>
            <w:r>
              <w:rPr>
                <w:sz w:val="21"/>
                <w:szCs w:val="21"/>
                <w:highlight w:val="none"/>
              </w:rPr>
              <w:t>00mm</w:t>
            </w: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5</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皮带输送机</w:t>
            </w:r>
          </w:p>
        </w:tc>
        <w:tc>
          <w:tcPr>
            <w:tcW w:w="2209" w:type="dxa"/>
            <w:vAlign w:val="bottom"/>
          </w:tcPr>
          <w:p>
            <w:pPr>
              <w:spacing w:line="240" w:lineRule="auto"/>
              <w:ind w:firstLine="630" w:firstLineChars="300"/>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6</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6</w:t>
            </w:r>
          </w:p>
        </w:tc>
        <w:tc>
          <w:tcPr>
            <w:tcW w:w="1805" w:type="dxa"/>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磁选机</w:t>
            </w:r>
          </w:p>
        </w:tc>
        <w:tc>
          <w:tcPr>
            <w:tcW w:w="2209" w:type="dxa"/>
            <w:vAlign w:val="bottom"/>
          </w:tcPr>
          <w:p>
            <w:pPr>
              <w:spacing w:line="240" w:lineRule="auto"/>
              <w:ind w:left="0" w:leftChars="0" w:firstLine="0" w:firstLineChars="0"/>
              <w:jc w:val="center"/>
              <w:rPr>
                <w:sz w:val="21"/>
                <w:szCs w:val="21"/>
                <w:highlight w:val="none"/>
              </w:rPr>
            </w:pPr>
            <w:r>
              <w:rPr>
                <w:rFonts w:hint="eastAsia"/>
                <w:sz w:val="21"/>
                <w:szCs w:val="21"/>
                <w:highlight w:val="none"/>
                <w:lang w:val="en-US" w:eastAsia="zh-CN"/>
              </w:rPr>
              <w:t>12</w:t>
            </w:r>
            <w:r>
              <w:rPr>
                <w:sz w:val="21"/>
                <w:szCs w:val="21"/>
                <w:highlight w:val="none"/>
              </w:rPr>
              <w:t>00mm×</w:t>
            </w:r>
            <w:r>
              <w:rPr>
                <w:rFonts w:hint="eastAsia"/>
                <w:sz w:val="21"/>
                <w:szCs w:val="21"/>
                <w:highlight w:val="none"/>
                <w:lang w:val="en-US" w:eastAsia="zh-CN"/>
              </w:rPr>
              <w:t>24</w:t>
            </w:r>
            <w:r>
              <w:rPr>
                <w:sz w:val="21"/>
                <w:szCs w:val="21"/>
                <w:highlight w:val="none"/>
              </w:rPr>
              <w:t>00mm</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2</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7</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振动给料机</w:t>
            </w:r>
          </w:p>
        </w:tc>
        <w:tc>
          <w:tcPr>
            <w:tcW w:w="2209" w:type="dxa"/>
            <w:vAlign w:val="bottom"/>
          </w:tcPr>
          <w:p>
            <w:pPr>
              <w:spacing w:line="240" w:lineRule="auto"/>
              <w:ind w:firstLine="420"/>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sz w:val="21"/>
                <w:szCs w:val="21"/>
                <w:highlight w:val="none"/>
              </w:rPr>
            </w:pPr>
            <w:r>
              <w:rPr>
                <w:rFonts w:hint="eastAsia"/>
                <w:sz w:val="21"/>
                <w:szCs w:val="21"/>
                <w:highlight w:val="none"/>
              </w:rPr>
              <w:t>8</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洗沙船</w:t>
            </w:r>
          </w:p>
        </w:tc>
        <w:tc>
          <w:tcPr>
            <w:tcW w:w="2209" w:type="dxa"/>
            <w:vAlign w:val="bottom"/>
          </w:tcPr>
          <w:p>
            <w:pPr>
              <w:spacing w:line="240" w:lineRule="auto"/>
              <w:ind w:firstLine="420" w:firstLineChars="200"/>
              <w:rPr>
                <w:rFonts w:ascii="Times New Roman" w:hAnsi="Times New Roman" w:eastAsia="宋体" w:cs="Times New Roman"/>
                <w:sz w:val="21"/>
                <w:szCs w:val="21"/>
                <w:highlight w:val="none"/>
                <w:lang w:val="en-US" w:eastAsia="zh-CN" w:bidi="ar-SA"/>
              </w:rPr>
            </w:pP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2</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9</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浓缩罐</w:t>
            </w:r>
          </w:p>
        </w:tc>
        <w:tc>
          <w:tcPr>
            <w:tcW w:w="2209"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Φ</w:t>
            </w:r>
            <w:r>
              <w:rPr>
                <w:rFonts w:hint="eastAsia"/>
                <w:sz w:val="21"/>
                <w:szCs w:val="21"/>
                <w:highlight w:val="none"/>
                <w:lang w:val="en-US" w:eastAsia="zh-CN"/>
              </w:rPr>
              <w:t>8</w:t>
            </w:r>
            <w:r>
              <w:rPr>
                <w:rFonts w:hint="eastAsia"/>
                <w:sz w:val="21"/>
                <w:szCs w:val="21"/>
                <w:highlight w:val="none"/>
              </w:rPr>
              <w:t>m</w:t>
            </w: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座</w:t>
            </w:r>
          </w:p>
        </w:tc>
        <w:tc>
          <w:tcPr>
            <w:tcW w:w="1011" w:type="dxa"/>
            <w:vAlign w:val="bottom"/>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sz w:val="21"/>
                <w:szCs w:val="21"/>
                <w:highlight w:val="none"/>
                <w:lang w:val="en-US" w:eastAsia="zh-CN"/>
              </w:rPr>
            </w:pPr>
            <w:r>
              <w:rPr>
                <w:rFonts w:hint="eastAsia" w:cs="Times New Roman"/>
                <w:sz w:val="21"/>
                <w:szCs w:val="21"/>
                <w:highlight w:val="none"/>
                <w:lang w:val="en-US" w:eastAsia="zh-CN" w:bidi="ar-SA"/>
              </w:rPr>
              <w:t>10</w:t>
            </w:r>
          </w:p>
        </w:tc>
        <w:tc>
          <w:tcPr>
            <w:tcW w:w="1805" w:type="dxa"/>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水泵</w:t>
            </w:r>
          </w:p>
        </w:tc>
        <w:tc>
          <w:tcPr>
            <w:tcW w:w="2209" w:type="dxa"/>
            <w:vAlign w:val="center"/>
          </w:tcPr>
          <w:p>
            <w:pPr>
              <w:spacing w:line="240" w:lineRule="auto"/>
              <w:ind w:firstLine="0" w:firstLineChars="0"/>
              <w:jc w:val="center"/>
              <w:rPr>
                <w:rFonts w:hint="eastAsia" w:eastAsia="宋体"/>
                <w:sz w:val="21"/>
                <w:szCs w:val="21"/>
                <w:highlight w:val="none"/>
                <w:lang w:val="en-US" w:eastAsia="zh-CN"/>
              </w:rPr>
            </w:pPr>
          </w:p>
        </w:tc>
        <w:tc>
          <w:tcPr>
            <w:tcW w:w="1011" w:type="dxa"/>
            <w:vAlign w:val="center"/>
          </w:tcPr>
          <w:p>
            <w:pPr>
              <w:spacing w:line="240" w:lineRule="auto"/>
              <w:ind w:firstLine="0" w:firstLineChars="0"/>
              <w:jc w:val="center"/>
              <w:rPr>
                <w:rFonts w:hint="eastAsia"/>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default"/>
                <w:sz w:val="21"/>
                <w:szCs w:val="21"/>
                <w:highlight w:val="none"/>
                <w:lang w:val="en-US" w:eastAsia="zh-CN"/>
              </w:rPr>
            </w:pPr>
            <w:r>
              <w:rPr>
                <w:rFonts w:hint="eastAsia"/>
                <w:sz w:val="21"/>
                <w:szCs w:val="21"/>
                <w:highlight w:val="none"/>
                <w:lang w:val="en-US" w:eastAsia="zh-CN"/>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cs="Times New Roman"/>
                <w:sz w:val="21"/>
                <w:szCs w:val="21"/>
                <w:highlight w:val="none"/>
                <w:lang w:val="en-US" w:eastAsia="zh-CN" w:bidi="ar-SA"/>
              </w:rPr>
            </w:pPr>
            <w:r>
              <w:rPr>
                <w:rFonts w:hint="eastAsia" w:cs="Times New Roman"/>
                <w:sz w:val="21"/>
                <w:szCs w:val="21"/>
                <w:highlight w:val="none"/>
                <w:lang w:val="en-US" w:eastAsia="zh-CN" w:bidi="ar-SA"/>
              </w:rPr>
              <w:t>11</w:t>
            </w:r>
          </w:p>
        </w:tc>
        <w:tc>
          <w:tcPr>
            <w:tcW w:w="1805" w:type="dxa"/>
            <w:vAlign w:val="center"/>
          </w:tcPr>
          <w:p>
            <w:pPr>
              <w:spacing w:line="240" w:lineRule="auto"/>
              <w:ind w:firstLine="0" w:firstLineChars="0"/>
              <w:jc w:val="center"/>
              <w:rPr>
                <w:rFonts w:hint="eastAsia"/>
                <w:sz w:val="21"/>
                <w:szCs w:val="21"/>
                <w:highlight w:val="none"/>
                <w:lang w:val="en-US" w:eastAsia="zh-CN"/>
              </w:rPr>
            </w:pPr>
            <w:r>
              <w:rPr>
                <w:rFonts w:hint="eastAsia"/>
                <w:sz w:val="21"/>
                <w:szCs w:val="21"/>
                <w:highlight w:val="none"/>
                <w:lang w:val="en-US" w:eastAsia="zh-CN"/>
              </w:rPr>
              <w:t>渣浆泵</w:t>
            </w:r>
          </w:p>
        </w:tc>
        <w:tc>
          <w:tcPr>
            <w:tcW w:w="2209" w:type="dxa"/>
            <w:vAlign w:val="center"/>
          </w:tcPr>
          <w:p>
            <w:pPr>
              <w:spacing w:line="240" w:lineRule="auto"/>
              <w:ind w:firstLine="0" w:firstLineChars="0"/>
              <w:jc w:val="center"/>
              <w:rPr>
                <w:rFonts w:hint="eastAsia" w:eastAsia="宋体"/>
                <w:sz w:val="21"/>
                <w:szCs w:val="21"/>
                <w:highlight w:val="none"/>
                <w:lang w:val="en-US" w:eastAsia="zh-CN"/>
              </w:rPr>
            </w:pP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bottom"/>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2</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ascii="Times New Roman" w:hAnsi="Times New Roman" w:eastAsia="宋体" w:cs="Times New Roman"/>
                <w:sz w:val="21"/>
                <w:szCs w:val="21"/>
                <w:highlight w:val="none"/>
                <w:lang w:val="en-US" w:eastAsia="zh-CN" w:bidi="ar-SA"/>
              </w:rPr>
            </w:pPr>
            <w:r>
              <w:rPr>
                <w:rFonts w:hint="eastAsia" w:cs="Times New Roman"/>
                <w:sz w:val="21"/>
                <w:szCs w:val="21"/>
                <w:highlight w:val="none"/>
                <w:lang w:val="en-US" w:eastAsia="zh-CN" w:bidi="ar-SA"/>
              </w:rPr>
              <w:t>12</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ascii="宋体" w:hAnsi="宋体"/>
                <w:sz w:val="21"/>
                <w:szCs w:val="21"/>
                <w:highlight w:val="none"/>
              </w:rPr>
              <w:t>脉冲布袋除尘器</w:t>
            </w:r>
          </w:p>
        </w:tc>
        <w:tc>
          <w:tcPr>
            <w:tcW w:w="2209"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风量</w:t>
            </w:r>
            <w:r>
              <w:rPr>
                <w:rFonts w:hint="eastAsia"/>
                <w:bCs/>
                <w:sz w:val="21"/>
                <w:szCs w:val="21"/>
                <w:highlight w:val="none"/>
              </w:rPr>
              <w:t>40000</w:t>
            </w:r>
            <w:r>
              <w:rPr>
                <w:bCs/>
                <w:sz w:val="21"/>
                <w:szCs w:val="21"/>
                <w:highlight w:val="none"/>
              </w:rPr>
              <w:t>m</w:t>
            </w:r>
            <w:r>
              <w:rPr>
                <w:bCs/>
                <w:sz w:val="21"/>
                <w:szCs w:val="21"/>
                <w:highlight w:val="none"/>
                <w:vertAlign w:val="superscript"/>
              </w:rPr>
              <w:t>3</w:t>
            </w:r>
            <w:r>
              <w:rPr>
                <w:bCs/>
                <w:sz w:val="21"/>
                <w:szCs w:val="21"/>
                <w:highlight w:val="none"/>
              </w:rPr>
              <w:t>/h</w:t>
            </w: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套</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2</w:t>
      </w:r>
      <w:r>
        <w:rPr>
          <w:rFonts w:eastAsia="黑体"/>
          <w:kern w:val="2"/>
          <w:sz w:val="21"/>
          <w:szCs w:val="21"/>
          <w:highlight w:val="none"/>
        </w:rPr>
        <w:t>-</w:t>
      </w:r>
      <w:r>
        <w:rPr>
          <w:rFonts w:hint="eastAsia" w:eastAsia="黑体"/>
          <w:kern w:val="2"/>
          <w:sz w:val="21"/>
          <w:szCs w:val="21"/>
          <w:highlight w:val="none"/>
          <w:lang w:val="en-US" w:eastAsia="zh-CN"/>
        </w:rPr>
        <w:t>5</w:t>
      </w:r>
      <w:r>
        <w:rPr>
          <w:rFonts w:eastAsia="黑体"/>
          <w:kern w:val="2"/>
          <w:sz w:val="21"/>
          <w:szCs w:val="21"/>
          <w:highlight w:val="none"/>
        </w:rPr>
        <w:t xml:space="preserve">    </w:t>
      </w:r>
      <w:r>
        <w:rPr>
          <w:rFonts w:hint="eastAsia" w:ascii="Times New Roman" w:hAnsi="Times New Roman" w:eastAsia="黑体" w:cs="Times New Roman"/>
          <w:kern w:val="2"/>
          <w:sz w:val="21"/>
          <w:szCs w:val="21"/>
          <w:highlight w:val="none"/>
          <w:lang w:val="en-US" w:eastAsia="zh-CN"/>
        </w:rPr>
        <w:t>改扩建工程完成后南厂区主要</w:t>
      </w:r>
      <w:r>
        <w:rPr>
          <w:rFonts w:ascii="Times New Roman" w:hAnsi="Times New Roman" w:eastAsia="黑体" w:cs="Times New Roman"/>
          <w:kern w:val="2"/>
          <w:sz w:val="21"/>
          <w:szCs w:val="21"/>
          <w:highlight w:val="none"/>
        </w:rPr>
        <w:t>设备一</w:t>
      </w:r>
      <w:r>
        <w:rPr>
          <w:rFonts w:eastAsia="黑体"/>
          <w:kern w:val="2"/>
          <w:sz w:val="21"/>
          <w:szCs w:val="21"/>
          <w:highlight w:val="none"/>
        </w:rPr>
        <w:t>览表</w:t>
      </w:r>
    </w:p>
    <w:tbl>
      <w:tblPr>
        <w:tblStyle w:val="48"/>
        <w:tblW w:w="8489"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8"/>
        <w:gridCol w:w="1805"/>
        <w:gridCol w:w="2209"/>
        <w:gridCol w:w="1011"/>
        <w:gridCol w:w="1011"/>
        <w:gridCol w:w="177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1805" w:type="dxa"/>
            <w:vAlign w:val="center"/>
          </w:tcPr>
          <w:p>
            <w:pPr>
              <w:widowControl/>
              <w:spacing w:line="240" w:lineRule="auto"/>
              <w:ind w:firstLine="0" w:firstLineChars="0"/>
              <w:jc w:val="center"/>
              <w:rPr>
                <w:sz w:val="21"/>
                <w:szCs w:val="21"/>
                <w:highlight w:val="none"/>
              </w:rPr>
            </w:pPr>
            <w:r>
              <w:rPr>
                <w:sz w:val="21"/>
                <w:szCs w:val="21"/>
                <w:highlight w:val="none"/>
              </w:rPr>
              <w:t>名称</w:t>
            </w:r>
          </w:p>
        </w:tc>
        <w:tc>
          <w:tcPr>
            <w:tcW w:w="2209" w:type="dxa"/>
            <w:vAlign w:val="center"/>
          </w:tcPr>
          <w:p>
            <w:pPr>
              <w:widowControl/>
              <w:spacing w:line="240" w:lineRule="auto"/>
              <w:ind w:firstLine="0" w:firstLineChars="0"/>
              <w:jc w:val="center"/>
              <w:rPr>
                <w:sz w:val="21"/>
                <w:szCs w:val="21"/>
                <w:highlight w:val="none"/>
              </w:rPr>
            </w:pPr>
            <w:r>
              <w:rPr>
                <w:sz w:val="21"/>
                <w:szCs w:val="21"/>
                <w:highlight w:val="none"/>
              </w:rPr>
              <w:t>型号</w:t>
            </w:r>
          </w:p>
        </w:tc>
        <w:tc>
          <w:tcPr>
            <w:tcW w:w="1011" w:type="dxa"/>
            <w:vAlign w:val="center"/>
          </w:tcPr>
          <w:p>
            <w:pPr>
              <w:widowControl/>
              <w:spacing w:line="240" w:lineRule="auto"/>
              <w:ind w:firstLine="0" w:firstLineChars="0"/>
              <w:jc w:val="center"/>
              <w:rPr>
                <w:sz w:val="21"/>
                <w:szCs w:val="21"/>
                <w:highlight w:val="none"/>
              </w:rPr>
            </w:pPr>
            <w:r>
              <w:rPr>
                <w:sz w:val="21"/>
                <w:szCs w:val="21"/>
                <w:highlight w:val="none"/>
              </w:rPr>
              <w:t>单位</w:t>
            </w:r>
          </w:p>
        </w:tc>
        <w:tc>
          <w:tcPr>
            <w:tcW w:w="1011" w:type="dxa"/>
            <w:vAlign w:val="center"/>
          </w:tcPr>
          <w:p>
            <w:pPr>
              <w:spacing w:line="240" w:lineRule="auto"/>
              <w:ind w:firstLine="0" w:firstLineChars="0"/>
              <w:jc w:val="center"/>
              <w:rPr>
                <w:sz w:val="21"/>
                <w:szCs w:val="21"/>
                <w:highlight w:val="none"/>
              </w:rPr>
            </w:pPr>
            <w:r>
              <w:rPr>
                <w:sz w:val="21"/>
                <w:szCs w:val="21"/>
                <w:highlight w:val="none"/>
              </w:rPr>
              <w:t>数量</w:t>
            </w:r>
          </w:p>
        </w:tc>
        <w:tc>
          <w:tcPr>
            <w:tcW w:w="1775" w:type="dxa"/>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1</w:t>
            </w:r>
          </w:p>
        </w:tc>
        <w:tc>
          <w:tcPr>
            <w:tcW w:w="1805" w:type="dxa"/>
            <w:vAlign w:val="center"/>
          </w:tcPr>
          <w:p>
            <w:pPr>
              <w:spacing w:line="240" w:lineRule="auto"/>
              <w:ind w:firstLine="0" w:firstLineChars="0"/>
              <w:jc w:val="center"/>
              <w:rPr>
                <w:sz w:val="21"/>
                <w:szCs w:val="21"/>
                <w:highlight w:val="none"/>
              </w:rPr>
            </w:pPr>
            <w:r>
              <w:rPr>
                <w:sz w:val="21"/>
                <w:szCs w:val="21"/>
                <w:highlight w:val="none"/>
              </w:rPr>
              <w:t>颚式破碎机</w:t>
            </w:r>
          </w:p>
        </w:tc>
        <w:tc>
          <w:tcPr>
            <w:tcW w:w="2209" w:type="dxa"/>
            <w:vAlign w:val="bottom"/>
          </w:tcPr>
          <w:p>
            <w:pPr>
              <w:spacing w:line="240" w:lineRule="auto"/>
              <w:ind w:firstLine="420"/>
              <w:rPr>
                <w:sz w:val="21"/>
                <w:szCs w:val="21"/>
                <w:highlight w:val="none"/>
              </w:rPr>
            </w:pPr>
            <w:r>
              <w:rPr>
                <w:rFonts w:hint="eastAsia"/>
                <w:sz w:val="21"/>
                <w:szCs w:val="21"/>
                <w:highlight w:val="none"/>
              </w:rPr>
              <w:t>60</w:t>
            </w:r>
            <w:r>
              <w:rPr>
                <w:sz w:val="21"/>
                <w:szCs w:val="21"/>
                <w:highlight w:val="none"/>
              </w:rPr>
              <w:t>0*</w:t>
            </w:r>
            <w:r>
              <w:rPr>
                <w:rFonts w:hint="eastAsia"/>
                <w:sz w:val="21"/>
                <w:szCs w:val="21"/>
                <w:highlight w:val="none"/>
              </w:rPr>
              <w:t>900</w:t>
            </w:r>
            <w:r>
              <w:rPr>
                <w:sz w:val="21"/>
                <w:szCs w:val="21"/>
                <w:highlight w:val="none"/>
              </w:rPr>
              <w:t>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南厂区设备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2</w:t>
            </w:r>
          </w:p>
        </w:tc>
        <w:tc>
          <w:tcPr>
            <w:tcW w:w="1805" w:type="dxa"/>
            <w:vAlign w:val="center"/>
          </w:tcPr>
          <w:p>
            <w:pPr>
              <w:spacing w:line="240" w:lineRule="auto"/>
              <w:ind w:firstLine="0" w:firstLineChars="0"/>
              <w:jc w:val="center"/>
              <w:rPr>
                <w:sz w:val="21"/>
                <w:szCs w:val="21"/>
                <w:highlight w:val="none"/>
              </w:rPr>
            </w:pPr>
            <w:r>
              <w:rPr>
                <w:sz w:val="21"/>
                <w:szCs w:val="21"/>
                <w:highlight w:val="none"/>
              </w:rPr>
              <w:t>颚式破碎机</w:t>
            </w:r>
          </w:p>
        </w:tc>
        <w:tc>
          <w:tcPr>
            <w:tcW w:w="2209" w:type="dxa"/>
            <w:vAlign w:val="bottom"/>
          </w:tcPr>
          <w:p>
            <w:pPr>
              <w:spacing w:line="240" w:lineRule="auto"/>
              <w:ind w:firstLine="420" w:firstLineChars="200"/>
              <w:rPr>
                <w:sz w:val="21"/>
                <w:szCs w:val="21"/>
                <w:highlight w:val="none"/>
              </w:rPr>
            </w:pPr>
            <w:r>
              <w:rPr>
                <w:rFonts w:hint="eastAsia" w:eastAsiaTheme="minorEastAsia"/>
                <w:sz w:val="21"/>
                <w:szCs w:val="21"/>
                <w:highlight w:val="none"/>
                <w:lang w:val="en-US" w:eastAsia="zh-CN"/>
              </w:rPr>
              <w:t>75</w:t>
            </w:r>
            <w:r>
              <w:rPr>
                <w:rFonts w:eastAsiaTheme="minorEastAsia"/>
                <w:sz w:val="21"/>
                <w:szCs w:val="21"/>
                <w:highlight w:val="none"/>
              </w:rPr>
              <w:t>0*</w:t>
            </w:r>
            <w:r>
              <w:rPr>
                <w:rFonts w:hint="eastAsia" w:eastAsiaTheme="minorEastAsia"/>
                <w:sz w:val="21"/>
                <w:szCs w:val="21"/>
                <w:highlight w:val="none"/>
                <w:lang w:val="en-US" w:eastAsia="zh-CN"/>
              </w:rPr>
              <w:t>106</w:t>
            </w:r>
            <w:r>
              <w:rPr>
                <w:rFonts w:eastAsiaTheme="minorEastAsia"/>
                <w:sz w:val="21"/>
                <w:szCs w:val="21"/>
                <w:highlight w:val="none"/>
              </w:rPr>
              <w:t>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3</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圆锥</w:t>
            </w:r>
            <w:r>
              <w:rPr>
                <w:sz w:val="21"/>
                <w:szCs w:val="21"/>
                <w:highlight w:val="none"/>
              </w:rPr>
              <w:t>破碎机</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lang w:val="en-US" w:eastAsia="zh-CN"/>
              </w:rPr>
              <w:t>HP550</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4</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锤式</w:t>
            </w:r>
            <w:r>
              <w:rPr>
                <w:sz w:val="21"/>
                <w:szCs w:val="21"/>
                <w:highlight w:val="none"/>
              </w:rPr>
              <w:t>破碎机</w:t>
            </w:r>
          </w:p>
        </w:tc>
        <w:tc>
          <w:tcPr>
            <w:tcW w:w="2209" w:type="dxa"/>
            <w:vAlign w:val="bottom"/>
          </w:tcPr>
          <w:p>
            <w:pPr>
              <w:spacing w:line="240" w:lineRule="auto"/>
              <w:ind w:firstLine="630" w:firstLineChars="300"/>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175</w:t>
            </w:r>
            <w:r>
              <w:rPr>
                <w:sz w:val="21"/>
                <w:szCs w:val="21"/>
                <w:highlight w:val="none"/>
              </w:rPr>
              <w:t>0mm</w:t>
            </w: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5</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6</w:t>
            </w:r>
            <w:r>
              <w:rPr>
                <w:rFonts w:hint="eastAsia"/>
                <w:sz w:val="21"/>
                <w:szCs w:val="21"/>
                <w:highlight w:val="none"/>
              </w:rPr>
              <w:t>0</w:t>
            </w:r>
            <w:r>
              <w:rPr>
                <w:sz w:val="21"/>
                <w:szCs w:val="21"/>
                <w:highlight w:val="none"/>
              </w:rPr>
              <w:t>00mm×</w:t>
            </w:r>
            <w:r>
              <w:rPr>
                <w:rFonts w:hint="eastAsia"/>
                <w:sz w:val="21"/>
                <w:szCs w:val="21"/>
                <w:highlight w:val="none"/>
              </w:rPr>
              <w:t>18</w:t>
            </w:r>
            <w:r>
              <w:rPr>
                <w:sz w:val="21"/>
                <w:szCs w:val="21"/>
                <w:highlight w:val="none"/>
              </w:rPr>
              <w:t>00mm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6</w:t>
            </w:r>
          </w:p>
        </w:tc>
        <w:tc>
          <w:tcPr>
            <w:tcW w:w="1805" w:type="dxa"/>
            <w:vAlign w:val="center"/>
          </w:tcPr>
          <w:p>
            <w:pPr>
              <w:spacing w:line="240" w:lineRule="auto"/>
              <w:ind w:firstLine="0" w:firstLineChars="0"/>
              <w:jc w:val="center"/>
              <w:rPr>
                <w:rFonts w:hint="eastAsia"/>
                <w:sz w:val="21"/>
                <w:szCs w:val="21"/>
                <w:highlight w:val="none"/>
              </w:rPr>
            </w:pPr>
            <w:r>
              <w:rPr>
                <w:rFonts w:hint="eastAsia"/>
                <w:sz w:val="21"/>
                <w:szCs w:val="21"/>
                <w:highlight w:val="none"/>
              </w:rPr>
              <w:t>振动筛</w:t>
            </w:r>
          </w:p>
        </w:tc>
        <w:tc>
          <w:tcPr>
            <w:tcW w:w="2209" w:type="dxa"/>
            <w:vAlign w:val="center"/>
          </w:tcPr>
          <w:p>
            <w:pPr>
              <w:spacing w:line="240" w:lineRule="auto"/>
              <w:ind w:firstLine="0" w:firstLineChars="0"/>
              <w:jc w:val="center"/>
              <w:rPr>
                <w:rFonts w:hint="eastAsia"/>
                <w:sz w:val="21"/>
                <w:szCs w:val="21"/>
                <w:highlight w:val="none"/>
              </w:rPr>
            </w:pPr>
            <w:r>
              <w:rPr>
                <w:rFonts w:hint="eastAsia"/>
                <w:sz w:val="21"/>
                <w:szCs w:val="21"/>
                <w:highlight w:val="none"/>
                <w:lang w:val="en-US" w:eastAsia="zh-CN"/>
              </w:rPr>
              <w:t>72</w:t>
            </w:r>
            <w:r>
              <w:rPr>
                <w:sz w:val="21"/>
                <w:szCs w:val="21"/>
                <w:highlight w:val="none"/>
              </w:rPr>
              <w:t>00mm×</w:t>
            </w:r>
            <w:r>
              <w:rPr>
                <w:rFonts w:hint="eastAsia"/>
                <w:sz w:val="21"/>
                <w:szCs w:val="21"/>
                <w:highlight w:val="none"/>
                <w:lang w:val="en-US" w:eastAsia="zh-CN"/>
              </w:rPr>
              <w:t>36</w:t>
            </w:r>
            <w:r>
              <w:rPr>
                <w:sz w:val="21"/>
                <w:szCs w:val="21"/>
                <w:highlight w:val="none"/>
              </w:rPr>
              <w:t>00mm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7</w:t>
            </w:r>
          </w:p>
        </w:tc>
        <w:tc>
          <w:tcPr>
            <w:tcW w:w="1805" w:type="dxa"/>
            <w:vAlign w:val="center"/>
          </w:tcPr>
          <w:p>
            <w:pPr>
              <w:spacing w:line="240" w:lineRule="auto"/>
              <w:ind w:firstLine="0" w:firstLineChars="0"/>
              <w:jc w:val="center"/>
              <w:rPr>
                <w:rFonts w:hint="eastAsia"/>
                <w:sz w:val="21"/>
                <w:szCs w:val="21"/>
                <w:highlight w:val="none"/>
              </w:rPr>
            </w:pPr>
            <w:r>
              <w:rPr>
                <w:rFonts w:hint="eastAsia"/>
                <w:sz w:val="21"/>
                <w:szCs w:val="21"/>
                <w:highlight w:val="none"/>
              </w:rPr>
              <w:t>振动筛</w:t>
            </w:r>
          </w:p>
        </w:tc>
        <w:tc>
          <w:tcPr>
            <w:tcW w:w="2209" w:type="dxa"/>
            <w:vAlign w:val="center"/>
          </w:tcPr>
          <w:p>
            <w:pPr>
              <w:spacing w:line="240" w:lineRule="auto"/>
              <w:ind w:firstLine="0" w:firstLineChars="0"/>
              <w:jc w:val="center"/>
              <w:rPr>
                <w:rFonts w:hint="eastAsia"/>
                <w:sz w:val="21"/>
                <w:szCs w:val="21"/>
                <w:highlight w:val="none"/>
              </w:rPr>
            </w:pPr>
            <w:r>
              <w:rPr>
                <w:rFonts w:hint="eastAsia"/>
                <w:sz w:val="21"/>
                <w:szCs w:val="21"/>
                <w:highlight w:val="none"/>
                <w:lang w:val="en-US" w:eastAsia="zh-CN"/>
              </w:rPr>
              <w:t>72</w:t>
            </w:r>
            <w:r>
              <w:rPr>
                <w:sz w:val="21"/>
                <w:szCs w:val="21"/>
                <w:highlight w:val="none"/>
              </w:rPr>
              <w:t>00mm×</w:t>
            </w:r>
            <w:r>
              <w:rPr>
                <w:rFonts w:hint="eastAsia"/>
                <w:sz w:val="21"/>
                <w:szCs w:val="21"/>
                <w:highlight w:val="none"/>
                <w:lang w:val="en-US" w:eastAsia="zh-CN"/>
              </w:rPr>
              <w:t>20</w:t>
            </w:r>
            <w:r>
              <w:rPr>
                <w:sz w:val="21"/>
                <w:szCs w:val="21"/>
                <w:highlight w:val="none"/>
              </w:rPr>
              <w:t>00mm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rFonts w:hint="eastAsia"/>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widowControl/>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eastAsia="宋体"/>
                <w:sz w:val="21"/>
                <w:szCs w:val="21"/>
                <w:highlight w:val="none"/>
                <w:lang w:val="en-US" w:eastAsia="zh-CN"/>
              </w:rPr>
              <w:t>8</w:t>
            </w:r>
          </w:p>
        </w:tc>
        <w:tc>
          <w:tcPr>
            <w:tcW w:w="180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皮带输送机</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1.0m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7</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p>
        </w:tc>
        <w:tc>
          <w:tcPr>
            <w:tcW w:w="1805" w:type="dxa"/>
            <w:vMerge w:val="continue"/>
            <w:vAlign w:val="center"/>
          </w:tcPr>
          <w:p>
            <w:pPr>
              <w:spacing w:line="240" w:lineRule="auto"/>
              <w:ind w:firstLine="0" w:firstLineChars="0"/>
              <w:jc w:val="center"/>
              <w:rPr>
                <w:sz w:val="21"/>
                <w:szCs w:val="21"/>
                <w:highlight w:val="none"/>
              </w:rPr>
            </w:pP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0.8m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4</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ascii="Times New Roman" w:hAnsi="Times New Roman" w:eastAsia="宋体" w:cs="Times New Roman"/>
                <w:sz w:val="21"/>
                <w:szCs w:val="21"/>
                <w:highlight w:val="none"/>
                <w:lang w:val="en-US" w:eastAsia="zh-CN" w:bidi="ar-SA"/>
              </w:rPr>
            </w:pPr>
            <w:r>
              <w:rPr>
                <w:rFonts w:hint="eastAsia" w:cs="Times New Roman"/>
                <w:sz w:val="21"/>
                <w:szCs w:val="21"/>
                <w:highlight w:val="none"/>
                <w:lang w:val="en-US" w:eastAsia="zh-CN" w:bidi="ar-SA"/>
              </w:rPr>
              <w:t>9</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振动给料机</w:t>
            </w:r>
          </w:p>
        </w:tc>
        <w:tc>
          <w:tcPr>
            <w:tcW w:w="2209" w:type="dxa"/>
            <w:vAlign w:val="bottom"/>
          </w:tcPr>
          <w:p>
            <w:pPr>
              <w:spacing w:line="240" w:lineRule="auto"/>
              <w:ind w:firstLine="420"/>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2</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10</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圆盘给料机</w:t>
            </w:r>
          </w:p>
        </w:tc>
        <w:tc>
          <w:tcPr>
            <w:tcW w:w="2209" w:type="dxa"/>
            <w:vAlign w:val="bottom"/>
          </w:tcPr>
          <w:p>
            <w:pPr>
              <w:spacing w:line="240" w:lineRule="auto"/>
              <w:ind w:firstLine="420"/>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11</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中转料仓</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3</w:t>
            </w:r>
            <w:r>
              <w:rPr>
                <w:sz w:val="21"/>
                <w:szCs w:val="21"/>
                <w:highlight w:val="none"/>
              </w:rPr>
              <w:t>×</w:t>
            </w:r>
            <w:r>
              <w:rPr>
                <w:rFonts w:hint="eastAsia"/>
                <w:sz w:val="21"/>
                <w:szCs w:val="21"/>
                <w:highlight w:val="none"/>
              </w:rPr>
              <w:t>5</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12</w:t>
            </w:r>
          </w:p>
        </w:tc>
        <w:tc>
          <w:tcPr>
            <w:tcW w:w="1805" w:type="dxa"/>
            <w:vAlign w:val="bottom"/>
          </w:tcPr>
          <w:p>
            <w:pPr>
              <w:spacing w:line="240" w:lineRule="auto"/>
              <w:ind w:firstLine="0" w:firstLineChars="0"/>
              <w:jc w:val="center"/>
              <w:rPr>
                <w:sz w:val="21"/>
                <w:szCs w:val="21"/>
                <w:highlight w:val="none"/>
              </w:rPr>
            </w:pPr>
            <w:r>
              <w:rPr>
                <w:sz w:val="21"/>
                <w:szCs w:val="21"/>
                <w:highlight w:val="none"/>
              </w:rPr>
              <w:t>球磨机</w:t>
            </w:r>
          </w:p>
        </w:tc>
        <w:tc>
          <w:tcPr>
            <w:tcW w:w="2209" w:type="dxa"/>
            <w:vAlign w:val="bottom"/>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lang w:val="en-US" w:eastAsia="zh-CN"/>
              </w:rPr>
              <w:t>4.5</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13</w:t>
            </w:r>
          </w:p>
        </w:tc>
        <w:tc>
          <w:tcPr>
            <w:tcW w:w="180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w:t>
            </w:r>
            <w:r>
              <w:rPr>
                <w:rFonts w:hint="eastAsia"/>
                <w:sz w:val="21"/>
                <w:szCs w:val="21"/>
                <w:highlight w:val="none"/>
                <w:lang w:val="en-US" w:eastAsia="zh-CN"/>
              </w:rPr>
              <w:t>0</w:t>
            </w:r>
            <w:r>
              <w:rPr>
                <w:rFonts w:hint="eastAsia"/>
                <w:sz w:val="21"/>
                <w:szCs w:val="21"/>
                <w:highlight w:val="none"/>
              </w:rPr>
              <w:t>5</w:t>
            </w:r>
            <w:r>
              <w:rPr>
                <w:sz w:val="21"/>
                <w:szCs w:val="21"/>
                <w:highlight w:val="none"/>
              </w:rPr>
              <w:t>×</w:t>
            </w:r>
            <w:r>
              <w:rPr>
                <w:rFonts w:hint="eastAsia"/>
                <w:sz w:val="21"/>
                <w:szCs w:val="21"/>
                <w:highlight w:val="none"/>
                <w:lang w:val="en-US" w:eastAsia="zh-CN"/>
              </w:rPr>
              <w:t>2.</w:t>
            </w:r>
            <w:r>
              <w:rPr>
                <w:rFonts w:hint="eastAsia"/>
                <w:sz w:val="21"/>
                <w:szCs w:val="21"/>
                <w:highlight w:val="none"/>
              </w:rPr>
              <w:t>4</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widowControl/>
              <w:spacing w:line="240" w:lineRule="auto"/>
              <w:ind w:firstLine="0" w:firstLineChars="0"/>
              <w:jc w:val="center"/>
              <w:rPr>
                <w:rFonts w:hint="eastAsia"/>
                <w:sz w:val="21"/>
                <w:szCs w:val="21"/>
                <w:highlight w:val="none"/>
                <w:lang w:val="en-US" w:eastAsia="zh-CN"/>
              </w:rPr>
            </w:pPr>
          </w:p>
        </w:tc>
        <w:tc>
          <w:tcPr>
            <w:tcW w:w="1805" w:type="dxa"/>
            <w:vMerge w:val="continue"/>
            <w:vAlign w:val="center"/>
          </w:tcPr>
          <w:p>
            <w:pPr>
              <w:spacing w:line="240" w:lineRule="auto"/>
              <w:ind w:firstLine="0" w:firstLineChars="0"/>
              <w:jc w:val="center"/>
              <w:rPr>
                <w:rFonts w:hint="eastAsia"/>
                <w:sz w:val="21"/>
                <w:szCs w:val="21"/>
                <w:highlight w:val="none"/>
              </w:rPr>
            </w:pPr>
          </w:p>
        </w:tc>
        <w:tc>
          <w:tcPr>
            <w:tcW w:w="2209"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w:t>
            </w:r>
            <w:r>
              <w:rPr>
                <w:rFonts w:hint="eastAsia"/>
                <w:sz w:val="21"/>
                <w:szCs w:val="21"/>
                <w:highlight w:val="none"/>
                <w:lang w:val="en-US" w:eastAsia="zh-CN"/>
              </w:rPr>
              <w:t>2</w:t>
            </w:r>
            <w:r>
              <w:rPr>
                <w:sz w:val="21"/>
                <w:szCs w:val="21"/>
                <w:highlight w:val="none"/>
              </w:rPr>
              <w:t>×</w:t>
            </w:r>
            <w:r>
              <w:rPr>
                <w:rFonts w:hint="eastAsia"/>
                <w:sz w:val="21"/>
                <w:szCs w:val="21"/>
                <w:highlight w:val="none"/>
                <w:lang w:val="en-US" w:eastAsia="zh-CN"/>
              </w:rPr>
              <w:t>2.</w:t>
            </w:r>
            <w:r>
              <w:rPr>
                <w:rFonts w:hint="eastAsia"/>
                <w:sz w:val="21"/>
                <w:szCs w:val="21"/>
                <w:highlight w:val="none"/>
              </w:rPr>
              <w:t>4</w:t>
            </w:r>
            <w:r>
              <w:rPr>
                <w:sz w:val="21"/>
                <w:szCs w:val="21"/>
                <w:highlight w:val="none"/>
              </w:rPr>
              <w:t>m</w:t>
            </w: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bottom"/>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14</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磁选机</w:t>
            </w:r>
          </w:p>
        </w:tc>
        <w:tc>
          <w:tcPr>
            <w:tcW w:w="2209" w:type="dxa"/>
            <w:vAlign w:val="bottom"/>
          </w:tcPr>
          <w:p>
            <w:pPr>
              <w:spacing w:line="240" w:lineRule="auto"/>
              <w:ind w:left="0" w:leftChars="0"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12</w:t>
            </w:r>
            <w:r>
              <w:rPr>
                <w:sz w:val="21"/>
                <w:szCs w:val="21"/>
                <w:highlight w:val="none"/>
              </w:rPr>
              <w:t>00mm×</w:t>
            </w:r>
            <w:r>
              <w:rPr>
                <w:rFonts w:hint="eastAsia"/>
                <w:sz w:val="21"/>
                <w:szCs w:val="21"/>
                <w:highlight w:val="none"/>
                <w:lang w:val="en-US" w:eastAsia="zh-CN"/>
              </w:rPr>
              <w:t>24</w:t>
            </w:r>
            <w:r>
              <w:rPr>
                <w:sz w:val="21"/>
                <w:szCs w:val="21"/>
                <w:highlight w:val="none"/>
              </w:rPr>
              <w:t>00mm</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15</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沙船</w:t>
            </w:r>
          </w:p>
        </w:tc>
        <w:tc>
          <w:tcPr>
            <w:tcW w:w="2209" w:type="dxa"/>
            <w:vAlign w:val="bottom"/>
          </w:tcPr>
          <w:p>
            <w:pPr>
              <w:spacing w:line="240" w:lineRule="auto"/>
              <w:ind w:firstLine="420" w:firstLineChars="200"/>
              <w:rPr>
                <w:rFonts w:hint="eastAsia" w:ascii="Times New Roman" w:hAnsi="Times New Roman" w:eastAsia="宋体" w:cs="Times New Roman"/>
                <w:sz w:val="21"/>
                <w:szCs w:val="21"/>
                <w:highlight w:val="none"/>
                <w:lang w:val="en-US" w:eastAsia="zh-CN" w:bidi="ar-SA"/>
              </w:rPr>
            </w:pPr>
          </w:p>
        </w:tc>
        <w:tc>
          <w:tcPr>
            <w:tcW w:w="1011" w:type="dxa"/>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sz w:val="21"/>
                <w:szCs w:val="21"/>
                <w:highlight w:val="none"/>
              </w:rPr>
              <w:t>台</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16</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高频筛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7m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4</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17</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脱水筛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rPr>
              <w:t>3.6</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18</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浓缩罐</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Φ12m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eastAsia"/>
                <w:sz w:val="21"/>
                <w:szCs w:val="21"/>
                <w:highlight w:val="none"/>
                <w:lang w:val="en-US" w:eastAsia="zh-CN"/>
              </w:rPr>
            </w:pPr>
            <w:r>
              <w:rPr>
                <w:rFonts w:hint="eastAsia"/>
                <w:sz w:val="21"/>
                <w:szCs w:val="21"/>
                <w:highlight w:val="none"/>
                <w:lang w:val="en-US" w:eastAsia="zh-CN"/>
              </w:rPr>
              <w:t>19</w:t>
            </w:r>
          </w:p>
        </w:tc>
        <w:tc>
          <w:tcPr>
            <w:tcW w:w="1805"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浓缩罐</w:t>
            </w:r>
          </w:p>
        </w:tc>
        <w:tc>
          <w:tcPr>
            <w:tcW w:w="2209"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Φ</w:t>
            </w:r>
            <w:r>
              <w:rPr>
                <w:rFonts w:hint="eastAsia"/>
                <w:sz w:val="21"/>
                <w:szCs w:val="21"/>
                <w:highlight w:val="none"/>
                <w:lang w:val="en-US" w:eastAsia="zh-CN"/>
              </w:rPr>
              <w:t>8</w:t>
            </w:r>
            <w:r>
              <w:rPr>
                <w:rFonts w:hint="eastAsia"/>
                <w:sz w:val="21"/>
                <w:szCs w:val="21"/>
                <w:highlight w:val="none"/>
              </w:rPr>
              <w:t>m</w:t>
            </w:r>
          </w:p>
        </w:tc>
        <w:tc>
          <w:tcPr>
            <w:tcW w:w="1011" w:type="dxa"/>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座</w:t>
            </w:r>
          </w:p>
        </w:tc>
        <w:tc>
          <w:tcPr>
            <w:tcW w:w="1011" w:type="dxa"/>
            <w:vAlign w:val="bottom"/>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20</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水泵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21</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5</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22</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离线脉冲布袋除尘器</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风量</w:t>
            </w:r>
            <w:r>
              <w:rPr>
                <w:rFonts w:hint="eastAsia"/>
                <w:bCs/>
                <w:sz w:val="21"/>
                <w:szCs w:val="21"/>
                <w:highlight w:val="none"/>
              </w:rPr>
              <w:t>40000</w:t>
            </w:r>
            <w:r>
              <w:rPr>
                <w:bCs/>
                <w:sz w:val="21"/>
                <w:szCs w:val="21"/>
                <w:highlight w:val="none"/>
              </w:rPr>
              <w:t>m</w:t>
            </w:r>
            <w:r>
              <w:rPr>
                <w:bCs/>
                <w:sz w:val="21"/>
                <w:szCs w:val="21"/>
                <w:highlight w:val="none"/>
                <w:vertAlign w:val="superscript"/>
              </w:rPr>
              <w:t>3</w:t>
            </w:r>
            <w:r>
              <w:rPr>
                <w:bCs/>
                <w:sz w:val="21"/>
                <w:szCs w:val="21"/>
                <w:highlight w:val="none"/>
              </w:rPr>
              <w:t>/h</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套</w:t>
            </w:r>
          </w:p>
        </w:tc>
        <w:tc>
          <w:tcPr>
            <w:tcW w:w="1011"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2</w:t>
            </w:r>
          </w:p>
        </w:tc>
        <w:tc>
          <w:tcPr>
            <w:tcW w:w="1775" w:type="dxa"/>
            <w:vMerge w:val="continue"/>
            <w:tcBorders>
              <w:bottom w:val="single" w:color="auto" w:sz="4" w:space="0"/>
            </w:tcBorders>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23</w:t>
            </w:r>
          </w:p>
        </w:tc>
        <w:tc>
          <w:tcPr>
            <w:tcW w:w="1805" w:type="dxa"/>
            <w:vAlign w:val="center"/>
          </w:tcPr>
          <w:p>
            <w:pPr>
              <w:spacing w:line="240" w:lineRule="auto"/>
              <w:ind w:firstLine="0" w:firstLineChars="0"/>
              <w:jc w:val="center"/>
              <w:rPr>
                <w:rFonts w:ascii="宋体" w:hAnsi="宋体"/>
                <w:sz w:val="21"/>
                <w:szCs w:val="21"/>
                <w:highlight w:val="none"/>
              </w:rPr>
            </w:pPr>
            <w:r>
              <w:rPr>
                <w:rFonts w:hint="eastAsia" w:ascii="宋体" w:hAnsi="宋体"/>
                <w:sz w:val="21"/>
                <w:szCs w:val="21"/>
                <w:highlight w:val="none"/>
              </w:rPr>
              <w:t>铲车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50t</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3</w:t>
            </w:r>
          </w:p>
        </w:tc>
        <w:tc>
          <w:tcPr>
            <w:tcW w:w="1775" w:type="dxa"/>
            <w:tcBorders>
              <w:top w:val="single" w:color="auto" w:sz="4" w:space="0"/>
              <w:bottom w:val="single" w:color="auto" w:sz="4" w:space="0"/>
            </w:tcBorders>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lang w:val="en-US" w:eastAsia="zh-CN"/>
              </w:rPr>
              <w:t>达到国三及以上排放标准</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24</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湿式清扫车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restart"/>
            <w:tcBorders>
              <w:top w:val="single" w:color="auto" w:sz="4" w:space="0"/>
            </w:tcBorders>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25</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洒水车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p>
        </w:tc>
      </w:tr>
    </w:tbl>
    <w:p>
      <w:pPr>
        <w:pStyle w:val="6"/>
        <w:numPr>
          <w:ilvl w:val="2"/>
          <w:numId w:val="1"/>
        </w:numPr>
        <w:spacing w:before="0" w:after="0"/>
        <w:ind w:left="567"/>
        <w:rPr>
          <w:highlight w:val="none"/>
        </w:rPr>
      </w:pPr>
      <w:r>
        <w:rPr>
          <w:szCs w:val="28"/>
          <w:highlight w:val="none"/>
        </w:rPr>
        <w:t>原辅材料及能源消耗情况</w:t>
      </w:r>
    </w:p>
    <w:p>
      <w:pPr>
        <w:spacing w:line="480" w:lineRule="exact"/>
        <w:ind w:firstLine="480"/>
        <w:jc w:val="both"/>
        <w:rPr>
          <w:sz w:val="24"/>
          <w:szCs w:val="24"/>
          <w:highlight w:val="none"/>
        </w:rPr>
      </w:pPr>
      <w:bookmarkStart w:id="275" w:name="_Hlk532162744"/>
      <w:r>
        <w:rPr>
          <w:sz w:val="24"/>
          <w:szCs w:val="24"/>
          <w:highlight w:val="none"/>
        </w:rPr>
        <w:t>本项目原料矿均来自</w:t>
      </w:r>
      <w:r>
        <w:rPr>
          <w:rFonts w:hint="eastAsia"/>
          <w:sz w:val="24"/>
          <w:szCs w:val="24"/>
          <w:highlight w:val="none"/>
        </w:rPr>
        <w:t>承德县鑫兴矿业有限公司</w:t>
      </w:r>
      <w:r>
        <w:rPr>
          <w:sz w:val="24"/>
          <w:szCs w:val="24"/>
          <w:highlight w:val="none"/>
        </w:rPr>
        <w:t>，铁矿种类为磁铁矿</w:t>
      </w:r>
      <w:r>
        <w:rPr>
          <w:rFonts w:hint="eastAsia"/>
          <w:sz w:val="24"/>
          <w:szCs w:val="24"/>
          <w:highlight w:val="none"/>
        </w:rPr>
        <w:t>，</w:t>
      </w:r>
      <w:r>
        <w:rPr>
          <w:sz w:val="24"/>
          <w:szCs w:val="24"/>
          <w:highlight w:val="none"/>
        </w:rPr>
        <w:t>主要成分为</w:t>
      </w:r>
      <w:r>
        <w:rPr>
          <w:highlight w:val="none"/>
        </w:rPr>
        <w:fldChar w:fldCharType="begin"/>
      </w:r>
      <w:r>
        <w:rPr>
          <w:highlight w:val="none"/>
        </w:rPr>
        <w:instrText xml:space="preserve"> HYPERLINK "https://baike.baidu.com/item/Fe3O4" \t "_blank" </w:instrText>
      </w:r>
      <w:r>
        <w:rPr>
          <w:highlight w:val="none"/>
        </w:rPr>
        <w:fldChar w:fldCharType="separate"/>
      </w:r>
      <w:r>
        <w:rPr>
          <w:rStyle w:val="60"/>
          <w:color w:val="auto"/>
          <w:sz w:val="24"/>
          <w:szCs w:val="24"/>
          <w:highlight w:val="none"/>
          <w:u w:val="none"/>
        </w:rPr>
        <w:t>Fe</w:t>
      </w:r>
      <w:r>
        <w:rPr>
          <w:rStyle w:val="60"/>
          <w:color w:val="auto"/>
          <w:sz w:val="24"/>
          <w:szCs w:val="24"/>
          <w:highlight w:val="none"/>
          <w:u w:val="none"/>
          <w:vertAlign w:val="subscript"/>
        </w:rPr>
        <w:t>3</w:t>
      </w:r>
      <w:r>
        <w:rPr>
          <w:rStyle w:val="60"/>
          <w:color w:val="auto"/>
          <w:sz w:val="24"/>
          <w:szCs w:val="24"/>
          <w:highlight w:val="none"/>
          <w:u w:val="none"/>
        </w:rPr>
        <w:t>O</w:t>
      </w:r>
      <w:r>
        <w:rPr>
          <w:rStyle w:val="60"/>
          <w:color w:val="auto"/>
          <w:sz w:val="24"/>
          <w:szCs w:val="24"/>
          <w:highlight w:val="none"/>
          <w:u w:val="none"/>
          <w:vertAlign w:val="subscript"/>
        </w:rPr>
        <w:t>4</w:t>
      </w:r>
      <w:r>
        <w:rPr>
          <w:rStyle w:val="60"/>
          <w:color w:val="auto"/>
          <w:sz w:val="24"/>
          <w:szCs w:val="24"/>
          <w:highlight w:val="none"/>
          <w:u w:val="none"/>
          <w:vertAlign w:val="subscript"/>
        </w:rPr>
        <w:fldChar w:fldCharType="end"/>
      </w:r>
      <w:r>
        <w:rPr>
          <w:rFonts w:hint="eastAsia"/>
          <w:sz w:val="24"/>
          <w:szCs w:val="24"/>
          <w:highlight w:val="none"/>
        </w:rPr>
        <w:t>，</w:t>
      </w:r>
      <w:r>
        <w:rPr>
          <w:sz w:val="24"/>
          <w:szCs w:val="24"/>
          <w:highlight w:val="none"/>
        </w:rPr>
        <w:t>矿石粒径</w:t>
      </w:r>
      <w:r>
        <w:rPr>
          <w:rFonts w:hint="eastAsia"/>
          <w:sz w:val="24"/>
          <w:szCs w:val="24"/>
          <w:highlight w:val="none"/>
        </w:rPr>
        <w:t>30cm左右，矿石堆积密度为3.52t/m</w:t>
      </w:r>
      <w:r>
        <w:rPr>
          <w:rFonts w:hint="eastAsia"/>
          <w:sz w:val="24"/>
          <w:szCs w:val="24"/>
          <w:highlight w:val="none"/>
          <w:vertAlign w:val="superscript"/>
        </w:rPr>
        <w:t>3</w:t>
      </w:r>
      <w:r>
        <w:rPr>
          <w:rFonts w:hint="eastAsia"/>
          <w:sz w:val="24"/>
          <w:szCs w:val="24"/>
          <w:highlight w:val="none"/>
        </w:rPr>
        <w:t>，类比区域内同一矿脉采出矿石的放射性检测结果可知，本项目所需矿石无放射性，要求企业一旦更换原料来源，应进行矿石放射性检测，须采用无放射性原料进行生产。</w:t>
      </w:r>
    </w:p>
    <w:p>
      <w:pPr>
        <w:spacing w:line="480" w:lineRule="exact"/>
        <w:ind w:firstLine="480"/>
        <w:jc w:val="both"/>
        <w:rPr>
          <w:sz w:val="24"/>
          <w:szCs w:val="24"/>
          <w:highlight w:val="none"/>
        </w:rPr>
      </w:pPr>
      <w:r>
        <w:rPr>
          <w:sz w:val="24"/>
          <w:szCs w:val="24"/>
          <w:highlight w:val="none"/>
        </w:rPr>
        <w:t>根据建设单位提供的资料，原料矿的具体成分见表3.</w:t>
      </w:r>
      <w:r>
        <w:rPr>
          <w:rFonts w:hint="eastAsia"/>
          <w:sz w:val="24"/>
          <w:szCs w:val="24"/>
          <w:highlight w:val="none"/>
          <w:lang w:val="en-US" w:eastAsia="zh-CN"/>
        </w:rPr>
        <w:t>2</w:t>
      </w:r>
      <w:r>
        <w:rPr>
          <w:sz w:val="24"/>
          <w:szCs w:val="24"/>
          <w:highlight w:val="none"/>
        </w:rPr>
        <w:t>-</w:t>
      </w:r>
      <w:r>
        <w:rPr>
          <w:rFonts w:hint="eastAsia"/>
          <w:sz w:val="24"/>
          <w:szCs w:val="24"/>
          <w:highlight w:val="none"/>
          <w:lang w:val="en-US" w:eastAsia="zh-CN"/>
        </w:rPr>
        <w:t>6</w:t>
      </w:r>
      <w:r>
        <w:rPr>
          <w:sz w:val="24"/>
          <w:szCs w:val="24"/>
          <w:highlight w:val="none"/>
        </w:rPr>
        <w:t>。</w:t>
      </w:r>
    </w:p>
    <w:p>
      <w:pPr>
        <w:spacing w:before="120" w:beforeLines="50" w:line="240" w:lineRule="auto"/>
        <w:ind w:firstLine="0" w:firstLineChars="0"/>
        <w:jc w:val="center"/>
        <w:textAlignment w:val="auto"/>
        <w:rPr>
          <w:rFonts w:eastAsia="黑体"/>
          <w:kern w:val="2"/>
          <w:sz w:val="21"/>
          <w:szCs w:val="21"/>
          <w:highlight w:val="none"/>
        </w:rPr>
      </w:pPr>
      <w:r>
        <w:rPr>
          <w:rFonts w:hint="eastAsia" w:eastAsia="黑体"/>
          <w:kern w:val="2"/>
          <w:sz w:val="21"/>
          <w:szCs w:val="21"/>
          <w:highlight w:val="none"/>
        </w:rPr>
        <w:t>表</w:t>
      </w:r>
      <w:r>
        <w:rPr>
          <w:rFonts w:eastAsia="黑体"/>
          <w:kern w:val="2"/>
          <w:sz w:val="21"/>
          <w:szCs w:val="21"/>
          <w:highlight w:val="none"/>
        </w:rPr>
        <w:t>3.</w:t>
      </w:r>
      <w:r>
        <w:rPr>
          <w:rFonts w:hint="eastAsia" w:eastAsia="黑体"/>
          <w:kern w:val="2"/>
          <w:sz w:val="21"/>
          <w:szCs w:val="21"/>
          <w:highlight w:val="none"/>
          <w:lang w:val="en-US" w:eastAsia="zh-CN"/>
        </w:rPr>
        <w:t>2</w:t>
      </w:r>
      <w:r>
        <w:rPr>
          <w:rFonts w:eastAsia="黑体"/>
          <w:kern w:val="2"/>
          <w:sz w:val="21"/>
          <w:szCs w:val="21"/>
          <w:highlight w:val="none"/>
        </w:rPr>
        <w:t>-</w:t>
      </w:r>
      <w:r>
        <w:rPr>
          <w:rFonts w:hint="eastAsia" w:eastAsia="黑体"/>
          <w:kern w:val="2"/>
          <w:sz w:val="21"/>
          <w:szCs w:val="21"/>
          <w:highlight w:val="none"/>
          <w:lang w:val="en-US" w:eastAsia="zh-CN"/>
        </w:rPr>
        <w:t>6</w:t>
      </w:r>
      <w:r>
        <w:rPr>
          <w:rFonts w:hint="eastAsia" w:eastAsia="黑体"/>
          <w:kern w:val="2"/>
          <w:sz w:val="21"/>
          <w:szCs w:val="21"/>
          <w:highlight w:val="none"/>
        </w:rPr>
        <w:t>原料矿成分表</w:t>
      </w:r>
    </w:p>
    <w:tbl>
      <w:tblPr>
        <w:tblStyle w:val="48"/>
        <w:tblW w:w="833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595"/>
        <w:gridCol w:w="595"/>
        <w:gridCol w:w="595"/>
        <w:gridCol w:w="595"/>
        <w:gridCol w:w="595"/>
        <w:gridCol w:w="595"/>
        <w:gridCol w:w="595"/>
        <w:gridCol w:w="595"/>
        <w:gridCol w:w="595"/>
        <w:gridCol w:w="595"/>
        <w:gridCol w:w="595"/>
        <w:gridCol w:w="595"/>
        <w:gridCol w:w="595"/>
        <w:gridCol w:w="5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595" w:type="dxa"/>
            <w:vMerge w:val="restar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送样号</w:t>
            </w:r>
          </w:p>
        </w:tc>
        <w:tc>
          <w:tcPr>
            <w:tcW w:w="7735" w:type="dxa"/>
            <w:gridSpan w:val="13"/>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分析结果%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595" w:type="dxa"/>
            <w:vMerge w:val="continue"/>
            <w:tcBorders>
              <w:tl2br w:val="nil"/>
              <w:tr2bl w:val="nil"/>
            </w:tcBorders>
            <w:vAlign w:val="center"/>
          </w:tcPr>
          <w:p>
            <w:pPr>
              <w:widowControl/>
              <w:spacing w:line="240" w:lineRule="auto"/>
              <w:ind w:firstLine="0" w:firstLineChars="0"/>
              <w:textAlignment w:val="auto"/>
              <w:rPr>
                <w:sz w:val="21"/>
                <w:szCs w:val="21"/>
                <w:highlight w:val="none"/>
              </w:rPr>
            </w:pP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TFe</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FeO</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SiO</w:t>
            </w:r>
            <w:r>
              <w:rPr>
                <w:sz w:val="21"/>
                <w:szCs w:val="21"/>
                <w:highlight w:val="none"/>
                <w:vertAlign w:val="subscript"/>
              </w:rPr>
              <w:t>2</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CaO</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MgO</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Al</w:t>
            </w:r>
            <w:r>
              <w:rPr>
                <w:sz w:val="21"/>
                <w:szCs w:val="21"/>
                <w:highlight w:val="none"/>
                <w:vertAlign w:val="subscript"/>
              </w:rPr>
              <w:t>2</w:t>
            </w:r>
            <w:r>
              <w:rPr>
                <w:sz w:val="21"/>
                <w:szCs w:val="21"/>
                <w:highlight w:val="none"/>
              </w:rPr>
              <w:t>O</w:t>
            </w:r>
            <w:r>
              <w:rPr>
                <w:sz w:val="21"/>
                <w:szCs w:val="21"/>
                <w:highlight w:val="none"/>
                <w:vertAlign w:val="subscript"/>
              </w:rPr>
              <w:t>3</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TiO</w:t>
            </w:r>
            <w:r>
              <w:rPr>
                <w:sz w:val="21"/>
                <w:szCs w:val="21"/>
                <w:highlight w:val="none"/>
                <w:vertAlign w:val="subscript"/>
              </w:rPr>
              <w:t>2</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MnO</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K</w:t>
            </w:r>
            <w:r>
              <w:rPr>
                <w:sz w:val="21"/>
                <w:szCs w:val="21"/>
                <w:highlight w:val="none"/>
                <w:vertAlign w:val="subscript"/>
              </w:rPr>
              <w:t>2</w:t>
            </w:r>
            <w:r>
              <w:rPr>
                <w:sz w:val="21"/>
                <w:szCs w:val="21"/>
                <w:highlight w:val="none"/>
              </w:rPr>
              <w:t>O</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Na</w:t>
            </w:r>
            <w:r>
              <w:rPr>
                <w:sz w:val="21"/>
                <w:szCs w:val="21"/>
                <w:highlight w:val="none"/>
                <w:vertAlign w:val="subscript"/>
              </w:rPr>
              <w:t>2</w:t>
            </w:r>
            <w:r>
              <w:rPr>
                <w:sz w:val="21"/>
                <w:szCs w:val="21"/>
                <w:highlight w:val="none"/>
              </w:rPr>
              <w:t>O</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S</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P</w:t>
            </w:r>
          </w:p>
        </w:tc>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LoI</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HQ1</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25.58</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10</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48.91</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0.86</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2.54</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6.12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0.32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0.05</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0.74</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0.43</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0.009</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0.25</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HQ2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26.42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9.66</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48.82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0.78</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2.48</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6.02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0.26</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0.06</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0.74</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0.42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0.007</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0.22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4.11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595" w:type="dxa"/>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平均品位</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26.00</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9.83</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48.86</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0.82</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2.51</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6.07</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0.29</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0.055</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0.74</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0.425</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0.008</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0.235</w:t>
            </w:r>
          </w:p>
        </w:tc>
        <w:tc>
          <w:tcPr>
            <w:tcW w:w="595" w:type="dxa"/>
            <w:tcBorders>
              <w:tl2br w:val="nil"/>
              <w:tr2bl w:val="nil"/>
            </w:tcBorders>
            <w:vAlign w:val="center"/>
          </w:tcPr>
          <w:p>
            <w:pPr>
              <w:pStyle w:val="31"/>
              <w:snapToGrid/>
              <w:jc w:val="center"/>
              <w:rPr>
                <w:bCs/>
                <w:kern w:val="0"/>
                <w:sz w:val="21"/>
                <w:szCs w:val="21"/>
                <w:highlight w:val="none"/>
              </w:rPr>
            </w:pPr>
            <w:r>
              <w:rPr>
                <w:rFonts w:hint="eastAsia"/>
                <w:sz w:val="21"/>
                <w:szCs w:val="21"/>
                <w:highlight w:val="none"/>
              </w:rPr>
              <w:t>4.15</w:t>
            </w:r>
          </w:p>
        </w:tc>
      </w:tr>
    </w:tbl>
    <w:p>
      <w:pPr>
        <w:keepNext w:val="0"/>
        <w:keepLines w:val="0"/>
        <w:pageBreakBefore w:val="0"/>
        <w:widowControl w:val="0"/>
        <w:kinsoku/>
        <w:wordWrap/>
        <w:overflowPunct/>
        <w:topLinePunct w:val="0"/>
        <w:autoSpaceDE/>
        <w:autoSpaceDN/>
        <w:bidi w:val="0"/>
        <w:adjustRightInd/>
        <w:snapToGrid w:val="0"/>
        <w:spacing w:before="157" w:beforeLines="50"/>
        <w:ind w:firstLine="480"/>
        <w:jc w:val="both"/>
        <w:textAlignment w:val="bottom"/>
        <w:rPr>
          <w:rFonts w:hint="eastAsia"/>
          <w:sz w:val="24"/>
          <w:szCs w:val="24"/>
          <w:highlight w:val="none"/>
        </w:rPr>
      </w:pPr>
      <w:r>
        <w:rPr>
          <w:rFonts w:hint="eastAsia"/>
          <w:sz w:val="24"/>
          <w:szCs w:val="24"/>
          <w:highlight w:val="none"/>
        </w:rPr>
        <w:t>根据铁矿石全成分分析结果，原料未检出含砷、铜、铅等重金属。因铁矿石不含重金属，且铁矿石选矿过程为物理过程，不添加化学药剂，因此本项目原料不含重金属等有害元素。</w:t>
      </w:r>
      <w:bookmarkEnd w:id="275"/>
    </w:p>
    <w:p>
      <w:pPr>
        <w:snapToGrid w:val="0"/>
        <w:ind w:firstLine="480"/>
        <w:jc w:val="both"/>
        <w:rPr>
          <w:rFonts w:eastAsia="黑体"/>
          <w:kern w:val="2"/>
          <w:sz w:val="21"/>
          <w:szCs w:val="21"/>
          <w:highlight w:val="none"/>
        </w:rPr>
      </w:pPr>
      <w:r>
        <w:rPr>
          <w:rFonts w:hint="eastAsia"/>
          <w:sz w:val="24"/>
          <w:szCs w:val="24"/>
          <w:highlight w:val="none"/>
        </w:rPr>
        <w:t>本项目</w:t>
      </w:r>
      <w:r>
        <w:rPr>
          <w:rFonts w:hint="eastAsia"/>
          <w:sz w:val="24"/>
          <w:szCs w:val="24"/>
          <w:highlight w:val="none"/>
          <w:lang w:val="en-US" w:eastAsia="zh-CN"/>
        </w:rPr>
        <w:t>实施后全厂</w:t>
      </w:r>
      <w:r>
        <w:rPr>
          <w:rFonts w:hint="eastAsia"/>
          <w:sz w:val="24"/>
          <w:szCs w:val="24"/>
          <w:highlight w:val="none"/>
        </w:rPr>
        <w:t>主要原辅材料及能源消耗情况见下表。</w:t>
      </w:r>
    </w:p>
    <w:p>
      <w:pPr>
        <w:spacing w:line="240" w:lineRule="auto"/>
        <w:ind w:firstLine="0" w:firstLineChars="0"/>
        <w:jc w:val="center"/>
        <w:textAlignment w:val="auto"/>
        <w:rPr>
          <w:rFonts w:eastAsia="黑体"/>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2</w:t>
      </w:r>
      <w:r>
        <w:rPr>
          <w:rFonts w:eastAsia="黑体"/>
          <w:kern w:val="2"/>
          <w:sz w:val="21"/>
          <w:szCs w:val="21"/>
          <w:highlight w:val="none"/>
        </w:rPr>
        <w:t>-</w:t>
      </w:r>
      <w:r>
        <w:rPr>
          <w:rFonts w:hint="eastAsia" w:eastAsia="黑体"/>
          <w:kern w:val="2"/>
          <w:sz w:val="21"/>
          <w:szCs w:val="21"/>
          <w:highlight w:val="none"/>
          <w:lang w:val="en-US" w:eastAsia="zh-CN"/>
        </w:rPr>
        <w:t>7</w:t>
      </w:r>
      <w:r>
        <w:rPr>
          <w:rFonts w:hint="eastAsia" w:eastAsia="黑体"/>
          <w:kern w:val="2"/>
          <w:sz w:val="21"/>
          <w:szCs w:val="21"/>
          <w:highlight w:val="none"/>
        </w:rPr>
        <w:t xml:space="preserve"> </w:t>
      </w:r>
      <w:r>
        <w:rPr>
          <w:rFonts w:hint="eastAsia" w:eastAsia="黑体"/>
          <w:kern w:val="2"/>
          <w:sz w:val="21"/>
          <w:szCs w:val="21"/>
          <w:highlight w:val="none"/>
          <w:lang w:val="en-US" w:eastAsia="zh-CN"/>
        </w:rPr>
        <w:t>改扩建后全厂</w:t>
      </w:r>
      <w:r>
        <w:rPr>
          <w:rFonts w:eastAsia="黑体"/>
          <w:kern w:val="2"/>
          <w:sz w:val="21"/>
          <w:szCs w:val="21"/>
          <w:highlight w:val="none"/>
        </w:rPr>
        <w:t>主要原辅材料与能源消耗一览表</w:t>
      </w:r>
    </w:p>
    <w:tbl>
      <w:tblPr>
        <w:tblStyle w:val="48"/>
        <w:tblW w:w="856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483"/>
        <w:gridCol w:w="914"/>
        <w:gridCol w:w="1133"/>
        <w:gridCol w:w="43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rPr>
            </w:pPr>
            <w:r>
              <w:rPr>
                <w:sz w:val="21"/>
                <w:szCs w:val="21"/>
              </w:rPr>
              <w:t>序号</w:t>
            </w:r>
          </w:p>
        </w:tc>
        <w:tc>
          <w:tcPr>
            <w:tcW w:w="1483" w:type="dxa"/>
            <w:vAlign w:val="center"/>
          </w:tcPr>
          <w:p>
            <w:pPr>
              <w:spacing w:line="320" w:lineRule="exact"/>
              <w:ind w:firstLine="0" w:firstLineChars="0"/>
              <w:jc w:val="center"/>
              <w:rPr>
                <w:sz w:val="21"/>
                <w:szCs w:val="21"/>
              </w:rPr>
            </w:pPr>
            <w:r>
              <w:rPr>
                <w:sz w:val="21"/>
                <w:szCs w:val="21"/>
              </w:rPr>
              <w:t>名称</w:t>
            </w:r>
          </w:p>
        </w:tc>
        <w:tc>
          <w:tcPr>
            <w:tcW w:w="914" w:type="dxa"/>
            <w:vAlign w:val="center"/>
          </w:tcPr>
          <w:p>
            <w:pPr>
              <w:spacing w:line="320" w:lineRule="exact"/>
              <w:ind w:firstLine="0" w:firstLineChars="0"/>
              <w:jc w:val="center"/>
              <w:rPr>
                <w:sz w:val="21"/>
                <w:szCs w:val="21"/>
              </w:rPr>
            </w:pPr>
            <w:r>
              <w:rPr>
                <w:sz w:val="21"/>
                <w:szCs w:val="21"/>
              </w:rPr>
              <w:t>消耗量</w:t>
            </w:r>
          </w:p>
        </w:tc>
        <w:tc>
          <w:tcPr>
            <w:tcW w:w="1133" w:type="dxa"/>
            <w:vAlign w:val="center"/>
          </w:tcPr>
          <w:p>
            <w:pPr>
              <w:spacing w:line="320" w:lineRule="exact"/>
              <w:ind w:firstLine="0" w:firstLineChars="0"/>
              <w:jc w:val="center"/>
              <w:rPr>
                <w:sz w:val="21"/>
                <w:szCs w:val="21"/>
              </w:rPr>
            </w:pPr>
            <w:r>
              <w:rPr>
                <w:sz w:val="21"/>
                <w:szCs w:val="21"/>
              </w:rPr>
              <w:t>单位</w:t>
            </w:r>
          </w:p>
        </w:tc>
        <w:tc>
          <w:tcPr>
            <w:tcW w:w="4359" w:type="dxa"/>
            <w:vAlign w:val="center"/>
          </w:tcPr>
          <w:p>
            <w:pPr>
              <w:spacing w:line="320" w:lineRule="exact"/>
              <w:ind w:firstLine="0" w:firstLineChars="0"/>
              <w:jc w:val="center"/>
              <w:rPr>
                <w:sz w:val="21"/>
                <w:szCs w:val="21"/>
              </w:rPr>
            </w:pPr>
            <w:r>
              <w:rPr>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rPr>
            </w:pPr>
            <w:r>
              <w:rPr>
                <w:sz w:val="21"/>
                <w:szCs w:val="21"/>
              </w:rPr>
              <w:t>1</w:t>
            </w:r>
          </w:p>
        </w:tc>
        <w:tc>
          <w:tcPr>
            <w:tcW w:w="1483" w:type="dxa"/>
            <w:vAlign w:val="center"/>
          </w:tcPr>
          <w:p>
            <w:pPr>
              <w:spacing w:line="320" w:lineRule="exact"/>
              <w:ind w:firstLine="0" w:firstLineChars="0"/>
              <w:jc w:val="center"/>
              <w:rPr>
                <w:rFonts w:hint="eastAsia" w:eastAsia="宋体"/>
                <w:sz w:val="21"/>
                <w:szCs w:val="21"/>
                <w:lang w:val="en-US" w:eastAsia="zh-CN"/>
              </w:rPr>
            </w:pPr>
            <w:r>
              <w:rPr>
                <w:sz w:val="21"/>
                <w:szCs w:val="21"/>
              </w:rPr>
              <w:t>原矿</w:t>
            </w:r>
            <w:r>
              <w:rPr>
                <w:rFonts w:hint="eastAsia"/>
                <w:sz w:val="21"/>
                <w:szCs w:val="21"/>
                <w:lang w:val="en-US" w:eastAsia="zh-CN"/>
              </w:rPr>
              <w:t>石</w:t>
            </w:r>
          </w:p>
        </w:tc>
        <w:tc>
          <w:tcPr>
            <w:tcW w:w="914" w:type="dxa"/>
            <w:vAlign w:val="center"/>
          </w:tcPr>
          <w:p>
            <w:pPr>
              <w:spacing w:line="320" w:lineRule="exact"/>
              <w:ind w:firstLine="0" w:firstLineChars="0"/>
              <w:jc w:val="center"/>
              <w:rPr>
                <w:rFonts w:hint="default" w:eastAsia="宋体"/>
                <w:sz w:val="21"/>
                <w:szCs w:val="21"/>
                <w:lang w:val="en-US" w:eastAsia="zh-CN"/>
              </w:rPr>
            </w:pPr>
            <w:r>
              <w:rPr>
                <w:rFonts w:hint="eastAsia"/>
                <w:sz w:val="21"/>
                <w:szCs w:val="21"/>
                <w:lang w:val="en-US" w:eastAsia="zh-CN"/>
              </w:rPr>
              <w:t>60</w:t>
            </w:r>
          </w:p>
        </w:tc>
        <w:tc>
          <w:tcPr>
            <w:tcW w:w="1133" w:type="dxa"/>
            <w:vAlign w:val="center"/>
          </w:tcPr>
          <w:p>
            <w:pPr>
              <w:spacing w:line="320" w:lineRule="exact"/>
              <w:ind w:firstLine="0" w:firstLineChars="0"/>
              <w:jc w:val="center"/>
              <w:rPr>
                <w:sz w:val="21"/>
                <w:szCs w:val="21"/>
              </w:rPr>
            </w:pPr>
            <w:r>
              <w:rPr>
                <w:sz w:val="21"/>
                <w:szCs w:val="21"/>
              </w:rPr>
              <w:t>万t/a</w:t>
            </w:r>
          </w:p>
        </w:tc>
        <w:tc>
          <w:tcPr>
            <w:tcW w:w="4359" w:type="dxa"/>
            <w:vAlign w:val="center"/>
          </w:tcPr>
          <w:p>
            <w:pPr>
              <w:spacing w:line="320" w:lineRule="exact"/>
              <w:ind w:firstLine="0" w:firstLineChars="0"/>
              <w:jc w:val="center"/>
              <w:rPr>
                <w:sz w:val="21"/>
                <w:szCs w:val="21"/>
              </w:rPr>
            </w:pPr>
            <w:r>
              <w:rPr>
                <w:sz w:val="21"/>
                <w:szCs w:val="21"/>
              </w:rPr>
              <w:t>品位</w:t>
            </w:r>
            <w:r>
              <w:rPr>
                <w:rFonts w:hint="eastAsia"/>
                <w:sz w:val="21"/>
                <w:szCs w:val="21"/>
              </w:rPr>
              <w:t>2</w:t>
            </w:r>
            <w:r>
              <w:rPr>
                <w:rFonts w:hint="eastAsia"/>
                <w:sz w:val="21"/>
                <w:szCs w:val="21"/>
                <w:lang w:val="en-US" w:eastAsia="zh-CN"/>
              </w:rPr>
              <w:t>9</w:t>
            </w:r>
            <w:r>
              <w:rPr>
                <w:sz w:val="21"/>
                <w:szCs w:val="21"/>
              </w:rPr>
              <w:t>%，来自</w:t>
            </w:r>
            <w:r>
              <w:rPr>
                <w:rFonts w:hint="eastAsia"/>
                <w:sz w:val="21"/>
                <w:szCs w:val="21"/>
              </w:rPr>
              <w:t>承德县鑫兴矿业有限公司</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rFonts w:hint="eastAsia" w:eastAsia="宋体"/>
                <w:sz w:val="21"/>
                <w:szCs w:val="21"/>
                <w:lang w:val="en-US" w:eastAsia="zh-CN"/>
              </w:rPr>
            </w:pPr>
            <w:r>
              <w:rPr>
                <w:rFonts w:hint="eastAsia"/>
                <w:sz w:val="21"/>
                <w:szCs w:val="21"/>
                <w:lang w:val="en-US" w:eastAsia="zh-CN"/>
              </w:rPr>
              <w:t>2</w:t>
            </w:r>
          </w:p>
        </w:tc>
        <w:tc>
          <w:tcPr>
            <w:tcW w:w="1483" w:type="dxa"/>
            <w:vAlign w:val="center"/>
          </w:tcPr>
          <w:p>
            <w:pPr>
              <w:spacing w:line="320" w:lineRule="exact"/>
              <w:ind w:firstLine="0" w:firstLineChars="0"/>
              <w:jc w:val="center"/>
              <w:rPr>
                <w:sz w:val="21"/>
                <w:szCs w:val="21"/>
              </w:rPr>
            </w:pPr>
            <w:r>
              <w:rPr>
                <w:sz w:val="21"/>
                <w:szCs w:val="21"/>
              </w:rPr>
              <w:t>水（新水）</w:t>
            </w:r>
          </w:p>
        </w:tc>
        <w:tc>
          <w:tcPr>
            <w:tcW w:w="914" w:type="dxa"/>
            <w:vAlign w:val="center"/>
          </w:tcPr>
          <w:p>
            <w:pPr>
              <w:spacing w:line="320" w:lineRule="exact"/>
              <w:ind w:firstLine="0" w:firstLineChars="0"/>
              <w:jc w:val="center"/>
              <w:rPr>
                <w:rFonts w:hint="default" w:eastAsia="宋体"/>
                <w:sz w:val="21"/>
                <w:szCs w:val="21"/>
                <w:lang w:val="en-US" w:eastAsia="zh-CN"/>
              </w:rPr>
            </w:pPr>
            <w:r>
              <w:rPr>
                <w:rFonts w:hint="eastAsia"/>
                <w:sz w:val="21"/>
                <w:szCs w:val="21"/>
                <w:lang w:val="en-US" w:eastAsia="zh-CN"/>
              </w:rPr>
              <w:t>78360</w:t>
            </w:r>
          </w:p>
        </w:tc>
        <w:tc>
          <w:tcPr>
            <w:tcW w:w="1133" w:type="dxa"/>
            <w:vAlign w:val="center"/>
          </w:tcPr>
          <w:p>
            <w:pPr>
              <w:spacing w:line="320" w:lineRule="exact"/>
              <w:ind w:firstLine="0" w:firstLineChars="0"/>
              <w:jc w:val="center"/>
              <w:rPr>
                <w:sz w:val="21"/>
                <w:szCs w:val="21"/>
              </w:rPr>
            </w:pPr>
            <w:r>
              <w:rPr>
                <w:sz w:val="21"/>
                <w:szCs w:val="21"/>
              </w:rPr>
              <w:t>m</w:t>
            </w:r>
            <w:r>
              <w:rPr>
                <w:sz w:val="21"/>
                <w:szCs w:val="21"/>
                <w:vertAlign w:val="superscript"/>
              </w:rPr>
              <w:t>3</w:t>
            </w:r>
            <w:r>
              <w:rPr>
                <w:sz w:val="21"/>
                <w:szCs w:val="21"/>
              </w:rPr>
              <w:t>/a</w:t>
            </w:r>
          </w:p>
        </w:tc>
        <w:tc>
          <w:tcPr>
            <w:tcW w:w="4359" w:type="dxa"/>
            <w:vAlign w:val="center"/>
          </w:tcPr>
          <w:p>
            <w:pPr>
              <w:spacing w:line="320" w:lineRule="exact"/>
              <w:ind w:firstLine="0" w:firstLineChars="0"/>
              <w:jc w:val="center"/>
              <w:rPr>
                <w:sz w:val="21"/>
                <w:szCs w:val="21"/>
              </w:rPr>
            </w:pPr>
            <w:r>
              <w:rPr>
                <w:sz w:val="21"/>
                <w:szCs w:val="21"/>
              </w:rPr>
              <w:t>自备井提供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rFonts w:ascii="Times New Roman" w:hAnsi="Times New Roman" w:eastAsia="宋体" w:cs="Times New Roman"/>
                <w:sz w:val="21"/>
                <w:szCs w:val="21"/>
                <w:lang w:val="en-US" w:eastAsia="zh-CN" w:bidi="ar-SA"/>
              </w:rPr>
            </w:pPr>
            <w:r>
              <w:rPr>
                <w:sz w:val="21"/>
                <w:szCs w:val="21"/>
              </w:rPr>
              <w:t>3</w:t>
            </w:r>
          </w:p>
        </w:tc>
        <w:tc>
          <w:tcPr>
            <w:tcW w:w="1483" w:type="dxa"/>
            <w:vAlign w:val="center"/>
          </w:tcPr>
          <w:p>
            <w:pPr>
              <w:spacing w:line="320" w:lineRule="exact"/>
              <w:ind w:firstLine="0" w:firstLineChars="0"/>
              <w:jc w:val="center"/>
              <w:rPr>
                <w:sz w:val="21"/>
                <w:szCs w:val="21"/>
              </w:rPr>
            </w:pPr>
            <w:r>
              <w:rPr>
                <w:sz w:val="21"/>
                <w:szCs w:val="21"/>
              </w:rPr>
              <w:t>电</w:t>
            </w:r>
          </w:p>
        </w:tc>
        <w:tc>
          <w:tcPr>
            <w:tcW w:w="914" w:type="dxa"/>
            <w:vAlign w:val="center"/>
          </w:tcPr>
          <w:p>
            <w:pPr>
              <w:spacing w:line="320" w:lineRule="exact"/>
              <w:ind w:firstLine="0" w:firstLineChars="0"/>
              <w:jc w:val="center"/>
              <w:rPr>
                <w:rFonts w:hint="default" w:eastAsia="宋体"/>
                <w:sz w:val="21"/>
                <w:szCs w:val="21"/>
                <w:lang w:val="en-US" w:eastAsia="zh-CN"/>
              </w:rPr>
            </w:pPr>
            <w:r>
              <w:rPr>
                <w:rFonts w:hint="eastAsia"/>
                <w:sz w:val="21"/>
                <w:szCs w:val="21"/>
                <w:lang w:val="en-US" w:eastAsia="zh-CN"/>
              </w:rPr>
              <w:t>643</w:t>
            </w:r>
          </w:p>
        </w:tc>
        <w:tc>
          <w:tcPr>
            <w:tcW w:w="1133" w:type="dxa"/>
            <w:vAlign w:val="center"/>
          </w:tcPr>
          <w:p>
            <w:pPr>
              <w:spacing w:line="320" w:lineRule="exact"/>
              <w:ind w:firstLine="0" w:firstLineChars="0"/>
              <w:jc w:val="center"/>
              <w:rPr>
                <w:sz w:val="21"/>
                <w:szCs w:val="21"/>
              </w:rPr>
            </w:pPr>
            <w:r>
              <w:rPr>
                <w:sz w:val="21"/>
                <w:szCs w:val="21"/>
              </w:rPr>
              <w:t>万kW·h/a</w:t>
            </w:r>
          </w:p>
        </w:tc>
        <w:tc>
          <w:tcPr>
            <w:tcW w:w="4359" w:type="dxa"/>
            <w:vAlign w:val="center"/>
          </w:tcPr>
          <w:p>
            <w:pPr>
              <w:spacing w:line="320" w:lineRule="exact"/>
              <w:ind w:firstLine="0" w:firstLineChars="0"/>
              <w:jc w:val="center"/>
              <w:rPr>
                <w:sz w:val="21"/>
                <w:szCs w:val="21"/>
              </w:rPr>
            </w:pPr>
            <w:r>
              <w:rPr>
                <w:sz w:val="21"/>
                <w:szCs w:val="21"/>
              </w:rPr>
              <w:t>当地变电站供给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rFonts w:ascii="Times New Roman" w:hAnsi="Times New Roman" w:eastAsia="宋体" w:cs="Times New Roman"/>
                <w:sz w:val="21"/>
                <w:szCs w:val="21"/>
                <w:lang w:val="en-US" w:eastAsia="zh-CN" w:bidi="ar-SA"/>
              </w:rPr>
            </w:pPr>
            <w:r>
              <w:rPr>
                <w:sz w:val="21"/>
                <w:szCs w:val="21"/>
              </w:rPr>
              <w:t>4</w:t>
            </w:r>
          </w:p>
        </w:tc>
        <w:tc>
          <w:tcPr>
            <w:tcW w:w="1483" w:type="dxa"/>
            <w:vAlign w:val="center"/>
          </w:tcPr>
          <w:p>
            <w:pPr>
              <w:spacing w:line="320" w:lineRule="exact"/>
              <w:ind w:firstLine="0" w:firstLineChars="0"/>
              <w:jc w:val="center"/>
              <w:rPr>
                <w:sz w:val="21"/>
                <w:szCs w:val="21"/>
              </w:rPr>
            </w:pPr>
            <w:r>
              <w:rPr>
                <w:sz w:val="21"/>
                <w:szCs w:val="21"/>
              </w:rPr>
              <w:t>球磨(钢球)</w:t>
            </w:r>
          </w:p>
        </w:tc>
        <w:tc>
          <w:tcPr>
            <w:tcW w:w="914" w:type="dxa"/>
            <w:vAlign w:val="center"/>
          </w:tcPr>
          <w:p>
            <w:pPr>
              <w:spacing w:line="320" w:lineRule="exact"/>
              <w:ind w:firstLine="0" w:firstLineChars="0"/>
              <w:jc w:val="center"/>
              <w:rPr>
                <w:sz w:val="21"/>
                <w:szCs w:val="21"/>
              </w:rPr>
            </w:pPr>
            <w:r>
              <w:rPr>
                <w:rFonts w:hint="eastAsia"/>
                <w:sz w:val="21"/>
                <w:szCs w:val="21"/>
              </w:rPr>
              <w:t>105</w:t>
            </w:r>
          </w:p>
        </w:tc>
        <w:tc>
          <w:tcPr>
            <w:tcW w:w="1133" w:type="dxa"/>
            <w:vAlign w:val="center"/>
          </w:tcPr>
          <w:p>
            <w:pPr>
              <w:spacing w:line="320" w:lineRule="exact"/>
              <w:ind w:firstLine="0" w:firstLineChars="0"/>
              <w:jc w:val="center"/>
              <w:rPr>
                <w:sz w:val="21"/>
                <w:szCs w:val="21"/>
              </w:rPr>
            </w:pPr>
            <w:r>
              <w:rPr>
                <w:sz w:val="21"/>
                <w:szCs w:val="21"/>
              </w:rPr>
              <w:t>t/a</w:t>
            </w:r>
          </w:p>
        </w:tc>
        <w:tc>
          <w:tcPr>
            <w:tcW w:w="4359" w:type="dxa"/>
            <w:vAlign w:val="center"/>
          </w:tcPr>
          <w:p>
            <w:pPr>
              <w:spacing w:line="320" w:lineRule="exact"/>
              <w:ind w:firstLine="0" w:firstLineChars="0"/>
              <w:jc w:val="center"/>
              <w:rPr>
                <w:sz w:val="21"/>
                <w:szCs w:val="21"/>
              </w:rPr>
            </w:pPr>
            <w:r>
              <w:rPr>
                <w:sz w:val="21"/>
                <w:szCs w:val="21"/>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rFonts w:ascii="Times New Roman" w:hAnsi="Times New Roman" w:eastAsia="宋体" w:cs="Times New Roman"/>
                <w:sz w:val="21"/>
                <w:szCs w:val="21"/>
                <w:lang w:val="en-US" w:eastAsia="zh-CN" w:bidi="ar-SA"/>
              </w:rPr>
            </w:pPr>
            <w:r>
              <w:rPr>
                <w:rFonts w:hint="eastAsia"/>
                <w:sz w:val="21"/>
                <w:szCs w:val="21"/>
              </w:rPr>
              <w:t>5</w:t>
            </w:r>
          </w:p>
        </w:tc>
        <w:tc>
          <w:tcPr>
            <w:tcW w:w="1483" w:type="dxa"/>
            <w:vAlign w:val="center"/>
          </w:tcPr>
          <w:p>
            <w:pPr>
              <w:spacing w:line="320" w:lineRule="exact"/>
              <w:ind w:firstLine="0" w:firstLineChars="0"/>
              <w:jc w:val="center"/>
              <w:rPr>
                <w:rFonts w:hint="eastAsia" w:eastAsia="宋体"/>
                <w:sz w:val="21"/>
                <w:szCs w:val="21"/>
                <w:highlight w:val="none"/>
                <w:lang w:eastAsia="zh-CN"/>
              </w:rPr>
            </w:pPr>
            <w:r>
              <w:rPr>
                <w:rFonts w:hint="eastAsia"/>
                <w:sz w:val="21"/>
                <w:szCs w:val="21"/>
                <w:highlight w:val="none"/>
                <w:lang w:val="en-US" w:eastAsia="zh-CN"/>
              </w:rPr>
              <w:t>矿物油</w:t>
            </w:r>
          </w:p>
        </w:tc>
        <w:tc>
          <w:tcPr>
            <w:tcW w:w="914" w:type="dxa"/>
            <w:vAlign w:val="center"/>
          </w:tcPr>
          <w:p>
            <w:pPr>
              <w:spacing w:line="320" w:lineRule="exact"/>
              <w:ind w:firstLine="0" w:firstLineChars="0"/>
              <w:jc w:val="center"/>
              <w:rPr>
                <w:rFonts w:hint="default" w:eastAsia="宋体"/>
                <w:sz w:val="21"/>
                <w:szCs w:val="21"/>
                <w:highlight w:val="none"/>
                <w:lang w:val="en-US" w:eastAsia="zh-CN"/>
              </w:rPr>
            </w:pPr>
            <w:r>
              <w:rPr>
                <w:rFonts w:hint="eastAsia"/>
                <w:kern w:val="24"/>
                <w:sz w:val="21"/>
                <w:szCs w:val="21"/>
                <w:highlight w:val="none"/>
                <w:lang w:val="en-US" w:eastAsia="zh-CN"/>
              </w:rPr>
              <w:t>1.2</w:t>
            </w:r>
          </w:p>
        </w:tc>
        <w:tc>
          <w:tcPr>
            <w:tcW w:w="1133" w:type="dxa"/>
            <w:vAlign w:val="center"/>
          </w:tcPr>
          <w:p>
            <w:pPr>
              <w:spacing w:line="320" w:lineRule="exact"/>
              <w:ind w:firstLine="0" w:firstLineChars="0"/>
              <w:jc w:val="center"/>
              <w:rPr>
                <w:sz w:val="21"/>
                <w:szCs w:val="21"/>
                <w:highlight w:val="none"/>
              </w:rPr>
            </w:pPr>
            <w:r>
              <w:rPr>
                <w:rFonts w:hint="eastAsia"/>
                <w:kern w:val="24"/>
                <w:sz w:val="21"/>
                <w:szCs w:val="21"/>
                <w:highlight w:val="none"/>
              </w:rPr>
              <w:t>t/a</w:t>
            </w:r>
          </w:p>
        </w:tc>
        <w:tc>
          <w:tcPr>
            <w:tcW w:w="4359" w:type="dxa"/>
            <w:vAlign w:val="center"/>
          </w:tcPr>
          <w:p>
            <w:pPr>
              <w:spacing w:line="320" w:lineRule="exact"/>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润滑油和液压油</w:t>
            </w:r>
          </w:p>
        </w:tc>
      </w:tr>
    </w:tbl>
    <w:p>
      <w:pPr>
        <w:pStyle w:val="6"/>
        <w:numPr>
          <w:ilvl w:val="2"/>
          <w:numId w:val="1"/>
        </w:numPr>
        <w:spacing w:beforeLines="50" w:after="0"/>
        <w:ind w:left="567"/>
        <w:rPr>
          <w:szCs w:val="28"/>
          <w:highlight w:val="none"/>
        </w:rPr>
      </w:pPr>
      <w:bookmarkStart w:id="276" w:name="_Toc13435"/>
      <w:r>
        <w:rPr>
          <w:szCs w:val="28"/>
          <w:highlight w:val="none"/>
        </w:rPr>
        <w:t>平面布置</w:t>
      </w:r>
      <w:bookmarkEnd w:id="276"/>
    </w:p>
    <w:p>
      <w:pPr>
        <w:ind w:firstLine="480"/>
        <w:rPr>
          <w:sz w:val="24"/>
          <w:szCs w:val="24"/>
          <w:highlight w:val="none"/>
          <w:lang w:val="en-GB"/>
        </w:rPr>
      </w:pPr>
      <w:r>
        <w:rPr>
          <w:sz w:val="24"/>
          <w:szCs w:val="24"/>
          <w:highlight w:val="none"/>
        </w:rPr>
        <w:t>根据工艺生产流程和运输要求，结合该厂区场地自然条件，尽量使生产车间布置合理。本项目</w:t>
      </w:r>
      <w:r>
        <w:rPr>
          <w:rFonts w:hint="eastAsia"/>
          <w:sz w:val="24"/>
          <w:szCs w:val="24"/>
          <w:highlight w:val="none"/>
        </w:rPr>
        <w:t>南厂区</w:t>
      </w:r>
      <w:r>
        <w:rPr>
          <w:rFonts w:hint="eastAsia"/>
          <w:sz w:val="24"/>
          <w:szCs w:val="24"/>
          <w:highlight w:val="none"/>
          <w:lang w:val="en-US" w:eastAsia="zh-CN"/>
        </w:rPr>
        <w:t>西侧新建</w:t>
      </w:r>
      <w:r>
        <w:rPr>
          <w:rFonts w:hint="eastAsia"/>
          <w:sz w:val="24"/>
          <w:szCs w:val="24"/>
          <w:highlight w:val="none"/>
        </w:rPr>
        <w:t>1座</w:t>
      </w:r>
      <w:r>
        <w:rPr>
          <w:rFonts w:hint="eastAsia"/>
          <w:sz w:val="24"/>
          <w:szCs w:val="24"/>
          <w:highlight w:val="none"/>
          <w:lang w:val="en-US" w:eastAsia="zh-CN"/>
        </w:rPr>
        <w:t>破碎车间，新建破碎车间北侧新建1座成品库，厂区现有建构筑物不变</w:t>
      </w:r>
      <w:r>
        <w:rPr>
          <w:sz w:val="24"/>
          <w:szCs w:val="24"/>
          <w:highlight w:val="none"/>
        </w:rPr>
        <w:t>。</w:t>
      </w:r>
    </w:p>
    <w:p>
      <w:pPr>
        <w:pStyle w:val="6"/>
        <w:numPr>
          <w:ilvl w:val="2"/>
          <w:numId w:val="1"/>
        </w:numPr>
        <w:spacing w:before="0" w:after="0"/>
        <w:ind w:left="567"/>
        <w:rPr>
          <w:szCs w:val="28"/>
          <w:highlight w:val="none"/>
        </w:rPr>
      </w:pPr>
      <w:r>
        <w:rPr>
          <w:szCs w:val="28"/>
          <w:highlight w:val="none"/>
        </w:rPr>
        <w:t>劳动定员及工作制度</w:t>
      </w:r>
    </w:p>
    <w:p>
      <w:pPr>
        <w:ind w:firstLine="480"/>
        <w:jc w:val="both"/>
        <w:rPr>
          <w:sz w:val="24"/>
          <w:szCs w:val="24"/>
          <w:highlight w:val="none"/>
        </w:rPr>
      </w:pPr>
      <w:r>
        <w:rPr>
          <w:sz w:val="24"/>
          <w:szCs w:val="24"/>
          <w:highlight w:val="none"/>
        </w:rPr>
        <w:t>本项目</w:t>
      </w:r>
      <w:r>
        <w:rPr>
          <w:rFonts w:hint="eastAsia"/>
          <w:sz w:val="24"/>
          <w:szCs w:val="24"/>
          <w:highlight w:val="none"/>
          <w:lang w:val="en-US" w:eastAsia="zh-CN"/>
        </w:rPr>
        <w:t>所需员工由现有厂区调剂，不新增</w:t>
      </w:r>
      <w:r>
        <w:rPr>
          <w:sz w:val="24"/>
          <w:szCs w:val="24"/>
          <w:highlight w:val="none"/>
        </w:rPr>
        <w:t>劳动</w:t>
      </w:r>
      <w:r>
        <w:rPr>
          <w:rFonts w:hint="eastAsia"/>
          <w:sz w:val="24"/>
          <w:szCs w:val="24"/>
          <w:highlight w:val="none"/>
          <w:lang w:eastAsia="zh-CN"/>
        </w:rPr>
        <w:t>，</w:t>
      </w:r>
      <w:r>
        <w:rPr>
          <w:sz w:val="24"/>
          <w:szCs w:val="24"/>
          <w:highlight w:val="none"/>
          <w:lang w:val="en-GB"/>
        </w:rPr>
        <w:t>年工作</w:t>
      </w:r>
      <w:r>
        <w:rPr>
          <w:sz w:val="24"/>
          <w:szCs w:val="24"/>
          <w:highlight w:val="none"/>
        </w:rPr>
        <w:t>3</w:t>
      </w:r>
      <w:r>
        <w:rPr>
          <w:sz w:val="24"/>
          <w:szCs w:val="24"/>
          <w:highlight w:val="none"/>
          <w:lang w:val="en-GB"/>
        </w:rPr>
        <w:t>00天，每天3班，每班8小时，设备年工作小时数</w:t>
      </w:r>
      <w:r>
        <w:rPr>
          <w:sz w:val="24"/>
          <w:szCs w:val="24"/>
          <w:highlight w:val="none"/>
        </w:rPr>
        <w:t>72</w:t>
      </w:r>
      <w:r>
        <w:rPr>
          <w:sz w:val="24"/>
          <w:szCs w:val="24"/>
          <w:highlight w:val="none"/>
          <w:lang w:val="en-GB"/>
        </w:rPr>
        <w:t>00小时。</w:t>
      </w:r>
    </w:p>
    <w:p>
      <w:pPr>
        <w:pStyle w:val="6"/>
        <w:numPr>
          <w:ilvl w:val="2"/>
          <w:numId w:val="1"/>
        </w:numPr>
        <w:spacing w:before="0" w:after="0"/>
        <w:ind w:left="567"/>
        <w:rPr>
          <w:szCs w:val="28"/>
          <w:highlight w:val="none"/>
        </w:rPr>
      </w:pPr>
      <w:bookmarkStart w:id="277" w:name="_Toc26580"/>
      <w:bookmarkStart w:id="278" w:name="_Toc521591760"/>
      <w:r>
        <w:rPr>
          <w:szCs w:val="28"/>
          <w:highlight w:val="none"/>
        </w:rPr>
        <w:t>主要经济技术指标</w:t>
      </w:r>
      <w:bookmarkEnd w:id="277"/>
      <w:bookmarkEnd w:id="278"/>
    </w:p>
    <w:p>
      <w:pPr>
        <w:ind w:firstLine="480"/>
        <w:jc w:val="both"/>
        <w:rPr>
          <w:sz w:val="24"/>
          <w:szCs w:val="24"/>
          <w:highlight w:val="none"/>
        </w:rPr>
      </w:pPr>
      <w:r>
        <w:rPr>
          <w:sz w:val="24"/>
          <w:szCs w:val="24"/>
          <w:highlight w:val="none"/>
        </w:rPr>
        <w:t>本项目</w:t>
      </w:r>
      <w:r>
        <w:rPr>
          <w:rFonts w:hint="eastAsia"/>
          <w:sz w:val="24"/>
          <w:szCs w:val="24"/>
          <w:highlight w:val="none"/>
          <w:lang w:val="en-US" w:eastAsia="zh-CN"/>
        </w:rPr>
        <w:t>实施后全厂</w:t>
      </w:r>
      <w:r>
        <w:rPr>
          <w:sz w:val="24"/>
          <w:szCs w:val="24"/>
          <w:highlight w:val="none"/>
        </w:rPr>
        <w:t>主要经济技术指标，见表3.</w:t>
      </w:r>
      <w:r>
        <w:rPr>
          <w:rFonts w:hint="eastAsia"/>
          <w:sz w:val="24"/>
          <w:szCs w:val="24"/>
          <w:highlight w:val="none"/>
          <w:lang w:val="en-US" w:eastAsia="zh-CN"/>
        </w:rPr>
        <w:t>2</w:t>
      </w:r>
      <w:r>
        <w:rPr>
          <w:sz w:val="24"/>
          <w:szCs w:val="24"/>
          <w:highlight w:val="none"/>
        </w:rPr>
        <w:t>-</w:t>
      </w:r>
      <w:r>
        <w:rPr>
          <w:rFonts w:hint="eastAsia"/>
          <w:sz w:val="24"/>
          <w:szCs w:val="24"/>
          <w:highlight w:val="none"/>
          <w:lang w:val="en-US" w:eastAsia="zh-CN"/>
        </w:rPr>
        <w:t>8</w:t>
      </w:r>
      <w:r>
        <w:rPr>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2</w:t>
      </w:r>
      <w:r>
        <w:rPr>
          <w:rFonts w:hint="eastAsia" w:eastAsia="黑体"/>
          <w:kern w:val="2"/>
          <w:sz w:val="21"/>
          <w:szCs w:val="21"/>
          <w:highlight w:val="none"/>
        </w:rPr>
        <w:t>-</w:t>
      </w:r>
      <w:r>
        <w:rPr>
          <w:rFonts w:hint="eastAsia" w:eastAsia="黑体"/>
          <w:kern w:val="2"/>
          <w:sz w:val="21"/>
          <w:szCs w:val="21"/>
          <w:highlight w:val="none"/>
          <w:lang w:val="en-US" w:eastAsia="zh-CN"/>
        </w:rPr>
        <w:t xml:space="preserve">8  </w:t>
      </w:r>
      <w:r>
        <w:rPr>
          <w:rFonts w:eastAsia="黑体"/>
          <w:kern w:val="2"/>
          <w:sz w:val="21"/>
          <w:szCs w:val="21"/>
          <w:highlight w:val="none"/>
        </w:rPr>
        <w:t>主要经济技术参数表</w:t>
      </w:r>
    </w:p>
    <w:tbl>
      <w:tblPr>
        <w:tblStyle w:val="48"/>
        <w:tblW w:w="8521"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56"/>
        <w:gridCol w:w="2222"/>
        <w:gridCol w:w="1000"/>
        <w:gridCol w:w="2367"/>
        <w:gridCol w:w="217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756" w:type="dxa"/>
            <w:vAlign w:val="center"/>
          </w:tcPr>
          <w:p>
            <w:pPr>
              <w:spacing w:line="240" w:lineRule="auto"/>
              <w:ind w:firstLine="0" w:firstLineChars="0"/>
              <w:jc w:val="center"/>
              <w:rPr>
                <w:bCs/>
                <w:sz w:val="21"/>
                <w:szCs w:val="21"/>
                <w:highlight w:val="none"/>
              </w:rPr>
            </w:pPr>
            <w:bookmarkStart w:id="279" w:name="_Hlk532163341"/>
            <w:r>
              <w:rPr>
                <w:bCs/>
                <w:sz w:val="21"/>
                <w:szCs w:val="21"/>
                <w:highlight w:val="none"/>
              </w:rPr>
              <w:t>序号</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指标名称</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单位</w:t>
            </w:r>
          </w:p>
        </w:tc>
        <w:tc>
          <w:tcPr>
            <w:tcW w:w="2367" w:type="dxa"/>
            <w:vAlign w:val="center"/>
          </w:tcPr>
          <w:p>
            <w:pPr>
              <w:spacing w:line="240" w:lineRule="auto"/>
              <w:ind w:firstLine="0" w:firstLineChars="0"/>
              <w:jc w:val="center"/>
              <w:rPr>
                <w:bCs/>
                <w:sz w:val="21"/>
                <w:szCs w:val="21"/>
                <w:highlight w:val="none"/>
              </w:rPr>
            </w:pPr>
            <w:r>
              <w:rPr>
                <w:bCs/>
                <w:sz w:val="21"/>
                <w:szCs w:val="21"/>
                <w:highlight w:val="none"/>
              </w:rPr>
              <w:t>指标</w:t>
            </w:r>
          </w:p>
        </w:tc>
        <w:tc>
          <w:tcPr>
            <w:tcW w:w="2176" w:type="dxa"/>
            <w:vAlign w:val="center"/>
          </w:tcPr>
          <w:p>
            <w:pPr>
              <w:spacing w:line="240" w:lineRule="auto"/>
              <w:ind w:firstLine="0" w:firstLineChars="0"/>
              <w:jc w:val="center"/>
              <w:rPr>
                <w:bCs/>
                <w:sz w:val="21"/>
                <w:szCs w:val="21"/>
                <w:highlight w:val="none"/>
              </w:rPr>
            </w:pPr>
            <w:r>
              <w:rPr>
                <w:bCs/>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Merge w:val="restart"/>
            <w:vAlign w:val="center"/>
          </w:tcPr>
          <w:p>
            <w:pPr>
              <w:spacing w:line="240" w:lineRule="auto"/>
              <w:ind w:firstLine="0" w:firstLineChars="0"/>
              <w:jc w:val="center"/>
              <w:rPr>
                <w:rFonts w:hint="eastAsia" w:eastAsia="宋体"/>
                <w:bCs/>
                <w:sz w:val="21"/>
                <w:szCs w:val="21"/>
                <w:highlight w:val="none"/>
                <w:lang w:eastAsia="zh-CN"/>
              </w:rPr>
            </w:pPr>
            <w:r>
              <w:rPr>
                <w:rFonts w:hint="eastAsia"/>
                <w:bCs/>
                <w:sz w:val="21"/>
                <w:szCs w:val="21"/>
                <w:highlight w:val="none"/>
                <w:lang w:val="en-US" w:eastAsia="zh-CN"/>
              </w:rPr>
              <w:t>1</w:t>
            </w:r>
          </w:p>
        </w:tc>
        <w:tc>
          <w:tcPr>
            <w:tcW w:w="2222" w:type="dxa"/>
            <w:vMerge w:val="restart"/>
            <w:vAlign w:val="center"/>
          </w:tcPr>
          <w:p>
            <w:pPr>
              <w:spacing w:line="240" w:lineRule="auto"/>
              <w:ind w:firstLine="0" w:firstLineChars="0"/>
              <w:jc w:val="center"/>
              <w:rPr>
                <w:bCs/>
                <w:sz w:val="21"/>
                <w:szCs w:val="21"/>
                <w:highlight w:val="none"/>
              </w:rPr>
            </w:pPr>
            <w:r>
              <w:rPr>
                <w:bCs/>
                <w:sz w:val="21"/>
                <w:szCs w:val="21"/>
                <w:highlight w:val="none"/>
              </w:rPr>
              <w:t>年处理能力</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万t</w:t>
            </w:r>
          </w:p>
        </w:tc>
        <w:tc>
          <w:tcPr>
            <w:tcW w:w="2367" w:type="dxa"/>
            <w:vAlign w:val="center"/>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60</w:t>
            </w:r>
          </w:p>
        </w:tc>
        <w:tc>
          <w:tcPr>
            <w:tcW w:w="2176" w:type="dxa"/>
            <w:vAlign w:val="center"/>
          </w:tcPr>
          <w:p>
            <w:pPr>
              <w:spacing w:line="240" w:lineRule="auto"/>
              <w:ind w:firstLine="420"/>
              <w:rPr>
                <w:bCs/>
                <w:sz w:val="21"/>
                <w:szCs w:val="21"/>
                <w:highlight w:val="none"/>
              </w:rPr>
            </w:pPr>
            <w:r>
              <w:rPr>
                <w:bCs/>
                <w:sz w:val="21"/>
                <w:szCs w:val="21"/>
                <w:highlight w:val="none"/>
              </w:rPr>
              <w:t>铁矿石</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Merge w:val="continue"/>
            <w:vAlign w:val="center"/>
          </w:tcPr>
          <w:p>
            <w:pPr>
              <w:spacing w:line="240" w:lineRule="auto"/>
              <w:ind w:firstLine="0" w:firstLineChars="0"/>
              <w:jc w:val="center"/>
              <w:rPr>
                <w:bCs/>
                <w:sz w:val="21"/>
                <w:szCs w:val="21"/>
                <w:highlight w:val="none"/>
              </w:rPr>
            </w:pPr>
          </w:p>
        </w:tc>
        <w:tc>
          <w:tcPr>
            <w:tcW w:w="2222" w:type="dxa"/>
            <w:vMerge w:val="continue"/>
            <w:vAlign w:val="center"/>
          </w:tcPr>
          <w:p>
            <w:pPr>
              <w:spacing w:line="240" w:lineRule="auto"/>
              <w:ind w:firstLine="0" w:firstLineChars="0"/>
              <w:jc w:val="center"/>
              <w:rPr>
                <w:bCs/>
                <w:sz w:val="21"/>
                <w:szCs w:val="21"/>
                <w:highlight w:val="none"/>
              </w:rPr>
            </w:pP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万t</w:t>
            </w:r>
          </w:p>
        </w:tc>
        <w:tc>
          <w:tcPr>
            <w:tcW w:w="2367" w:type="dxa"/>
            <w:vAlign w:val="center"/>
          </w:tcPr>
          <w:p>
            <w:pPr>
              <w:spacing w:line="240" w:lineRule="auto"/>
              <w:ind w:firstLine="0" w:firstLineChars="0"/>
              <w:jc w:val="center"/>
              <w:rPr>
                <w:bCs/>
                <w:sz w:val="21"/>
                <w:szCs w:val="21"/>
                <w:highlight w:val="none"/>
              </w:rPr>
            </w:pPr>
            <w:r>
              <w:rPr>
                <w:rFonts w:hint="eastAsia"/>
                <w:bCs/>
                <w:sz w:val="21"/>
                <w:szCs w:val="21"/>
                <w:highlight w:val="none"/>
              </w:rPr>
              <w:t>30</w:t>
            </w:r>
          </w:p>
        </w:tc>
        <w:tc>
          <w:tcPr>
            <w:tcW w:w="2176" w:type="dxa"/>
            <w:vAlign w:val="center"/>
          </w:tcPr>
          <w:p>
            <w:pPr>
              <w:spacing w:line="240" w:lineRule="auto"/>
              <w:ind w:firstLine="420"/>
              <w:rPr>
                <w:rFonts w:hint="eastAsia" w:eastAsia="宋体"/>
                <w:bCs/>
                <w:sz w:val="21"/>
                <w:szCs w:val="21"/>
                <w:highlight w:val="none"/>
                <w:lang w:eastAsia="zh-CN"/>
              </w:rPr>
            </w:pPr>
            <w:r>
              <w:rPr>
                <w:rFonts w:hint="eastAsia"/>
                <w:bCs/>
                <w:sz w:val="21"/>
                <w:szCs w:val="21"/>
                <w:highlight w:val="none"/>
              </w:rPr>
              <w:t>粗精矿</w:t>
            </w:r>
            <w:r>
              <w:rPr>
                <w:rFonts w:hint="eastAsia"/>
                <w:bCs/>
                <w:sz w:val="21"/>
                <w:szCs w:val="21"/>
                <w:highlight w:val="none"/>
                <w:lang w:eastAsia="zh-CN"/>
              </w:rPr>
              <w:t>（</w:t>
            </w:r>
            <w:r>
              <w:rPr>
                <w:rFonts w:hint="eastAsia"/>
                <w:bCs/>
                <w:sz w:val="21"/>
                <w:szCs w:val="21"/>
                <w:highlight w:val="none"/>
                <w:lang w:val="en-US" w:eastAsia="zh-CN"/>
              </w:rPr>
              <w:t>自产</w:t>
            </w:r>
            <w:r>
              <w:rPr>
                <w:rFonts w:hint="eastAsia"/>
                <w:bCs/>
                <w:sz w:val="21"/>
                <w:szCs w:val="21"/>
                <w:highlight w:val="none"/>
                <w:lang w:eastAsia="zh-CN"/>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bCs/>
                <w:sz w:val="21"/>
                <w:szCs w:val="21"/>
                <w:highlight w:val="none"/>
              </w:rPr>
              <w:t>2</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工作制度</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d/a，h/d</w:t>
            </w:r>
          </w:p>
        </w:tc>
        <w:tc>
          <w:tcPr>
            <w:tcW w:w="2367" w:type="dxa"/>
            <w:vAlign w:val="center"/>
          </w:tcPr>
          <w:p>
            <w:pPr>
              <w:spacing w:line="240" w:lineRule="auto"/>
              <w:ind w:firstLine="0" w:firstLineChars="0"/>
              <w:jc w:val="center"/>
              <w:rPr>
                <w:bCs/>
                <w:sz w:val="21"/>
                <w:szCs w:val="21"/>
                <w:highlight w:val="none"/>
              </w:rPr>
            </w:pPr>
            <w:r>
              <w:rPr>
                <w:bCs/>
                <w:sz w:val="21"/>
                <w:szCs w:val="21"/>
                <w:highlight w:val="none"/>
              </w:rPr>
              <w:t>300，24</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bCs/>
                <w:sz w:val="21"/>
                <w:szCs w:val="21"/>
                <w:highlight w:val="none"/>
              </w:rPr>
              <w:t>3</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产品年产量</w:t>
            </w:r>
          </w:p>
        </w:tc>
        <w:tc>
          <w:tcPr>
            <w:tcW w:w="1000" w:type="dxa"/>
            <w:vAlign w:val="center"/>
          </w:tcPr>
          <w:p>
            <w:pPr>
              <w:spacing w:line="240" w:lineRule="auto"/>
              <w:ind w:firstLine="0" w:firstLineChars="0"/>
              <w:jc w:val="center"/>
              <w:rPr>
                <w:bCs/>
                <w:sz w:val="21"/>
                <w:szCs w:val="21"/>
                <w:highlight w:val="none"/>
              </w:rPr>
            </w:pPr>
          </w:p>
        </w:tc>
        <w:tc>
          <w:tcPr>
            <w:tcW w:w="2367" w:type="dxa"/>
            <w:vAlign w:val="center"/>
          </w:tcPr>
          <w:p>
            <w:pPr>
              <w:spacing w:line="240" w:lineRule="auto"/>
              <w:ind w:firstLine="0" w:firstLineChars="0"/>
              <w:jc w:val="center"/>
              <w:rPr>
                <w:bCs/>
                <w:sz w:val="21"/>
                <w:szCs w:val="21"/>
                <w:highlight w:val="none"/>
              </w:rPr>
            </w:pP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56" w:type="dxa"/>
            <w:vAlign w:val="center"/>
          </w:tcPr>
          <w:p>
            <w:pPr>
              <w:spacing w:line="240" w:lineRule="auto"/>
              <w:ind w:firstLine="0" w:firstLineChars="0"/>
              <w:jc w:val="center"/>
              <w:rPr>
                <w:bCs/>
                <w:sz w:val="21"/>
                <w:szCs w:val="21"/>
                <w:highlight w:val="none"/>
              </w:rPr>
            </w:pPr>
            <w:r>
              <w:rPr>
                <w:bCs/>
                <w:sz w:val="21"/>
                <w:szCs w:val="21"/>
                <w:highlight w:val="none"/>
              </w:rPr>
              <w:t>（1）</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铁精粉</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t</w:t>
            </w:r>
          </w:p>
        </w:tc>
        <w:tc>
          <w:tcPr>
            <w:tcW w:w="2367" w:type="dxa"/>
            <w:vAlign w:val="center"/>
          </w:tcPr>
          <w:p>
            <w:pPr>
              <w:spacing w:line="240" w:lineRule="auto"/>
              <w:ind w:firstLine="0" w:firstLineChars="0"/>
              <w:jc w:val="center"/>
              <w:rPr>
                <w:bCs/>
                <w:sz w:val="21"/>
                <w:szCs w:val="21"/>
                <w:highlight w:val="none"/>
              </w:rPr>
            </w:pPr>
            <w:r>
              <w:rPr>
                <w:rFonts w:hint="eastAsia"/>
                <w:bCs/>
                <w:sz w:val="21"/>
                <w:szCs w:val="21"/>
                <w:highlight w:val="none"/>
              </w:rPr>
              <w:t>250000</w:t>
            </w:r>
          </w:p>
        </w:tc>
        <w:tc>
          <w:tcPr>
            <w:tcW w:w="2176" w:type="dxa"/>
            <w:vAlign w:val="center"/>
          </w:tcPr>
          <w:p>
            <w:pPr>
              <w:spacing w:line="240" w:lineRule="auto"/>
              <w:ind w:firstLine="420" w:firstLineChars="200"/>
              <w:rPr>
                <w:bCs/>
                <w:sz w:val="21"/>
                <w:szCs w:val="21"/>
                <w:highlight w:val="none"/>
              </w:rPr>
            </w:pPr>
            <w:r>
              <w:rPr>
                <w:bCs/>
                <w:sz w:val="21"/>
                <w:szCs w:val="21"/>
                <w:highlight w:val="none"/>
              </w:rPr>
              <w:t>平均品位6</w:t>
            </w:r>
            <w:r>
              <w:rPr>
                <w:rFonts w:hint="eastAsia"/>
                <w:bCs/>
                <w:sz w:val="21"/>
                <w:szCs w:val="21"/>
                <w:highlight w:val="none"/>
              </w:rPr>
              <w:t>6</w:t>
            </w:r>
            <w:r>
              <w:rPr>
                <w:bCs/>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bCs/>
                <w:sz w:val="21"/>
                <w:szCs w:val="21"/>
                <w:highlight w:val="none"/>
              </w:rPr>
              <w:t>（2）</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尾矿砂</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t</w:t>
            </w:r>
          </w:p>
        </w:tc>
        <w:tc>
          <w:tcPr>
            <w:tcW w:w="2367" w:type="dxa"/>
            <w:vAlign w:val="center"/>
          </w:tcPr>
          <w:p>
            <w:pPr>
              <w:spacing w:line="240" w:lineRule="auto"/>
              <w:ind w:firstLine="0" w:firstLineChars="0"/>
              <w:jc w:val="center"/>
              <w:rPr>
                <w:bCs/>
                <w:sz w:val="21"/>
                <w:szCs w:val="21"/>
                <w:highlight w:val="none"/>
              </w:rPr>
            </w:pPr>
            <w:r>
              <w:rPr>
                <w:rFonts w:hint="eastAsia"/>
                <w:kern w:val="2"/>
                <w:sz w:val="21"/>
                <w:szCs w:val="21"/>
                <w:highlight w:val="none"/>
              </w:rPr>
              <w:t>461965.21</w:t>
            </w:r>
          </w:p>
        </w:tc>
        <w:tc>
          <w:tcPr>
            <w:tcW w:w="2176" w:type="dxa"/>
            <w:vAlign w:val="center"/>
          </w:tcPr>
          <w:p>
            <w:pPr>
              <w:pStyle w:val="2"/>
              <w:ind w:firstLine="0" w:firstLineChars="0"/>
              <w:jc w:val="center"/>
              <w:rPr>
                <w:bCs/>
                <w:kern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rFonts w:ascii="Times New Roman" w:hAnsi="Times New Roman" w:eastAsia="宋体" w:cs="Times New Roman"/>
                <w:bCs/>
                <w:sz w:val="21"/>
                <w:szCs w:val="21"/>
                <w:highlight w:val="none"/>
                <w:lang w:val="en-US" w:eastAsia="zh-CN" w:bidi="ar-SA"/>
              </w:rPr>
            </w:pPr>
            <w:r>
              <w:rPr>
                <w:rFonts w:hint="eastAsia"/>
                <w:bCs/>
                <w:sz w:val="21"/>
                <w:szCs w:val="21"/>
                <w:highlight w:val="none"/>
              </w:rPr>
              <w:t>（3）</w:t>
            </w:r>
          </w:p>
        </w:tc>
        <w:tc>
          <w:tcPr>
            <w:tcW w:w="2222" w:type="dxa"/>
            <w:vAlign w:val="center"/>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砂石料</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t</w:t>
            </w:r>
          </w:p>
        </w:tc>
        <w:tc>
          <w:tcPr>
            <w:tcW w:w="2367" w:type="dxa"/>
            <w:vAlign w:val="center"/>
          </w:tcPr>
          <w:p>
            <w:pPr>
              <w:spacing w:line="240" w:lineRule="auto"/>
              <w:ind w:firstLine="0" w:firstLineChars="0"/>
              <w:jc w:val="center"/>
              <w:rPr>
                <w:rFonts w:hint="eastAsia"/>
                <w:kern w:val="2"/>
                <w:sz w:val="21"/>
                <w:szCs w:val="21"/>
                <w:highlight w:val="none"/>
              </w:rPr>
            </w:pPr>
          </w:p>
        </w:tc>
        <w:tc>
          <w:tcPr>
            <w:tcW w:w="2176" w:type="dxa"/>
            <w:vAlign w:val="center"/>
          </w:tcPr>
          <w:p>
            <w:pPr>
              <w:pStyle w:val="2"/>
              <w:ind w:firstLine="0" w:firstLineChars="0"/>
              <w:jc w:val="center"/>
              <w:rPr>
                <w:bCs/>
                <w:kern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rFonts w:ascii="Times New Roman" w:hAnsi="Times New Roman" w:eastAsia="宋体" w:cs="Times New Roman"/>
                <w:bCs/>
                <w:sz w:val="21"/>
                <w:szCs w:val="21"/>
                <w:highlight w:val="none"/>
                <w:lang w:val="en-US" w:eastAsia="zh-CN" w:bidi="ar-SA"/>
              </w:rPr>
            </w:pPr>
            <w:r>
              <w:rPr>
                <w:rFonts w:hint="eastAsia"/>
                <w:bCs/>
                <w:sz w:val="21"/>
                <w:szCs w:val="21"/>
                <w:highlight w:val="none"/>
              </w:rPr>
              <w:t>（4）</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金属回收率</w:t>
            </w:r>
          </w:p>
        </w:tc>
        <w:tc>
          <w:tcPr>
            <w:tcW w:w="1000" w:type="dxa"/>
            <w:vAlign w:val="center"/>
          </w:tcPr>
          <w:p>
            <w:pPr>
              <w:spacing w:line="240" w:lineRule="auto"/>
              <w:ind w:firstLine="0" w:firstLineChars="0"/>
              <w:jc w:val="center"/>
              <w:rPr>
                <w:bCs/>
                <w:sz w:val="21"/>
                <w:szCs w:val="21"/>
                <w:highlight w:val="none"/>
              </w:rPr>
            </w:pPr>
            <w:r>
              <w:rPr>
                <w:rFonts w:hint="eastAsia"/>
                <w:bCs/>
                <w:sz w:val="21"/>
                <w:szCs w:val="21"/>
                <w:highlight w:val="none"/>
              </w:rPr>
              <w:t>%</w:t>
            </w:r>
          </w:p>
        </w:tc>
        <w:tc>
          <w:tcPr>
            <w:tcW w:w="2367" w:type="dxa"/>
            <w:vAlign w:val="center"/>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94.8</w:t>
            </w:r>
          </w:p>
        </w:tc>
        <w:tc>
          <w:tcPr>
            <w:tcW w:w="2176" w:type="dxa"/>
            <w:vAlign w:val="center"/>
          </w:tcPr>
          <w:p>
            <w:pPr>
              <w:pStyle w:val="2"/>
              <w:ind w:firstLine="0" w:firstLineChars="0"/>
              <w:jc w:val="center"/>
              <w:rPr>
                <w:bCs/>
                <w:kern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rFonts w:hint="eastAsia" w:eastAsia="宋体"/>
                <w:bCs/>
                <w:sz w:val="21"/>
                <w:szCs w:val="21"/>
                <w:highlight w:val="none"/>
                <w:lang w:eastAsia="zh-CN"/>
              </w:rPr>
            </w:pPr>
            <w:r>
              <w:rPr>
                <w:rFonts w:hint="eastAsia"/>
                <w:bCs/>
                <w:sz w:val="21"/>
                <w:szCs w:val="21"/>
                <w:highlight w:val="none"/>
                <w:lang w:eastAsia="zh-CN"/>
              </w:rPr>
              <w:t>（</w:t>
            </w:r>
            <w:r>
              <w:rPr>
                <w:rFonts w:hint="eastAsia"/>
                <w:bCs/>
                <w:sz w:val="21"/>
                <w:szCs w:val="21"/>
                <w:highlight w:val="none"/>
                <w:lang w:val="en-US" w:eastAsia="zh-CN"/>
              </w:rPr>
              <w:t>5</w:t>
            </w:r>
            <w:r>
              <w:rPr>
                <w:rFonts w:hint="eastAsia"/>
                <w:bCs/>
                <w:sz w:val="21"/>
                <w:szCs w:val="21"/>
                <w:highlight w:val="none"/>
                <w:lang w:eastAsia="zh-CN"/>
              </w:rPr>
              <w:t>）</w:t>
            </w:r>
          </w:p>
        </w:tc>
        <w:tc>
          <w:tcPr>
            <w:tcW w:w="2222" w:type="dxa"/>
            <w:vAlign w:val="center"/>
          </w:tcPr>
          <w:p>
            <w:pPr>
              <w:spacing w:line="240" w:lineRule="auto"/>
              <w:ind w:firstLine="0" w:firstLineChars="0"/>
              <w:jc w:val="center"/>
              <w:rPr>
                <w:bCs/>
                <w:sz w:val="21"/>
                <w:szCs w:val="21"/>
                <w:highlight w:val="none"/>
              </w:rPr>
            </w:pPr>
            <w:r>
              <w:rPr>
                <w:sz w:val="21"/>
                <w:szCs w:val="21"/>
                <w:highlight w:val="none"/>
              </w:rPr>
              <w:t>尾矿综合利用率</w:t>
            </w:r>
          </w:p>
        </w:tc>
        <w:tc>
          <w:tcPr>
            <w:tcW w:w="1000" w:type="dxa"/>
            <w:vAlign w:val="center"/>
          </w:tcPr>
          <w:p>
            <w:pPr>
              <w:spacing w:line="240" w:lineRule="auto"/>
              <w:ind w:firstLine="0" w:firstLineChars="0"/>
              <w:jc w:val="center"/>
              <w:rPr>
                <w:bCs/>
                <w:sz w:val="21"/>
                <w:szCs w:val="21"/>
                <w:highlight w:val="none"/>
              </w:rPr>
            </w:pPr>
            <w:r>
              <w:rPr>
                <w:rFonts w:hint="eastAsia"/>
                <w:bCs/>
                <w:sz w:val="21"/>
                <w:szCs w:val="21"/>
                <w:highlight w:val="none"/>
              </w:rPr>
              <w:t>%</w:t>
            </w:r>
          </w:p>
        </w:tc>
        <w:tc>
          <w:tcPr>
            <w:tcW w:w="2367" w:type="dxa"/>
            <w:vAlign w:val="center"/>
          </w:tcPr>
          <w:p>
            <w:pPr>
              <w:spacing w:line="240" w:lineRule="auto"/>
              <w:ind w:firstLine="0" w:firstLineChars="0"/>
              <w:jc w:val="center"/>
              <w:rPr>
                <w:bCs/>
                <w:sz w:val="21"/>
                <w:szCs w:val="21"/>
                <w:highlight w:val="none"/>
              </w:rPr>
            </w:pPr>
            <w:r>
              <w:rPr>
                <w:rFonts w:hint="eastAsia"/>
                <w:bCs/>
                <w:sz w:val="21"/>
                <w:szCs w:val="21"/>
                <w:highlight w:val="none"/>
              </w:rPr>
              <w:t>100</w:t>
            </w:r>
          </w:p>
        </w:tc>
        <w:tc>
          <w:tcPr>
            <w:tcW w:w="2176" w:type="dxa"/>
            <w:vAlign w:val="center"/>
          </w:tcPr>
          <w:p>
            <w:pPr>
              <w:pStyle w:val="2"/>
              <w:ind w:firstLine="0" w:firstLineChars="0"/>
              <w:jc w:val="center"/>
              <w:rPr>
                <w:bCs/>
                <w:kern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4</w:t>
            </w:r>
          </w:p>
        </w:tc>
        <w:tc>
          <w:tcPr>
            <w:tcW w:w="2222" w:type="dxa"/>
            <w:vAlign w:val="center"/>
          </w:tcPr>
          <w:p>
            <w:pPr>
              <w:spacing w:line="240" w:lineRule="auto"/>
              <w:ind w:firstLine="0" w:firstLineChars="0"/>
              <w:jc w:val="center"/>
              <w:rPr>
                <w:bCs/>
                <w:sz w:val="21"/>
                <w:szCs w:val="21"/>
                <w:highlight w:val="none"/>
              </w:rPr>
            </w:pPr>
            <w:r>
              <w:rPr>
                <w:rFonts w:hint="eastAsia"/>
                <w:bCs/>
                <w:sz w:val="21"/>
                <w:szCs w:val="21"/>
                <w:highlight w:val="none"/>
              </w:rPr>
              <w:t>用</w:t>
            </w:r>
            <w:r>
              <w:rPr>
                <w:bCs/>
                <w:sz w:val="21"/>
                <w:szCs w:val="21"/>
                <w:highlight w:val="none"/>
              </w:rPr>
              <w:t>水量</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m</w:t>
            </w:r>
            <w:r>
              <w:rPr>
                <w:bCs/>
                <w:sz w:val="21"/>
                <w:szCs w:val="21"/>
                <w:highlight w:val="none"/>
                <w:vertAlign w:val="superscript"/>
              </w:rPr>
              <w:t>3</w:t>
            </w:r>
            <w:r>
              <w:rPr>
                <w:bCs/>
                <w:sz w:val="21"/>
                <w:szCs w:val="21"/>
                <w:highlight w:val="none"/>
              </w:rPr>
              <w:t>/a</w:t>
            </w:r>
          </w:p>
        </w:tc>
        <w:tc>
          <w:tcPr>
            <w:tcW w:w="2367" w:type="dxa"/>
            <w:vAlign w:val="center"/>
          </w:tcPr>
          <w:p>
            <w:pPr>
              <w:pStyle w:val="16"/>
              <w:spacing w:line="240" w:lineRule="auto"/>
              <w:ind w:left="0" w:leftChars="0" w:firstLineChars="0"/>
              <w:jc w:val="center"/>
              <w:rPr>
                <w:rFonts w:hint="default" w:eastAsia="宋体"/>
                <w:bCs/>
                <w:sz w:val="21"/>
                <w:szCs w:val="21"/>
                <w:highlight w:val="none"/>
                <w:lang w:val="en-US" w:eastAsia="zh-CN"/>
              </w:rPr>
            </w:pPr>
            <w:r>
              <w:rPr>
                <w:rFonts w:hint="eastAsia"/>
                <w:bCs/>
                <w:sz w:val="21"/>
                <w:szCs w:val="21"/>
                <w:highlight w:val="none"/>
                <w:lang w:val="en-US" w:eastAsia="zh-CN"/>
              </w:rPr>
              <w:t>78360</w:t>
            </w:r>
          </w:p>
        </w:tc>
        <w:tc>
          <w:tcPr>
            <w:tcW w:w="2176" w:type="dxa"/>
            <w:vAlign w:val="center"/>
          </w:tcPr>
          <w:p>
            <w:pPr>
              <w:spacing w:line="240" w:lineRule="auto"/>
              <w:ind w:firstLine="0" w:firstLineChars="0"/>
              <w:jc w:val="center"/>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5</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水耗</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m</w:t>
            </w:r>
            <w:r>
              <w:rPr>
                <w:bCs/>
                <w:sz w:val="21"/>
                <w:szCs w:val="21"/>
                <w:highlight w:val="none"/>
                <w:vertAlign w:val="superscript"/>
              </w:rPr>
              <w:t>3</w:t>
            </w:r>
            <w:r>
              <w:rPr>
                <w:bCs/>
                <w:sz w:val="21"/>
                <w:szCs w:val="21"/>
                <w:highlight w:val="none"/>
              </w:rPr>
              <w:t>/t</w:t>
            </w:r>
          </w:p>
        </w:tc>
        <w:tc>
          <w:tcPr>
            <w:tcW w:w="2367" w:type="dxa"/>
            <w:vAlign w:val="center"/>
          </w:tcPr>
          <w:p>
            <w:pPr>
              <w:pStyle w:val="16"/>
              <w:spacing w:line="240" w:lineRule="auto"/>
              <w:ind w:left="0" w:leftChars="0" w:firstLineChars="0"/>
              <w:jc w:val="center"/>
              <w:rPr>
                <w:rFonts w:hint="default" w:eastAsia="宋体"/>
                <w:bCs/>
                <w:sz w:val="21"/>
                <w:szCs w:val="21"/>
                <w:highlight w:val="none"/>
                <w:lang w:val="en-US" w:eastAsia="zh-CN"/>
              </w:rPr>
            </w:pPr>
            <w:r>
              <w:rPr>
                <w:rFonts w:hint="eastAsia"/>
                <w:bCs/>
                <w:sz w:val="21"/>
                <w:szCs w:val="21"/>
                <w:highlight w:val="none"/>
                <w:lang w:val="en-US" w:eastAsia="zh-CN"/>
              </w:rPr>
              <w:t>0.13</w:t>
            </w:r>
          </w:p>
        </w:tc>
        <w:tc>
          <w:tcPr>
            <w:tcW w:w="2176" w:type="dxa"/>
            <w:vAlign w:val="center"/>
          </w:tcPr>
          <w:p>
            <w:pPr>
              <w:spacing w:line="240" w:lineRule="auto"/>
              <w:ind w:firstLine="0" w:firstLineChars="0"/>
              <w:jc w:val="center"/>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6</w:t>
            </w:r>
          </w:p>
        </w:tc>
        <w:tc>
          <w:tcPr>
            <w:tcW w:w="2222" w:type="dxa"/>
            <w:vAlign w:val="center"/>
          </w:tcPr>
          <w:p>
            <w:pPr>
              <w:spacing w:line="240" w:lineRule="auto"/>
              <w:ind w:firstLine="0" w:firstLineChars="0"/>
              <w:jc w:val="center"/>
              <w:rPr>
                <w:bCs/>
                <w:sz w:val="21"/>
                <w:szCs w:val="21"/>
                <w:highlight w:val="none"/>
              </w:rPr>
            </w:pPr>
            <w:r>
              <w:rPr>
                <w:rFonts w:hint="eastAsia"/>
                <w:bCs/>
                <w:sz w:val="21"/>
                <w:szCs w:val="21"/>
                <w:highlight w:val="none"/>
              </w:rPr>
              <w:t>用</w:t>
            </w:r>
            <w:r>
              <w:rPr>
                <w:bCs/>
                <w:sz w:val="21"/>
                <w:szCs w:val="21"/>
                <w:highlight w:val="none"/>
              </w:rPr>
              <w:t>电量</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kWh/a</w:t>
            </w:r>
          </w:p>
        </w:tc>
        <w:tc>
          <w:tcPr>
            <w:tcW w:w="2367" w:type="dxa"/>
            <w:vAlign w:val="center"/>
          </w:tcPr>
          <w:p>
            <w:pPr>
              <w:pStyle w:val="16"/>
              <w:spacing w:line="240" w:lineRule="auto"/>
              <w:ind w:left="0" w:leftChars="0" w:firstLineChars="0"/>
              <w:jc w:val="center"/>
              <w:rPr>
                <w:bCs/>
                <w:sz w:val="21"/>
                <w:szCs w:val="21"/>
                <w:highlight w:val="none"/>
              </w:rPr>
            </w:pPr>
            <w:r>
              <w:rPr>
                <w:rFonts w:hint="eastAsia" w:eastAsia="FangSong_GB2312"/>
                <w:sz w:val="21"/>
                <w:szCs w:val="21"/>
                <w:highlight w:val="none"/>
                <w:lang w:val="en-US" w:eastAsia="zh-CN"/>
              </w:rPr>
              <w:t>643</w:t>
            </w:r>
            <w:r>
              <w:rPr>
                <w:rFonts w:hint="eastAsia"/>
                <w:bCs/>
                <w:sz w:val="21"/>
                <w:szCs w:val="21"/>
                <w:highlight w:val="none"/>
              </w:rPr>
              <w:t>万</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7</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电耗</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kWh/t</w:t>
            </w:r>
          </w:p>
        </w:tc>
        <w:tc>
          <w:tcPr>
            <w:tcW w:w="2367" w:type="dxa"/>
            <w:vAlign w:val="center"/>
          </w:tcPr>
          <w:p>
            <w:pPr>
              <w:pStyle w:val="16"/>
              <w:spacing w:line="240" w:lineRule="auto"/>
              <w:ind w:left="0" w:leftChars="0" w:firstLineChars="0"/>
              <w:jc w:val="center"/>
              <w:rPr>
                <w:rFonts w:hint="default" w:eastAsia="FangSong_GB2312"/>
                <w:sz w:val="21"/>
                <w:szCs w:val="21"/>
                <w:highlight w:val="none"/>
                <w:lang w:val="en-US" w:eastAsia="zh-CN"/>
              </w:rPr>
            </w:pPr>
            <w:r>
              <w:rPr>
                <w:rFonts w:hint="eastAsia" w:eastAsia="FangSong_GB2312"/>
                <w:sz w:val="21"/>
                <w:szCs w:val="21"/>
                <w:highlight w:val="none"/>
                <w:lang w:val="en-US" w:eastAsia="zh-CN"/>
              </w:rPr>
              <w:t>25.71</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8</w:t>
            </w:r>
          </w:p>
        </w:tc>
        <w:tc>
          <w:tcPr>
            <w:tcW w:w="2222" w:type="dxa"/>
          </w:tcPr>
          <w:p>
            <w:pPr>
              <w:spacing w:line="240" w:lineRule="auto"/>
              <w:ind w:firstLine="0" w:firstLineChars="0"/>
              <w:jc w:val="center"/>
              <w:rPr>
                <w:bCs/>
                <w:sz w:val="21"/>
                <w:szCs w:val="21"/>
                <w:highlight w:val="none"/>
              </w:rPr>
            </w:pPr>
            <w:r>
              <w:rPr>
                <w:sz w:val="21"/>
                <w:szCs w:val="21"/>
                <w:highlight w:val="none"/>
              </w:rPr>
              <w:t>工业水重复利用率</w:t>
            </w:r>
          </w:p>
        </w:tc>
        <w:tc>
          <w:tcPr>
            <w:tcW w:w="1000" w:type="dxa"/>
            <w:vAlign w:val="center"/>
          </w:tcPr>
          <w:p>
            <w:pPr>
              <w:spacing w:line="240" w:lineRule="auto"/>
              <w:ind w:firstLine="0" w:firstLineChars="0"/>
              <w:jc w:val="center"/>
              <w:rPr>
                <w:bCs/>
                <w:sz w:val="21"/>
                <w:szCs w:val="21"/>
                <w:highlight w:val="none"/>
              </w:rPr>
            </w:pPr>
            <w:r>
              <w:rPr>
                <w:rFonts w:hint="eastAsia"/>
                <w:bCs/>
                <w:sz w:val="21"/>
                <w:szCs w:val="21"/>
                <w:highlight w:val="none"/>
              </w:rPr>
              <w:t>%</w:t>
            </w:r>
          </w:p>
        </w:tc>
        <w:tc>
          <w:tcPr>
            <w:tcW w:w="2367" w:type="dxa"/>
            <w:vAlign w:val="center"/>
          </w:tcPr>
          <w:p>
            <w:pPr>
              <w:pStyle w:val="16"/>
              <w:spacing w:line="240" w:lineRule="auto"/>
              <w:ind w:left="0" w:leftChars="0" w:firstLineChars="0"/>
              <w:jc w:val="center"/>
              <w:rPr>
                <w:rFonts w:eastAsia="FangSong_GB2312"/>
                <w:sz w:val="21"/>
                <w:szCs w:val="21"/>
                <w:highlight w:val="none"/>
              </w:rPr>
            </w:pPr>
            <w:r>
              <w:rPr>
                <w:rFonts w:hint="eastAsia" w:eastAsia="FangSong_GB2312"/>
                <w:sz w:val="21"/>
                <w:szCs w:val="21"/>
                <w:highlight w:val="none"/>
              </w:rPr>
              <w:t>95.6</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9</w:t>
            </w:r>
          </w:p>
        </w:tc>
        <w:tc>
          <w:tcPr>
            <w:tcW w:w="2222" w:type="dxa"/>
          </w:tcPr>
          <w:p>
            <w:pPr>
              <w:spacing w:line="240" w:lineRule="auto"/>
              <w:ind w:firstLine="0" w:firstLineChars="0"/>
              <w:jc w:val="center"/>
              <w:rPr>
                <w:sz w:val="21"/>
                <w:szCs w:val="21"/>
                <w:highlight w:val="none"/>
              </w:rPr>
            </w:pPr>
            <w:r>
              <w:rPr>
                <w:rFonts w:hint="eastAsia"/>
                <w:sz w:val="21"/>
                <w:szCs w:val="21"/>
                <w:highlight w:val="none"/>
              </w:rPr>
              <w:t>固体废物综合利用率</w:t>
            </w:r>
          </w:p>
        </w:tc>
        <w:tc>
          <w:tcPr>
            <w:tcW w:w="1000" w:type="dxa"/>
            <w:vAlign w:val="center"/>
          </w:tcPr>
          <w:p>
            <w:pPr>
              <w:spacing w:line="240" w:lineRule="auto"/>
              <w:ind w:firstLine="0" w:firstLineChars="0"/>
              <w:jc w:val="center"/>
              <w:rPr>
                <w:bCs/>
                <w:sz w:val="21"/>
                <w:szCs w:val="21"/>
                <w:highlight w:val="none"/>
              </w:rPr>
            </w:pPr>
            <w:r>
              <w:rPr>
                <w:rFonts w:hint="eastAsia"/>
                <w:bCs/>
                <w:sz w:val="21"/>
                <w:szCs w:val="21"/>
                <w:highlight w:val="none"/>
              </w:rPr>
              <w:t>%</w:t>
            </w:r>
          </w:p>
        </w:tc>
        <w:tc>
          <w:tcPr>
            <w:tcW w:w="2367" w:type="dxa"/>
            <w:vAlign w:val="center"/>
          </w:tcPr>
          <w:p>
            <w:pPr>
              <w:pStyle w:val="16"/>
              <w:spacing w:line="240" w:lineRule="auto"/>
              <w:ind w:left="0" w:leftChars="0" w:firstLineChars="0"/>
              <w:jc w:val="center"/>
              <w:rPr>
                <w:rFonts w:eastAsia="FangSong_GB2312"/>
                <w:sz w:val="21"/>
                <w:szCs w:val="21"/>
                <w:highlight w:val="none"/>
              </w:rPr>
            </w:pPr>
            <w:r>
              <w:rPr>
                <w:rFonts w:hint="eastAsia" w:eastAsia="FangSong_GB2312"/>
                <w:sz w:val="21"/>
                <w:szCs w:val="21"/>
                <w:highlight w:val="none"/>
              </w:rPr>
              <w:t>100</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10</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占地面积</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m</w:t>
            </w:r>
            <w:r>
              <w:rPr>
                <w:bCs/>
                <w:sz w:val="21"/>
                <w:szCs w:val="21"/>
                <w:highlight w:val="none"/>
                <w:vertAlign w:val="superscript"/>
              </w:rPr>
              <w:t>2</w:t>
            </w:r>
          </w:p>
        </w:tc>
        <w:tc>
          <w:tcPr>
            <w:tcW w:w="2367" w:type="dxa"/>
            <w:vAlign w:val="center"/>
          </w:tcPr>
          <w:p>
            <w:pPr>
              <w:pStyle w:val="16"/>
              <w:spacing w:line="240" w:lineRule="auto"/>
              <w:ind w:left="0" w:leftChars="0" w:firstLineChars="0"/>
              <w:jc w:val="center"/>
              <w:rPr>
                <w:rFonts w:eastAsia="FangSong_GB2312"/>
                <w:sz w:val="21"/>
                <w:szCs w:val="21"/>
                <w:highlight w:val="none"/>
              </w:rPr>
            </w:pPr>
            <w:r>
              <w:rPr>
                <w:bCs/>
                <w:sz w:val="21"/>
                <w:szCs w:val="21"/>
                <w:highlight w:val="none"/>
              </w:rPr>
              <w:t>12883</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11</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劳动定员</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人</w:t>
            </w:r>
          </w:p>
        </w:tc>
        <w:tc>
          <w:tcPr>
            <w:tcW w:w="2367" w:type="dxa"/>
            <w:vAlign w:val="center"/>
          </w:tcPr>
          <w:p>
            <w:pPr>
              <w:pStyle w:val="31"/>
              <w:snapToGrid/>
              <w:jc w:val="center"/>
              <w:rPr>
                <w:bCs/>
                <w:kern w:val="0"/>
                <w:sz w:val="21"/>
                <w:szCs w:val="21"/>
                <w:highlight w:val="none"/>
              </w:rPr>
            </w:pPr>
            <w:r>
              <w:rPr>
                <w:rFonts w:hint="eastAsia"/>
                <w:bCs/>
                <w:kern w:val="0"/>
                <w:sz w:val="21"/>
                <w:szCs w:val="21"/>
                <w:highlight w:val="none"/>
              </w:rPr>
              <w:t>30</w:t>
            </w:r>
          </w:p>
        </w:tc>
        <w:tc>
          <w:tcPr>
            <w:tcW w:w="2176" w:type="dxa"/>
            <w:vAlign w:val="center"/>
          </w:tcPr>
          <w:p>
            <w:pPr>
              <w:spacing w:line="240" w:lineRule="auto"/>
              <w:ind w:firstLine="0" w:firstLineChars="0"/>
              <w:rPr>
                <w:bCs/>
                <w:sz w:val="21"/>
                <w:szCs w:val="21"/>
                <w:highlight w:val="none"/>
              </w:rPr>
            </w:pPr>
          </w:p>
        </w:tc>
      </w:tr>
      <w:bookmarkEnd w:id="279"/>
    </w:tbl>
    <w:p>
      <w:pPr>
        <w:widowControl/>
        <w:spacing w:line="240" w:lineRule="auto"/>
        <w:ind w:firstLine="0" w:firstLineChars="0"/>
        <w:textAlignment w:val="auto"/>
        <w:rPr>
          <w:rFonts w:eastAsia="黑体"/>
          <w:kern w:val="2"/>
          <w:sz w:val="21"/>
          <w:szCs w:val="21"/>
          <w:highlight w:val="green"/>
        </w:rPr>
      </w:pPr>
      <w:r>
        <w:rPr>
          <w:rFonts w:eastAsia="黑体"/>
          <w:kern w:val="2"/>
          <w:sz w:val="21"/>
          <w:szCs w:val="21"/>
          <w:highlight w:val="green"/>
        </w:rPr>
        <w:br w:type="page"/>
      </w:r>
    </w:p>
    <w:p>
      <w:pPr>
        <w:pStyle w:val="6"/>
        <w:numPr>
          <w:ilvl w:val="2"/>
          <w:numId w:val="1"/>
        </w:numPr>
        <w:spacing w:before="0" w:after="0"/>
        <w:ind w:left="567"/>
        <w:rPr>
          <w:szCs w:val="28"/>
          <w:highlight w:val="none"/>
        </w:rPr>
      </w:pPr>
      <w:r>
        <w:rPr>
          <w:szCs w:val="28"/>
          <w:highlight w:val="none"/>
        </w:rPr>
        <w:t>公用工程</w:t>
      </w:r>
    </w:p>
    <w:p>
      <w:pPr>
        <w:pStyle w:val="3"/>
        <w:rPr>
          <w:highlight w:val="none"/>
        </w:rPr>
      </w:pPr>
      <w:r>
        <w:rPr>
          <w:highlight w:val="none"/>
        </w:rPr>
        <w:t>3.</w:t>
      </w:r>
      <w:r>
        <w:rPr>
          <w:rFonts w:hint="eastAsia"/>
          <w:highlight w:val="none"/>
        </w:rPr>
        <w:t>1.9</w:t>
      </w:r>
      <w:r>
        <w:rPr>
          <w:highlight w:val="none"/>
        </w:rPr>
        <w:t>.1给排水</w:t>
      </w:r>
    </w:p>
    <w:p>
      <w:pPr>
        <w:pStyle w:val="19"/>
        <w:spacing w:after="0" w:line="480" w:lineRule="exact"/>
        <w:ind w:firstLine="480"/>
        <w:jc w:val="both"/>
        <w:rPr>
          <w:sz w:val="24"/>
          <w:szCs w:val="24"/>
          <w:highlight w:val="none"/>
        </w:rPr>
      </w:pPr>
      <w:r>
        <w:rPr>
          <w:sz w:val="24"/>
          <w:szCs w:val="24"/>
          <w:highlight w:val="none"/>
        </w:rPr>
        <w:t>（1）给水</w:t>
      </w:r>
    </w:p>
    <w:p>
      <w:pPr>
        <w:pStyle w:val="19"/>
        <w:spacing w:after="0" w:line="480" w:lineRule="exact"/>
        <w:ind w:firstLine="480"/>
        <w:jc w:val="both"/>
        <w:rPr>
          <w:sz w:val="24"/>
          <w:szCs w:val="24"/>
          <w:highlight w:val="none"/>
        </w:rPr>
      </w:pPr>
      <w:r>
        <w:rPr>
          <w:sz w:val="24"/>
          <w:szCs w:val="24"/>
          <w:highlight w:val="none"/>
        </w:rPr>
        <w:t>本项目用水来源于厂区自备井。</w:t>
      </w:r>
      <w:r>
        <w:rPr>
          <w:rFonts w:hint="eastAsia"/>
          <w:sz w:val="24"/>
          <w:szCs w:val="24"/>
          <w:highlight w:val="none"/>
          <w:lang w:val="en-US" w:eastAsia="zh-CN"/>
        </w:rPr>
        <w:t>用水工序主要为喷淋抑尘用水5</w:t>
      </w:r>
      <w:r>
        <w:rPr>
          <w:sz w:val="24"/>
          <w:szCs w:val="24"/>
          <w:highlight w:val="none"/>
        </w:rPr>
        <w:t>m³/d</w:t>
      </w:r>
      <w:r>
        <w:rPr>
          <w:rFonts w:hint="eastAsia"/>
          <w:sz w:val="24"/>
          <w:szCs w:val="24"/>
          <w:highlight w:val="none"/>
          <w:lang w:val="en-US" w:eastAsia="zh-CN"/>
        </w:rPr>
        <w:t>、振筛湿式作业用水215</w:t>
      </w:r>
      <w:r>
        <w:rPr>
          <w:sz w:val="24"/>
          <w:szCs w:val="24"/>
          <w:highlight w:val="none"/>
        </w:rPr>
        <w:t>m³/d</w:t>
      </w:r>
      <w:r>
        <w:rPr>
          <w:rFonts w:hint="eastAsia"/>
          <w:sz w:val="24"/>
          <w:szCs w:val="24"/>
          <w:highlight w:val="none"/>
          <w:lang w:eastAsia="zh-CN"/>
        </w:rPr>
        <w:t>，</w:t>
      </w:r>
      <w:r>
        <w:rPr>
          <w:rFonts w:hint="eastAsia"/>
          <w:sz w:val="24"/>
          <w:szCs w:val="24"/>
          <w:highlight w:val="none"/>
          <w:lang w:val="en-US" w:eastAsia="zh-CN"/>
        </w:rPr>
        <w:t>全部为新水</w:t>
      </w:r>
      <w:r>
        <w:rPr>
          <w:sz w:val="24"/>
          <w:szCs w:val="24"/>
          <w:highlight w:val="none"/>
        </w:rPr>
        <w:t>。</w:t>
      </w:r>
    </w:p>
    <w:p>
      <w:pPr>
        <w:pStyle w:val="19"/>
        <w:spacing w:after="0" w:line="480" w:lineRule="exact"/>
        <w:ind w:firstLine="480"/>
        <w:jc w:val="both"/>
        <w:rPr>
          <w:sz w:val="24"/>
          <w:szCs w:val="24"/>
          <w:highlight w:val="none"/>
        </w:rPr>
      </w:pPr>
      <w:r>
        <w:rPr>
          <w:rFonts w:hint="eastAsia"/>
          <w:sz w:val="24"/>
          <w:szCs w:val="24"/>
          <w:highlight w:val="none"/>
          <w:lang w:val="en-US" w:eastAsia="zh-CN"/>
        </w:rPr>
        <w:t>改扩建项目实施后全厂</w:t>
      </w:r>
      <w:r>
        <w:rPr>
          <w:sz w:val="24"/>
          <w:szCs w:val="24"/>
          <w:highlight w:val="none"/>
        </w:rPr>
        <w:t>用水主要为生活用水、生产用水，总用水量约为</w:t>
      </w:r>
      <w:r>
        <w:rPr>
          <w:rFonts w:hint="eastAsia"/>
          <w:sz w:val="24"/>
          <w:szCs w:val="24"/>
          <w:highlight w:val="none"/>
          <w:lang w:val="en-US" w:eastAsia="zh-CN"/>
        </w:rPr>
        <w:t>6262.38</w:t>
      </w:r>
      <w:r>
        <w:rPr>
          <w:sz w:val="24"/>
          <w:szCs w:val="24"/>
          <w:highlight w:val="none"/>
        </w:rPr>
        <w:t>m³/d、其中新鲜水用量为</w:t>
      </w:r>
      <w:r>
        <w:rPr>
          <w:rFonts w:hint="eastAsia"/>
          <w:sz w:val="24"/>
          <w:szCs w:val="24"/>
          <w:highlight w:val="none"/>
          <w:lang w:val="en-US" w:eastAsia="zh-CN"/>
        </w:rPr>
        <w:t>261.2</w:t>
      </w:r>
      <w:r>
        <w:rPr>
          <w:sz w:val="24"/>
          <w:szCs w:val="24"/>
          <w:highlight w:val="none"/>
        </w:rPr>
        <w:t>m³/d、循环水量为</w:t>
      </w:r>
      <w:r>
        <w:rPr>
          <w:rFonts w:hint="eastAsia"/>
          <w:sz w:val="24"/>
          <w:szCs w:val="24"/>
          <w:highlight w:val="none"/>
          <w:lang w:val="en-US" w:eastAsia="zh-CN"/>
        </w:rPr>
        <w:t>6008.18</w:t>
      </w:r>
      <w:r>
        <w:rPr>
          <w:sz w:val="24"/>
          <w:szCs w:val="24"/>
          <w:highlight w:val="none"/>
        </w:rPr>
        <w:t>m³/d，水循环利用率为95.</w:t>
      </w:r>
      <w:r>
        <w:rPr>
          <w:rFonts w:hint="eastAsia"/>
          <w:sz w:val="24"/>
          <w:szCs w:val="24"/>
          <w:highlight w:val="none"/>
          <w:lang w:val="en-US" w:eastAsia="zh-CN"/>
        </w:rPr>
        <w:t>9</w:t>
      </w:r>
      <w:r>
        <w:rPr>
          <w:sz w:val="24"/>
          <w:szCs w:val="24"/>
          <w:highlight w:val="none"/>
        </w:rPr>
        <w:t>%。</w:t>
      </w:r>
    </w:p>
    <w:p>
      <w:pPr>
        <w:pStyle w:val="19"/>
        <w:spacing w:after="0" w:line="480" w:lineRule="exact"/>
        <w:ind w:firstLine="480"/>
        <w:jc w:val="both"/>
        <w:rPr>
          <w:sz w:val="24"/>
          <w:szCs w:val="24"/>
          <w:highlight w:val="none"/>
        </w:rPr>
      </w:pPr>
      <w:r>
        <w:rPr>
          <w:sz w:val="24"/>
          <w:szCs w:val="24"/>
          <w:highlight w:val="none"/>
        </w:rPr>
        <w:t>（2）排水</w:t>
      </w:r>
    </w:p>
    <w:p>
      <w:pPr>
        <w:pStyle w:val="19"/>
        <w:spacing w:after="0" w:line="480" w:lineRule="exact"/>
        <w:ind w:firstLine="480"/>
        <w:jc w:val="both"/>
        <w:rPr>
          <w:rFonts w:hint="eastAsia"/>
          <w:sz w:val="24"/>
          <w:szCs w:val="24"/>
          <w:highlight w:val="none"/>
          <w:lang w:val="en-US" w:eastAsia="zh-CN"/>
        </w:rPr>
      </w:pPr>
      <w:r>
        <w:rPr>
          <w:rFonts w:hint="eastAsia"/>
          <w:sz w:val="24"/>
          <w:szCs w:val="24"/>
          <w:highlight w:val="none"/>
          <w:lang w:val="en-US" w:eastAsia="zh-CN"/>
        </w:rPr>
        <w:t>本项目振筛湿式作业废水经管道自流至北厂区干排系统处理，处理后作为球磨磁选用水回用、不外排。</w:t>
      </w:r>
    </w:p>
    <w:p>
      <w:pPr>
        <w:pStyle w:val="19"/>
        <w:spacing w:after="0" w:line="480" w:lineRule="exact"/>
        <w:ind w:firstLine="480"/>
        <w:jc w:val="both"/>
        <w:rPr>
          <w:sz w:val="24"/>
          <w:szCs w:val="24"/>
          <w:highlight w:val="none"/>
        </w:rPr>
      </w:pPr>
      <w:r>
        <w:rPr>
          <w:rFonts w:hint="eastAsia"/>
          <w:sz w:val="24"/>
          <w:szCs w:val="24"/>
          <w:highlight w:val="none"/>
          <w:lang w:val="en-US" w:eastAsia="zh-CN"/>
        </w:rPr>
        <w:t>改扩建项目实施后全厂</w:t>
      </w:r>
      <w:r>
        <w:rPr>
          <w:sz w:val="24"/>
          <w:szCs w:val="24"/>
          <w:highlight w:val="none"/>
        </w:rPr>
        <w:t>生产废水经尾矿泵送至旋流罐、高效深锥浓密器，再经过沉淀池澄清、压滤机压滤后返回清水池，全部回用于生产。</w:t>
      </w:r>
    </w:p>
    <w:p>
      <w:pPr>
        <w:pStyle w:val="19"/>
        <w:spacing w:after="0" w:line="480" w:lineRule="exact"/>
        <w:ind w:firstLine="480"/>
        <w:jc w:val="both"/>
        <w:rPr>
          <w:sz w:val="24"/>
          <w:szCs w:val="24"/>
          <w:highlight w:val="none"/>
        </w:rPr>
      </w:pPr>
      <w:r>
        <w:rPr>
          <w:sz w:val="24"/>
          <w:szCs w:val="24"/>
          <w:highlight w:val="none"/>
        </w:rPr>
        <w:t>生活污水主要为职工盥洗废水，产生量为0.6m³/d，排放量按用水量的85%计，生活污水产生量为0.51m³/d，全部用于泼洒地面抑尘；厂区设防渗旱厕，定期清掏用于肥田，无生活污水外排。</w:t>
      </w:r>
    </w:p>
    <w:p>
      <w:pPr>
        <w:pStyle w:val="19"/>
        <w:spacing w:line="480" w:lineRule="exact"/>
        <w:ind w:firstLine="480"/>
        <w:jc w:val="both"/>
        <w:rPr>
          <w:sz w:val="24"/>
          <w:szCs w:val="24"/>
          <w:highlight w:val="none"/>
        </w:rPr>
      </w:pPr>
      <w:r>
        <w:rPr>
          <w:sz w:val="24"/>
          <w:szCs w:val="24"/>
          <w:highlight w:val="none"/>
        </w:rPr>
        <w:t>项目给排水水平衡见表3.</w:t>
      </w:r>
      <w:r>
        <w:rPr>
          <w:rFonts w:hint="eastAsia"/>
          <w:sz w:val="24"/>
          <w:szCs w:val="24"/>
          <w:highlight w:val="none"/>
          <w:lang w:val="en-US" w:eastAsia="zh-CN"/>
        </w:rPr>
        <w:t>2</w:t>
      </w:r>
      <w:r>
        <w:rPr>
          <w:sz w:val="24"/>
          <w:szCs w:val="24"/>
          <w:highlight w:val="none"/>
        </w:rPr>
        <w:t>-</w:t>
      </w:r>
      <w:r>
        <w:rPr>
          <w:rFonts w:hint="eastAsia"/>
          <w:sz w:val="24"/>
          <w:szCs w:val="24"/>
          <w:highlight w:val="none"/>
          <w:lang w:val="en-US" w:eastAsia="zh-CN"/>
        </w:rPr>
        <w:t>9</w:t>
      </w:r>
      <w:r>
        <w:rPr>
          <w:sz w:val="24"/>
          <w:szCs w:val="24"/>
          <w:highlight w:val="none"/>
        </w:rPr>
        <w:t>，水平衡图见</w:t>
      </w:r>
      <w:r>
        <w:rPr>
          <w:sz w:val="24"/>
          <w:szCs w:val="24"/>
          <w:highlight w:val="none"/>
        </w:rPr>
        <w:fldChar w:fldCharType="begin"/>
      </w:r>
      <w:r>
        <w:rPr>
          <w:sz w:val="24"/>
          <w:szCs w:val="24"/>
          <w:highlight w:val="none"/>
        </w:rPr>
        <w:instrText xml:space="preserve"> REF _Ref6880958 \h  \* MERGEFORMAT </w:instrText>
      </w:r>
      <w:r>
        <w:rPr>
          <w:sz w:val="24"/>
          <w:szCs w:val="24"/>
          <w:highlight w:val="none"/>
        </w:rPr>
        <w:fldChar w:fldCharType="separate"/>
      </w:r>
      <w:r>
        <w:rPr>
          <w:sz w:val="24"/>
          <w:szCs w:val="24"/>
          <w:highlight w:val="none"/>
          <w:lang w:val="zh-CN"/>
        </w:rPr>
        <w:t xml:space="preserve">图 </w:t>
      </w:r>
      <w:r>
        <w:rPr>
          <w:sz w:val="24"/>
          <w:szCs w:val="24"/>
          <w:highlight w:val="none"/>
        </w:rPr>
        <w:t>3.</w:t>
      </w:r>
      <w:r>
        <w:rPr>
          <w:rFonts w:hint="eastAsia"/>
          <w:sz w:val="24"/>
          <w:szCs w:val="24"/>
          <w:highlight w:val="none"/>
          <w:lang w:val="en-US" w:eastAsia="zh-CN"/>
        </w:rPr>
        <w:t>2</w:t>
      </w:r>
      <w:r>
        <w:rPr>
          <w:sz w:val="24"/>
          <w:szCs w:val="24"/>
          <w:highlight w:val="none"/>
        </w:rPr>
        <w:t>–1</w:t>
      </w:r>
      <w:r>
        <w:rPr>
          <w:sz w:val="24"/>
          <w:szCs w:val="24"/>
          <w:highlight w:val="none"/>
        </w:rPr>
        <w:fldChar w:fldCharType="end"/>
      </w:r>
      <w:r>
        <w:rPr>
          <w:sz w:val="24"/>
          <w:szCs w:val="24"/>
          <w:highlight w:val="none"/>
        </w:rPr>
        <w:t>。</w:t>
      </w:r>
    </w:p>
    <w:p>
      <w:pPr>
        <w:pStyle w:val="13"/>
        <w:spacing w:line="480" w:lineRule="exact"/>
        <w:ind w:firstLine="480"/>
        <w:rPr>
          <w:color w:val="auto"/>
          <w:szCs w:val="24"/>
          <w:highlight w:val="none"/>
        </w:rPr>
      </w:pPr>
      <w:r>
        <w:rPr>
          <w:color w:val="auto"/>
          <w:szCs w:val="24"/>
          <w:highlight w:val="none"/>
        </w:rPr>
        <w:t>表 3.</w:t>
      </w:r>
      <w:r>
        <w:rPr>
          <w:rFonts w:hint="eastAsia"/>
          <w:color w:val="auto"/>
          <w:szCs w:val="24"/>
          <w:highlight w:val="none"/>
          <w:lang w:val="en-US" w:eastAsia="zh-CN"/>
        </w:rPr>
        <w:t>2</w:t>
      </w:r>
      <w:r>
        <w:rPr>
          <w:color w:val="auto"/>
          <w:szCs w:val="24"/>
          <w:highlight w:val="none"/>
        </w:rPr>
        <w:t>-</w:t>
      </w:r>
      <w:r>
        <w:rPr>
          <w:rFonts w:hint="eastAsia"/>
          <w:color w:val="auto"/>
          <w:szCs w:val="24"/>
          <w:highlight w:val="none"/>
          <w:lang w:val="en-US" w:eastAsia="zh-CN"/>
        </w:rPr>
        <w:t>9</w:t>
      </w:r>
      <w:r>
        <w:rPr>
          <w:color w:val="auto"/>
          <w:szCs w:val="24"/>
          <w:highlight w:val="none"/>
        </w:rPr>
        <w:t xml:space="preserve">    水量平衡情况表                  单位m³/d</w:t>
      </w:r>
    </w:p>
    <w:tbl>
      <w:tblPr>
        <w:tblStyle w:val="4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7"/>
        <w:gridCol w:w="708"/>
        <w:gridCol w:w="1764"/>
        <w:gridCol w:w="1140"/>
        <w:gridCol w:w="977"/>
        <w:gridCol w:w="652"/>
        <w:gridCol w:w="1140"/>
        <w:gridCol w:w="815"/>
        <w:gridCol w:w="6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序号</w:t>
            </w:r>
          </w:p>
        </w:tc>
        <w:tc>
          <w:tcPr>
            <w:tcW w:w="425" w:type="pct"/>
            <w:vAlign w:val="center"/>
          </w:tcPr>
          <w:p>
            <w:pPr>
              <w:spacing w:line="240" w:lineRule="auto"/>
              <w:ind w:firstLine="0" w:firstLineChars="0"/>
              <w:jc w:val="center"/>
              <w:rPr>
                <w:sz w:val="21"/>
                <w:szCs w:val="21"/>
                <w:highlight w:val="none"/>
              </w:rPr>
            </w:pPr>
            <w:r>
              <w:rPr>
                <w:sz w:val="21"/>
                <w:szCs w:val="21"/>
                <w:highlight w:val="none"/>
              </w:rPr>
              <w:t>项目</w:t>
            </w:r>
          </w:p>
        </w:tc>
        <w:tc>
          <w:tcPr>
            <w:tcW w:w="1061" w:type="pct"/>
            <w:vAlign w:val="center"/>
          </w:tcPr>
          <w:p>
            <w:pPr>
              <w:spacing w:line="240" w:lineRule="auto"/>
              <w:ind w:firstLine="0" w:firstLineChars="0"/>
              <w:jc w:val="center"/>
              <w:rPr>
                <w:sz w:val="21"/>
                <w:szCs w:val="21"/>
                <w:highlight w:val="none"/>
              </w:rPr>
            </w:pPr>
            <w:r>
              <w:rPr>
                <w:sz w:val="21"/>
                <w:szCs w:val="21"/>
                <w:highlight w:val="none"/>
              </w:rPr>
              <w:t>用水环节</w:t>
            </w:r>
          </w:p>
        </w:tc>
        <w:tc>
          <w:tcPr>
            <w:tcW w:w="686" w:type="pct"/>
            <w:vAlign w:val="center"/>
          </w:tcPr>
          <w:p>
            <w:pPr>
              <w:spacing w:line="240" w:lineRule="auto"/>
              <w:ind w:firstLine="0" w:firstLineChars="0"/>
              <w:jc w:val="center"/>
              <w:rPr>
                <w:sz w:val="21"/>
                <w:szCs w:val="21"/>
                <w:highlight w:val="none"/>
              </w:rPr>
            </w:pPr>
            <w:r>
              <w:rPr>
                <w:sz w:val="21"/>
                <w:szCs w:val="21"/>
                <w:highlight w:val="none"/>
              </w:rPr>
              <w:t>总用水量</w:t>
            </w:r>
          </w:p>
        </w:tc>
        <w:tc>
          <w:tcPr>
            <w:tcW w:w="588" w:type="pct"/>
            <w:vAlign w:val="center"/>
          </w:tcPr>
          <w:p>
            <w:pPr>
              <w:spacing w:line="240" w:lineRule="auto"/>
              <w:ind w:firstLine="0" w:firstLineChars="0"/>
              <w:jc w:val="center"/>
              <w:rPr>
                <w:sz w:val="21"/>
                <w:szCs w:val="21"/>
                <w:highlight w:val="none"/>
              </w:rPr>
            </w:pPr>
            <w:r>
              <w:rPr>
                <w:sz w:val="21"/>
                <w:szCs w:val="21"/>
                <w:highlight w:val="none"/>
              </w:rPr>
              <w:t>自备井水</w:t>
            </w:r>
          </w:p>
        </w:tc>
        <w:tc>
          <w:tcPr>
            <w:tcW w:w="392" w:type="pct"/>
            <w:vAlign w:val="center"/>
          </w:tcPr>
          <w:p>
            <w:pPr>
              <w:spacing w:line="240" w:lineRule="auto"/>
              <w:ind w:firstLine="0" w:firstLineChars="0"/>
              <w:jc w:val="center"/>
              <w:rPr>
                <w:sz w:val="21"/>
                <w:szCs w:val="21"/>
                <w:highlight w:val="none"/>
              </w:rPr>
            </w:pPr>
            <w:r>
              <w:rPr>
                <w:sz w:val="21"/>
                <w:szCs w:val="21"/>
                <w:highlight w:val="none"/>
              </w:rPr>
              <w:t>上料带入</w:t>
            </w:r>
          </w:p>
        </w:tc>
        <w:tc>
          <w:tcPr>
            <w:tcW w:w="686" w:type="pct"/>
            <w:vAlign w:val="center"/>
          </w:tcPr>
          <w:p>
            <w:pPr>
              <w:spacing w:line="240" w:lineRule="auto"/>
              <w:ind w:firstLine="0" w:firstLineChars="0"/>
              <w:jc w:val="center"/>
              <w:rPr>
                <w:sz w:val="21"/>
                <w:szCs w:val="21"/>
                <w:highlight w:val="none"/>
              </w:rPr>
            </w:pPr>
            <w:r>
              <w:rPr>
                <w:sz w:val="21"/>
                <w:szCs w:val="21"/>
                <w:highlight w:val="none"/>
              </w:rPr>
              <w:t>回用水</w:t>
            </w:r>
          </w:p>
        </w:tc>
        <w:tc>
          <w:tcPr>
            <w:tcW w:w="490" w:type="pct"/>
            <w:vAlign w:val="center"/>
          </w:tcPr>
          <w:p>
            <w:pPr>
              <w:spacing w:line="240" w:lineRule="auto"/>
              <w:ind w:firstLine="0" w:firstLineChars="0"/>
              <w:jc w:val="center"/>
              <w:rPr>
                <w:sz w:val="21"/>
                <w:szCs w:val="21"/>
                <w:highlight w:val="none"/>
              </w:rPr>
            </w:pPr>
            <w:r>
              <w:rPr>
                <w:sz w:val="21"/>
                <w:szCs w:val="21"/>
                <w:highlight w:val="none"/>
              </w:rPr>
              <w:t>损耗</w:t>
            </w:r>
          </w:p>
          <w:p>
            <w:pPr>
              <w:spacing w:line="240" w:lineRule="auto"/>
              <w:ind w:firstLine="0" w:firstLineChars="0"/>
              <w:jc w:val="center"/>
              <w:rPr>
                <w:sz w:val="21"/>
                <w:szCs w:val="21"/>
                <w:highlight w:val="none"/>
              </w:rPr>
            </w:pPr>
            <w:r>
              <w:rPr>
                <w:sz w:val="21"/>
                <w:szCs w:val="21"/>
                <w:highlight w:val="none"/>
              </w:rPr>
              <w:t>量</w:t>
            </w:r>
          </w:p>
        </w:tc>
        <w:tc>
          <w:tcPr>
            <w:tcW w:w="376" w:type="pct"/>
            <w:vAlign w:val="center"/>
          </w:tcPr>
          <w:p>
            <w:pPr>
              <w:spacing w:line="240" w:lineRule="auto"/>
              <w:ind w:firstLine="0" w:firstLineChars="0"/>
              <w:jc w:val="center"/>
              <w:rPr>
                <w:sz w:val="21"/>
                <w:szCs w:val="21"/>
                <w:highlight w:val="none"/>
              </w:rPr>
            </w:pPr>
            <w:r>
              <w:rPr>
                <w:sz w:val="21"/>
                <w:szCs w:val="21"/>
                <w:highlight w:val="none"/>
              </w:rPr>
              <w:t>外排水量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1</w:t>
            </w:r>
          </w:p>
        </w:tc>
        <w:tc>
          <w:tcPr>
            <w:tcW w:w="425" w:type="pct"/>
            <w:vMerge w:val="restart"/>
            <w:vAlign w:val="center"/>
          </w:tcPr>
          <w:p>
            <w:pPr>
              <w:spacing w:line="240" w:lineRule="auto"/>
              <w:ind w:firstLine="0" w:firstLineChars="0"/>
              <w:jc w:val="center"/>
              <w:rPr>
                <w:sz w:val="21"/>
                <w:szCs w:val="21"/>
                <w:highlight w:val="none"/>
              </w:rPr>
            </w:pPr>
            <w:r>
              <w:rPr>
                <w:sz w:val="21"/>
                <w:szCs w:val="21"/>
                <w:highlight w:val="none"/>
              </w:rPr>
              <w:t>生产</w:t>
            </w:r>
          </w:p>
          <w:p>
            <w:pPr>
              <w:spacing w:line="240" w:lineRule="auto"/>
              <w:ind w:firstLine="0" w:firstLineChars="0"/>
              <w:jc w:val="center"/>
              <w:rPr>
                <w:sz w:val="21"/>
                <w:szCs w:val="21"/>
                <w:highlight w:val="none"/>
              </w:rPr>
            </w:pPr>
            <w:r>
              <w:rPr>
                <w:sz w:val="21"/>
                <w:szCs w:val="21"/>
                <w:highlight w:val="none"/>
              </w:rPr>
              <w:t>系统</w:t>
            </w:r>
          </w:p>
        </w:tc>
        <w:tc>
          <w:tcPr>
            <w:tcW w:w="1061" w:type="pct"/>
            <w:vAlign w:val="center"/>
          </w:tcPr>
          <w:p>
            <w:pPr>
              <w:spacing w:line="240" w:lineRule="auto"/>
              <w:ind w:firstLine="0" w:firstLineChars="0"/>
              <w:jc w:val="center"/>
              <w:rPr>
                <w:sz w:val="21"/>
                <w:szCs w:val="21"/>
                <w:highlight w:val="none"/>
              </w:rPr>
            </w:pPr>
            <w:r>
              <w:rPr>
                <w:sz w:val="21"/>
                <w:szCs w:val="21"/>
                <w:highlight w:val="none"/>
              </w:rPr>
              <w:t>上料、精粉库等抑尘</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23</w:t>
            </w:r>
            <w:r>
              <w:rPr>
                <w:sz w:val="21"/>
                <w:szCs w:val="21"/>
                <w:highlight w:val="none"/>
              </w:rPr>
              <w:t>5.2</w:t>
            </w:r>
          </w:p>
        </w:tc>
        <w:tc>
          <w:tcPr>
            <w:tcW w:w="588" w:type="pct"/>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23</w:t>
            </w:r>
            <w:r>
              <w:rPr>
                <w:sz w:val="21"/>
                <w:szCs w:val="21"/>
                <w:highlight w:val="none"/>
              </w:rPr>
              <w:t>5.2</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17.88</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2</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球磨磁选</w:t>
            </w:r>
          </w:p>
        </w:tc>
        <w:tc>
          <w:tcPr>
            <w:tcW w:w="686"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6001.77</w:t>
            </w:r>
          </w:p>
        </w:tc>
        <w:tc>
          <w:tcPr>
            <w:tcW w:w="588"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0</w:t>
            </w:r>
          </w:p>
        </w:tc>
        <w:tc>
          <w:tcPr>
            <w:tcW w:w="392" w:type="pct"/>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217.12</w:t>
            </w:r>
          </w:p>
        </w:tc>
        <w:tc>
          <w:tcPr>
            <w:tcW w:w="686"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5784.65</w:t>
            </w:r>
          </w:p>
        </w:tc>
        <w:tc>
          <w:tcPr>
            <w:tcW w:w="490"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58.14</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3</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车间地面</w:t>
            </w:r>
          </w:p>
          <w:p>
            <w:pPr>
              <w:spacing w:line="240" w:lineRule="auto"/>
              <w:ind w:firstLine="0" w:firstLineChars="0"/>
              <w:jc w:val="center"/>
              <w:rPr>
                <w:sz w:val="21"/>
                <w:szCs w:val="21"/>
                <w:highlight w:val="none"/>
              </w:rPr>
            </w:pPr>
            <w:r>
              <w:rPr>
                <w:sz w:val="21"/>
                <w:szCs w:val="21"/>
                <w:highlight w:val="none"/>
              </w:rPr>
              <w:t>冲洗</w:t>
            </w:r>
          </w:p>
        </w:tc>
        <w:tc>
          <w:tcPr>
            <w:tcW w:w="686" w:type="pct"/>
            <w:vAlign w:val="center"/>
          </w:tcPr>
          <w:p>
            <w:pPr>
              <w:spacing w:line="240" w:lineRule="auto"/>
              <w:ind w:firstLine="0" w:firstLineChars="0"/>
              <w:jc w:val="center"/>
              <w:rPr>
                <w:sz w:val="21"/>
                <w:szCs w:val="21"/>
                <w:highlight w:val="none"/>
              </w:rPr>
            </w:pPr>
            <w:r>
              <w:rPr>
                <w:sz w:val="21"/>
                <w:szCs w:val="21"/>
                <w:highlight w:val="none"/>
              </w:rPr>
              <w:t>8.0</w:t>
            </w:r>
          </w:p>
        </w:tc>
        <w:tc>
          <w:tcPr>
            <w:tcW w:w="588" w:type="pct"/>
            <w:vAlign w:val="center"/>
          </w:tcPr>
          <w:p>
            <w:pPr>
              <w:spacing w:line="240" w:lineRule="auto"/>
              <w:ind w:firstLine="0" w:firstLineChars="0"/>
              <w:jc w:val="center"/>
              <w:rPr>
                <w:sz w:val="21"/>
                <w:szCs w:val="21"/>
                <w:highlight w:val="none"/>
              </w:rPr>
            </w:pPr>
            <w:r>
              <w:rPr>
                <w:sz w:val="21"/>
                <w:szCs w:val="21"/>
                <w:highlight w:val="none"/>
              </w:rPr>
              <w:t>8.0</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1.2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4</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洗车平台</w:t>
            </w:r>
          </w:p>
        </w:tc>
        <w:tc>
          <w:tcPr>
            <w:tcW w:w="686" w:type="pct"/>
            <w:vAlign w:val="center"/>
          </w:tcPr>
          <w:p>
            <w:pPr>
              <w:spacing w:line="240" w:lineRule="auto"/>
              <w:ind w:firstLine="0" w:firstLineChars="0"/>
              <w:jc w:val="center"/>
              <w:rPr>
                <w:sz w:val="21"/>
                <w:szCs w:val="21"/>
                <w:highlight w:val="none"/>
              </w:rPr>
            </w:pPr>
            <w:r>
              <w:rPr>
                <w:sz w:val="21"/>
                <w:szCs w:val="21"/>
                <w:highlight w:val="none"/>
              </w:rPr>
              <w:t>13.3</w:t>
            </w:r>
          </w:p>
        </w:tc>
        <w:tc>
          <w:tcPr>
            <w:tcW w:w="588" w:type="pct"/>
            <w:vAlign w:val="center"/>
          </w:tcPr>
          <w:p>
            <w:pPr>
              <w:spacing w:line="240" w:lineRule="auto"/>
              <w:ind w:firstLine="0" w:firstLineChars="0"/>
              <w:jc w:val="center"/>
              <w:rPr>
                <w:sz w:val="21"/>
                <w:szCs w:val="21"/>
                <w:highlight w:val="none"/>
              </w:rPr>
            </w:pPr>
            <w:r>
              <w:rPr>
                <w:sz w:val="21"/>
                <w:szCs w:val="21"/>
                <w:highlight w:val="none"/>
              </w:rPr>
              <w:t>2</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11.3</w:t>
            </w:r>
          </w:p>
        </w:tc>
        <w:tc>
          <w:tcPr>
            <w:tcW w:w="490" w:type="pct"/>
            <w:vAlign w:val="center"/>
          </w:tcPr>
          <w:p>
            <w:pPr>
              <w:spacing w:line="240" w:lineRule="auto"/>
              <w:ind w:firstLine="0" w:firstLineChars="0"/>
              <w:jc w:val="center"/>
              <w:rPr>
                <w:sz w:val="21"/>
                <w:szCs w:val="21"/>
                <w:highlight w:val="none"/>
              </w:rPr>
            </w:pPr>
            <w:r>
              <w:rPr>
                <w:sz w:val="21"/>
                <w:szCs w:val="21"/>
                <w:highlight w:val="none"/>
              </w:rPr>
              <w:t>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5</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厂区抑尘</w:t>
            </w:r>
          </w:p>
        </w:tc>
        <w:tc>
          <w:tcPr>
            <w:tcW w:w="686" w:type="pct"/>
            <w:vAlign w:val="center"/>
          </w:tcPr>
          <w:p>
            <w:pPr>
              <w:spacing w:line="240" w:lineRule="auto"/>
              <w:ind w:firstLine="0" w:firstLineChars="0"/>
              <w:jc w:val="center"/>
              <w:rPr>
                <w:sz w:val="21"/>
                <w:szCs w:val="21"/>
                <w:highlight w:val="none"/>
              </w:rPr>
            </w:pPr>
            <w:r>
              <w:rPr>
                <w:sz w:val="21"/>
                <w:szCs w:val="21"/>
                <w:highlight w:val="none"/>
              </w:rPr>
              <w:t>10.51</w:t>
            </w:r>
          </w:p>
        </w:tc>
        <w:tc>
          <w:tcPr>
            <w:tcW w:w="588" w:type="pct"/>
            <w:vAlign w:val="center"/>
          </w:tcPr>
          <w:p>
            <w:pPr>
              <w:spacing w:line="240" w:lineRule="auto"/>
              <w:ind w:firstLine="0" w:firstLineChars="0"/>
              <w:jc w:val="center"/>
              <w:rPr>
                <w:sz w:val="21"/>
                <w:szCs w:val="21"/>
                <w:highlight w:val="none"/>
              </w:rPr>
            </w:pPr>
            <w:r>
              <w:rPr>
                <w:sz w:val="21"/>
                <w:szCs w:val="21"/>
                <w:highlight w:val="none"/>
              </w:rPr>
              <w:t>10</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0.51</w:t>
            </w:r>
          </w:p>
        </w:tc>
        <w:tc>
          <w:tcPr>
            <w:tcW w:w="490" w:type="pct"/>
            <w:vAlign w:val="center"/>
          </w:tcPr>
          <w:p>
            <w:pPr>
              <w:spacing w:line="240" w:lineRule="auto"/>
              <w:ind w:firstLine="0" w:firstLineChars="0"/>
              <w:jc w:val="center"/>
              <w:rPr>
                <w:sz w:val="21"/>
                <w:szCs w:val="21"/>
                <w:highlight w:val="none"/>
              </w:rPr>
            </w:pPr>
            <w:r>
              <w:rPr>
                <w:sz w:val="21"/>
                <w:szCs w:val="21"/>
                <w:highlight w:val="none"/>
              </w:rPr>
              <w:t>10.51</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6</w:t>
            </w:r>
          </w:p>
        </w:tc>
        <w:tc>
          <w:tcPr>
            <w:tcW w:w="425" w:type="pct"/>
            <w:vAlign w:val="center"/>
          </w:tcPr>
          <w:p>
            <w:pPr>
              <w:spacing w:line="240" w:lineRule="auto"/>
              <w:ind w:firstLine="0" w:firstLineChars="0"/>
              <w:jc w:val="center"/>
              <w:rPr>
                <w:sz w:val="21"/>
                <w:szCs w:val="21"/>
                <w:highlight w:val="none"/>
              </w:rPr>
            </w:pPr>
            <w:r>
              <w:rPr>
                <w:sz w:val="21"/>
                <w:szCs w:val="21"/>
                <w:highlight w:val="none"/>
              </w:rPr>
              <w:t>生活</w:t>
            </w:r>
          </w:p>
          <w:p>
            <w:pPr>
              <w:spacing w:line="240" w:lineRule="auto"/>
              <w:ind w:firstLine="0" w:firstLineChars="0"/>
              <w:jc w:val="center"/>
              <w:rPr>
                <w:sz w:val="21"/>
                <w:szCs w:val="21"/>
                <w:highlight w:val="none"/>
              </w:rPr>
            </w:pPr>
            <w:r>
              <w:rPr>
                <w:sz w:val="21"/>
                <w:szCs w:val="21"/>
                <w:highlight w:val="none"/>
              </w:rPr>
              <w:t>系统</w:t>
            </w:r>
          </w:p>
        </w:tc>
        <w:tc>
          <w:tcPr>
            <w:tcW w:w="1061" w:type="pct"/>
            <w:vAlign w:val="center"/>
          </w:tcPr>
          <w:p>
            <w:pPr>
              <w:spacing w:line="240" w:lineRule="auto"/>
              <w:ind w:firstLine="0" w:firstLineChars="0"/>
              <w:jc w:val="center"/>
              <w:rPr>
                <w:sz w:val="21"/>
                <w:szCs w:val="21"/>
                <w:highlight w:val="none"/>
              </w:rPr>
            </w:pPr>
            <w:r>
              <w:rPr>
                <w:sz w:val="21"/>
                <w:szCs w:val="21"/>
                <w:highlight w:val="none"/>
              </w:rPr>
              <w:t>生活用水</w:t>
            </w:r>
          </w:p>
        </w:tc>
        <w:tc>
          <w:tcPr>
            <w:tcW w:w="686" w:type="pct"/>
            <w:vAlign w:val="center"/>
          </w:tcPr>
          <w:p>
            <w:pPr>
              <w:spacing w:line="240" w:lineRule="auto"/>
              <w:ind w:firstLine="0" w:firstLineChars="0"/>
              <w:jc w:val="center"/>
              <w:rPr>
                <w:sz w:val="21"/>
                <w:szCs w:val="21"/>
                <w:highlight w:val="none"/>
              </w:rPr>
            </w:pPr>
            <w:r>
              <w:rPr>
                <w:sz w:val="21"/>
                <w:szCs w:val="21"/>
                <w:highlight w:val="none"/>
              </w:rPr>
              <w:t>0.6</w:t>
            </w:r>
          </w:p>
        </w:tc>
        <w:tc>
          <w:tcPr>
            <w:tcW w:w="588" w:type="pct"/>
            <w:vAlign w:val="center"/>
          </w:tcPr>
          <w:p>
            <w:pPr>
              <w:spacing w:line="240" w:lineRule="auto"/>
              <w:ind w:firstLine="0" w:firstLineChars="0"/>
              <w:jc w:val="center"/>
              <w:rPr>
                <w:sz w:val="21"/>
                <w:szCs w:val="21"/>
                <w:highlight w:val="none"/>
              </w:rPr>
            </w:pPr>
            <w:r>
              <w:rPr>
                <w:sz w:val="21"/>
                <w:szCs w:val="21"/>
                <w:highlight w:val="none"/>
              </w:rPr>
              <w:t>0.6</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0.09</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gridSpan w:val="2"/>
            <w:vAlign w:val="center"/>
          </w:tcPr>
          <w:p>
            <w:pPr>
              <w:spacing w:line="240" w:lineRule="auto"/>
              <w:ind w:firstLine="0" w:firstLineChars="0"/>
              <w:jc w:val="center"/>
              <w:rPr>
                <w:sz w:val="21"/>
                <w:szCs w:val="21"/>
                <w:highlight w:val="none"/>
              </w:rPr>
            </w:pPr>
            <w:r>
              <w:rPr>
                <w:sz w:val="21"/>
                <w:szCs w:val="21"/>
                <w:highlight w:val="none"/>
              </w:rPr>
              <w:t>全厂</w:t>
            </w:r>
          </w:p>
        </w:tc>
        <w:tc>
          <w:tcPr>
            <w:tcW w:w="1061" w:type="pct"/>
            <w:vAlign w:val="center"/>
          </w:tcPr>
          <w:p>
            <w:pPr>
              <w:spacing w:line="240" w:lineRule="auto"/>
              <w:ind w:firstLine="0" w:firstLineChars="0"/>
              <w:jc w:val="center"/>
              <w:rPr>
                <w:sz w:val="21"/>
                <w:szCs w:val="21"/>
                <w:highlight w:val="none"/>
              </w:rPr>
            </w:pPr>
            <w:r>
              <w:rPr>
                <w:sz w:val="21"/>
                <w:szCs w:val="21"/>
                <w:highlight w:val="none"/>
              </w:rPr>
              <w:t>合计</w:t>
            </w:r>
          </w:p>
        </w:tc>
        <w:tc>
          <w:tcPr>
            <w:tcW w:w="686"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6269.38</w:t>
            </w:r>
          </w:p>
        </w:tc>
        <w:tc>
          <w:tcPr>
            <w:tcW w:w="588"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261.2</w:t>
            </w:r>
          </w:p>
        </w:tc>
        <w:tc>
          <w:tcPr>
            <w:tcW w:w="392"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217.12</w:t>
            </w:r>
          </w:p>
        </w:tc>
        <w:tc>
          <w:tcPr>
            <w:tcW w:w="686"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5796.46</w:t>
            </w:r>
          </w:p>
        </w:tc>
        <w:tc>
          <w:tcPr>
            <w:tcW w:w="490"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88.62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bl>
    <w:p>
      <w:pPr>
        <w:pStyle w:val="19"/>
        <w:spacing w:line="480" w:lineRule="exact"/>
        <w:ind w:firstLine="480"/>
        <w:jc w:val="both"/>
        <w:rPr>
          <w:sz w:val="24"/>
          <w:szCs w:val="24"/>
          <w:highlight w:val="none"/>
        </w:rPr>
      </w:pPr>
      <w:r>
        <w:rPr>
          <w:rFonts w:hint="eastAsia"/>
          <w:sz w:val="24"/>
          <w:szCs w:val="24"/>
          <w:highlight w:val="none"/>
          <w:lang w:val="en-US" w:eastAsia="zh-CN"/>
        </w:rPr>
        <w:t>本</w:t>
      </w:r>
      <w:r>
        <w:rPr>
          <w:sz w:val="24"/>
          <w:szCs w:val="24"/>
          <w:highlight w:val="none"/>
        </w:rPr>
        <w:t>项目</w:t>
      </w:r>
      <w:r>
        <w:rPr>
          <w:rFonts w:hint="eastAsia"/>
          <w:sz w:val="24"/>
          <w:szCs w:val="24"/>
          <w:highlight w:val="none"/>
          <w:lang w:val="en-US" w:eastAsia="zh-CN"/>
        </w:rPr>
        <w:t>实施后全厂</w:t>
      </w:r>
      <w:r>
        <w:rPr>
          <w:sz w:val="24"/>
          <w:szCs w:val="24"/>
          <w:highlight w:val="none"/>
        </w:rPr>
        <w:t>工业水重复利用率95.</w:t>
      </w:r>
      <w:r>
        <w:rPr>
          <w:rFonts w:hint="eastAsia"/>
          <w:sz w:val="24"/>
          <w:szCs w:val="24"/>
          <w:highlight w:val="none"/>
          <w:lang w:val="en-US" w:eastAsia="zh-CN"/>
        </w:rPr>
        <w:t>4</w:t>
      </w:r>
      <w:r>
        <w:rPr>
          <w:sz w:val="24"/>
          <w:szCs w:val="24"/>
          <w:highlight w:val="none"/>
        </w:rPr>
        <w:t>%，水耗0.1</w:t>
      </w:r>
      <w:r>
        <w:rPr>
          <w:rFonts w:hint="eastAsia"/>
          <w:sz w:val="24"/>
          <w:szCs w:val="24"/>
          <w:highlight w:val="none"/>
          <w:lang w:val="en-US" w:eastAsia="zh-CN"/>
        </w:rPr>
        <w:t>3</w:t>
      </w:r>
      <w:r>
        <w:rPr>
          <w:sz w:val="24"/>
          <w:szCs w:val="24"/>
          <w:highlight w:val="none"/>
        </w:rPr>
        <w:t>m³/t，达到《清洁生产标准铁矿采选业》（HJ/T294-2006）一级水平（工业水重复利用率≥95%，水耗≤2m³/t）。</w:t>
      </w:r>
    </w:p>
    <w:p>
      <w:pPr>
        <w:pStyle w:val="19"/>
        <w:ind w:firstLine="560"/>
        <w:jc w:val="center"/>
        <w:rPr>
          <w:sz w:val="24"/>
          <w:szCs w:val="24"/>
          <w:highlight w:val="none"/>
        </w:rPr>
      </w:pPr>
      <w:r>
        <w:rPr>
          <w:sz w:val="28"/>
        </w:rPr>
        <w:pict>
          <v:shape id="_x0000_s2028" o:spid="_x0000_s2028" o:spt="202" type="#_x0000_t202" style="position:absolute;left:0pt;margin-left:81.85pt;margin-top:56.05pt;height:19.15pt;width:41.6pt;z-index:251664384;mso-width-relative:page;mso-height-relative:page;" fillcolor="#FFFFFF" filled="t" stroked="f" coordsize="21600,21600">
            <v:path/>
            <v:fill on="t" color2="#FFFFFF" focussize="0,0"/>
            <v:stroke on="f"/>
            <v:imagedata o:title=""/>
            <o:lock v:ext="edit" aspectratio="f"/>
            <v:textbox inset="0mm,0mm,0mm,0mm">
              <w:txbxContent>
                <w:p/>
              </w:txbxContent>
            </v:textbox>
          </v:shape>
        </w:pict>
      </w:r>
      <w:r>
        <w:rPr>
          <w:sz w:val="28"/>
        </w:rPr>
        <w:pict>
          <v:shape id="_x0000_s2034" o:spid="_x0000_s2034" o:spt="202" type="#_x0000_t202" style="position:absolute;left:0pt;margin-left:175.6pt;margin-top:56.85pt;height:10.05pt;width:31.6pt;z-index:251714560;mso-width-relative:page;mso-height-relative:page;"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18"/>
                      <w:szCs w:val="18"/>
                      <w:lang w:val="en-US" w:eastAsia="zh-CN"/>
                    </w:rPr>
                  </w:pPr>
                  <w:r>
                    <w:rPr>
                      <w:rFonts w:hint="eastAsia"/>
                      <w:sz w:val="18"/>
                      <w:szCs w:val="18"/>
                      <w:lang w:val="en-US" w:eastAsia="zh-CN"/>
                    </w:rPr>
                    <w:t>5351.85</w:t>
                  </w:r>
                </w:p>
              </w:txbxContent>
            </v:textbox>
          </v:shape>
        </w:pict>
      </w:r>
      <w:r>
        <w:rPr>
          <w:sz w:val="28"/>
        </w:rPr>
        <w:pict>
          <v:shape id="_x0000_s2033" o:spid="_x0000_s2033" o:spt="202" type="#_x0000_t202" style="position:absolute;left:0pt;margin-left:41.6pt;margin-top:168.95pt;height:13.4pt;width:31.6pt;z-index:251713536;mso-width-relative:page;mso-height-relative:page;"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21"/>
                      <w:szCs w:val="21"/>
                      <w:lang w:val="en-US" w:eastAsia="zh-CN"/>
                    </w:rPr>
                  </w:pPr>
                  <w:r>
                    <w:rPr>
                      <w:rFonts w:hint="eastAsia"/>
                      <w:sz w:val="21"/>
                      <w:szCs w:val="21"/>
                      <w:lang w:val="en-US" w:eastAsia="zh-CN"/>
                    </w:rPr>
                    <w:t>261.2</w:t>
                  </w:r>
                </w:p>
              </w:txbxContent>
            </v:textbox>
          </v:shape>
        </w:pict>
      </w:r>
      <w:r>
        <w:rPr>
          <w:sz w:val="28"/>
        </w:rPr>
        <w:pict>
          <v:shape id="_x0000_s2030" o:spid="_x0000_s2030" o:spt="202" type="#_x0000_t202" style="position:absolute;left:0pt;margin-left:172.65pt;margin-top:37.45pt;height:10.05pt;width:31.6pt;z-index:251710464;mso-width-relative:page;mso-height-relative:page;"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21"/>
                      <w:szCs w:val="21"/>
                      <w:lang w:val="en-US" w:eastAsia="zh-CN"/>
                    </w:rPr>
                  </w:pPr>
                  <w:r>
                    <w:rPr>
                      <w:rFonts w:hint="eastAsia"/>
                      <w:sz w:val="21"/>
                      <w:szCs w:val="21"/>
                      <w:lang w:val="en-US" w:eastAsia="zh-CN"/>
                    </w:rPr>
                    <w:t>17.88</w:t>
                  </w:r>
                </w:p>
              </w:txbxContent>
            </v:textbox>
          </v:shape>
        </w:pict>
      </w:r>
      <w:r>
        <w:rPr>
          <w:sz w:val="28"/>
        </w:rPr>
        <w:pict>
          <v:shape id="_x0000_s2031" o:spid="_x0000_s2031" o:spt="202" type="#_x0000_t202" style="position:absolute;left:0pt;margin-left:198.8pt;margin-top:20.25pt;height:10.05pt;width:31.6pt;z-index:251711488;mso-width-relative:page;mso-height-relative:page;"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21"/>
                      <w:szCs w:val="21"/>
                      <w:lang w:val="en-US" w:eastAsia="zh-CN"/>
                    </w:rPr>
                  </w:pPr>
                  <w:r>
                    <w:rPr>
                      <w:rFonts w:hint="eastAsia"/>
                      <w:sz w:val="21"/>
                      <w:szCs w:val="21"/>
                      <w:lang w:val="en-US" w:eastAsia="zh-CN"/>
                    </w:rPr>
                    <w:t>217.12</w:t>
                  </w:r>
                </w:p>
              </w:txbxContent>
            </v:textbox>
          </v:shape>
        </w:pict>
      </w:r>
      <w:r>
        <w:rPr>
          <w:sz w:val="28"/>
        </w:rPr>
        <w:pict>
          <v:shape id="_x0000_s2029" o:spid="_x0000_s2029" o:spt="202" type="#_x0000_t202" style="position:absolute;left:0pt;margin-left:84.8pt;margin-top:7.95pt;height:10.05pt;width:31.6pt;z-index:251709440;mso-width-relative:page;mso-height-relative:page;"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21"/>
                      <w:szCs w:val="21"/>
                      <w:lang w:val="en-US" w:eastAsia="zh-CN"/>
                    </w:rPr>
                  </w:pPr>
                  <w:r>
                    <w:rPr>
                      <w:rFonts w:hint="eastAsia"/>
                      <w:sz w:val="21"/>
                      <w:szCs w:val="21"/>
                      <w:lang w:val="en-US" w:eastAsia="zh-CN"/>
                    </w:rPr>
                    <w:t>235.2</w:t>
                  </w:r>
                </w:p>
              </w:txbxContent>
            </v:textbox>
          </v:shape>
        </w:pict>
      </w:r>
      <w:r>
        <w:rPr>
          <w:highlight w:val="none"/>
        </w:rPr>
        <w:object>
          <v:shape id="_x0000_i1026" o:spt="75" type="#_x0000_t75" style="height:410.85pt;width:403.85pt;" o:ole="t" filled="f" o:preferrelative="t" stroked="f" coordsize="21600,21600">
            <v:path/>
            <v:fill on="f" focussize="0,0"/>
            <v:stroke on="f"/>
            <v:imagedata r:id="rId25" o:title=""/>
            <o:lock v:ext="edit" aspectratio="t"/>
            <w10:wrap type="none"/>
            <w10:anchorlock/>
          </v:shape>
          <o:OLEObject Type="Embed" ProgID="Visio.Drawing.11" ShapeID="_x0000_i1026" DrawAspect="Content" ObjectID="_1468075726" r:id="rId24">
            <o:LockedField>false</o:LockedField>
          </o:OLEObject>
        </w:object>
      </w:r>
      <w:r>
        <w:rPr>
          <w:sz w:val="24"/>
          <w:szCs w:val="24"/>
          <w:highlight w:val="none"/>
        </w:rPr>
        <w:t xml:space="preserve">图 </w:t>
      </w:r>
      <w:r>
        <w:rPr>
          <w:sz w:val="24"/>
          <w:szCs w:val="24"/>
          <w:highlight w:val="none"/>
        </w:rPr>
        <w:fldChar w:fldCharType="begin"/>
      </w:r>
      <w:r>
        <w:rPr>
          <w:sz w:val="24"/>
          <w:szCs w:val="24"/>
          <w:highlight w:val="none"/>
        </w:rPr>
        <w:instrText xml:space="preserve"> STYLEREF 2 \s </w:instrText>
      </w:r>
      <w:r>
        <w:rPr>
          <w:sz w:val="24"/>
          <w:szCs w:val="24"/>
          <w:highlight w:val="none"/>
        </w:rPr>
        <w:fldChar w:fldCharType="separate"/>
      </w:r>
      <w:r>
        <w:rPr>
          <w:sz w:val="24"/>
          <w:szCs w:val="24"/>
          <w:highlight w:val="none"/>
        </w:rPr>
        <w:t>3.</w:t>
      </w:r>
      <w:r>
        <w:rPr>
          <w:rFonts w:hint="eastAsia"/>
          <w:sz w:val="24"/>
          <w:szCs w:val="24"/>
          <w:highlight w:val="none"/>
          <w:lang w:val="en-US" w:eastAsia="zh-CN"/>
        </w:rPr>
        <w:t>2</w:t>
      </w:r>
      <w:r>
        <w:rPr>
          <w:sz w:val="24"/>
          <w:szCs w:val="24"/>
          <w:highlight w:val="none"/>
        </w:rPr>
        <w:fldChar w:fldCharType="end"/>
      </w:r>
      <w:r>
        <w:rPr>
          <w:sz w:val="24"/>
          <w:szCs w:val="24"/>
          <w:highlight w:val="none"/>
        </w:rPr>
        <w:t>–</w:t>
      </w:r>
      <w:r>
        <w:rPr>
          <w:sz w:val="24"/>
          <w:szCs w:val="24"/>
          <w:highlight w:val="none"/>
        </w:rPr>
        <w:fldChar w:fldCharType="begin"/>
      </w:r>
      <w:r>
        <w:rPr>
          <w:sz w:val="24"/>
          <w:szCs w:val="24"/>
          <w:highlight w:val="none"/>
        </w:rPr>
        <w:instrText xml:space="preserve"> SEQ 图 \* ARABIC \s 2 </w:instrText>
      </w:r>
      <w:r>
        <w:rPr>
          <w:sz w:val="24"/>
          <w:szCs w:val="24"/>
          <w:highlight w:val="none"/>
        </w:rPr>
        <w:fldChar w:fldCharType="separate"/>
      </w:r>
      <w:r>
        <w:rPr>
          <w:sz w:val="24"/>
          <w:szCs w:val="24"/>
          <w:highlight w:val="none"/>
        </w:rPr>
        <w:t>1</w:t>
      </w:r>
      <w:r>
        <w:rPr>
          <w:sz w:val="24"/>
          <w:szCs w:val="24"/>
          <w:highlight w:val="none"/>
        </w:rPr>
        <w:fldChar w:fldCharType="end"/>
      </w:r>
      <w:r>
        <w:rPr>
          <w:sz w:val="24"/>
          <w:szCs w:val="24"/>
          <w:highlight w:val="none"/>
        </w:rPr>
        <w:t xml:space="preserve">    </w:t>
      </w:r>
      <w:r>
        <w:rPr>
          <w:rFonts w:hint="eastAsia"/>
          <w:sz w:val="24"/>
          <w:szCs w:val="24"/>
          <w:highlight w:val="none"/>
          <w:lang w:val="en-US" w:eastAsia="zh-CN"/>
        </w:rPr>
        <w:t>改扩建实施后全厂</w:t>
      </w:r>
      <w:r>
        <w:rPr>
          <w:sz w:val="24"/>
          <w:szCs w:val="24"/>
          <w:highlight w:val="none"/>
        </w:rPr>
        <w:t>水平衡图</w:t>
      </w:r>
    </w:p>
    <w:p>
      <w:pPr>
        <w:pStyle w:val="3"/>
        <w:rPr>
          <w:highlight w:val="none"/>
        </w:rPr>
      </w:pPr>
      <w:r>
        <w:rPr>
          <w:highlight w:val="none"/>
        </w:rPr>
        <w:t>3.</w:t>
      </w:r>
      <w:r>
        <w:rPr>
          <w:rFonts w:hint="eastAsia"/>
          <w:highlight w:val="none"/>
        </w:rPr>
        <w:t>1.9</w:t>
      </w:r>
      <w:r>
        <w:rPr>
          <w:highlight w:val="none"/>
        </w:rPr>
        <w:t>.2供配电情况</w:t>
      </w:r>
    </w:p>
    <w:p>
      <w:pPr>
        <w:ind w:firstLine="480"/>
        <w:rPr>
          <w:sz w:val="24"/>
          <w:szCs w:val="24"/>
          <w:highlight w:val="none"/>
        </w:rPr>
      </w:pPr>
      <w:r>
        <w:rPr>
          <w:sz w:val="24"/>
          <w:szCs w:val="24"/>
          <w:highlight w:val="none"/>
        </w:rPr>
        <w:t>采用单电源不分段供电方式，电源引自当地35kV变电站。</w:t>
      </w:r>
    </w:p>
    <w:p>
      <w:pPr>
        <w:pStyle w:val="3"/>
        <w:rPr>
          <w:highlight w:val="none"/>
        </w:rPr>
      </w:pPr>
      <w:r>
        <w:rPr>
          <w:highlight w:val="none"/>
        </w:rPr>
        <w:t>3.</w:t>
      </w:r>
      <w:r>
        <w:rPr>
          <w:rFonts w:hint="eastAsia"/>
          <w:highlight w:val="none"/>
        </w:rPr>
        <w:t>1.9</w:t>
      </w:r>
      <w:r>
        <w:rPr>
          <w:highlight w:val="none"/>
        </w:rPr>
        <w:t>.3供热情况</w:t>
      </w:r>
    </w:p>
    <w:p>
      <w:pPr>
        <w:ind w:firstLine="480"/>
        <w:jc w:val="both"/>
        <w:rPr>
          <w:sz w:val="24"/>
          <w:szCs w:val="24"/>
          <w:highlight w:val="none"/>
        </w:rPr>
      </w:pPr>
      <w:r>
        <w:rPr>
          <w:sz w:val="24"/>
          <w:szCs w:val="24"/>
          <w:highlight w:val="none"/>
        </w:rPr>
        <w:t>生产系统无供热设施，办公生活区冬季采用空调或电暖气采暖，不设置锅炉。</w:t>
      </w:r>
    </w:p>
    <w:p>
      <w:pPr>
        <w:pStyle w:val="5"/>
        <w:keepNext/>
        <w:keepLines w:val="0"/>
        <w:pageBreakBefore w:val="0"/>
        <w:widowControl/>
        <w:numPr>
          <w:ilvl w:val="1"/>
          <w:numId w:val="1"/>
        </w:numPr>
        <w:tabs>
          <w:tab w:val="left" w:pos="482"/>
        </w:tabs>
        <w:kinsoku/>
        <w:wordWrap/>
        <w:overflowPunct/>
        <w:topLinePunct w:val="0"/>
        <w:autoSpaceDE/>
        <w:autoSpaceDN/>
        <w:bidi w:val="0"/>
        <w:adjustRightInd/>
        <w:snapToGrid/>
        <w:spacing w:before="157" w:beforeLines="50" w:after="0" w:line="360" w:lineRule="auto"/>
        <w:ind w:left="567" w:hanging="567"/>
        <w:textAlignment w:val="auto"/>
        <w:rPr>
          <w:rFonts w:ascii="Times New Roman" w:hAnsi="Times New Roman" w:eastAsia="宋体"/>
          <w:bCs w:val="0"/>
          <w:snapToGrid w:val="0"/>
          <w:kern w:val="0"/>
          <w:sz w:val="28"/>
          <w:szCs w:val="28"/>
          <w:highlight w:val="none"/>
        </w:rPr>
      </w:pPr>
      <w:r>
        <w:rPr>
          <w:rFonts w:ascii="Times New Roman" w:hAnsi="Times New Roman" w:eastAsia="宋体"/>
          <w:bCs w:val="0"/>
          <w:snapToGrid w:val="0"/>
          <w:kern w:val="0"/>
          <w:sz w:val="28"/>
          <w:szCs w:val="28"/>
          <w:highlight w:val="none"/>
        </w:rPr>
        <w:t>污染影响因素分析</w:t>
      </w:r>
      <w:bookmarkEnd w:id="269"/>
      <w:bookmarkEnd w:id="270"/>
      <w:bookmarkEnd w:id="271"/>
      <w:bookmarkEnd w:id="272"/>
      <w:bookmarkEnd w:id="273"/>
      <w:bookmarkEnd w:id="274"/>
    </w:p>
    <w:p>
      <w:pPr>
        <w:pStyle w:val="6"/>
        <w:numPr>
          <w:ilvl w:val="2"/>
          <w:numId w:val="1"/>
        </w:numPr>
        <w:spacing w:before="0" w:after="0"/>
        <w:ind w:left="567"/>
        <w:rPr>
          <w:szCs w:val="28"/>
          <w:highlight w:val="none"/>
        </w:rPr>
      </w:pPr>
      <w:bookmarkStart w:id="280" w:name="_Toc521591764"/>
      <w:bookmarkStart w:id="281" w:name="_Toc2746"/>
      <w:r>
        <w:rPr>
          <w:szCs w:val="28"/>
          <w:highlight w:val="none"/>
        </w:rPr>
        <w:t>选矿工艺流程分析</w:t>
      </w:r>
      <w:bookmarkEnd w:id="280"/>
      <w:bookmarkEnd w:id="281"/>
    </w:p>
    <w:p>
      <w:pPr>
        <w:ind w:firstLine="482"/>
        <w:jc w:val="both"/>
        <w:rPr>
          <w:sz w:val="24"/>
          <w:szCs w:val="24"/>
          <w:highlight w:val="none"/>
        </w:rPr>
      </w:pPr>
      <w:r>
        <w:rPr>
          <w:rFonts w:hint="eastAsia"/>
          <w:b/>
          <w:sz w:val="24"/>
          <w:szCs w:val="24"/>
          <w:highlight w:val="none"/>
        </w:rPr>
        <w:t>原料运输：</w:t>
      </w:r>
      <w:r>
        <w:rPr>
          <w:rFonts w:hint="eastAsia"/>
          <w:sz w:val="24"/>
          <w:szCs w:val="24"/>
          <w:highlight w:val="none"/>
        </w:rPr>
        <w:t>本项目原料主要由承德县鑫兴矿业有限公司提供，原料运输路线：承德——G</w:t>
      </w:r>
      <w:r>
        <w:rPr>
          <w:sz w:val="24"/>
          <w:szCs w:val="24"/>
          <w:highlight w:val="none"/>
        </w:rPr>
        <w:t>25</w:t>
      </w:r>
      <w:r>
        <w:rPr>
          <w:rFonts w:hint="eastAsia"/>
          <w:sz w:val="24"/>
          <w:szCs w:val="24"/>
          <w:highlight w:val="none"/>
        </w:rPr>
        <w:t>高速——邦宽线（S</w:t>
      </w:r>
      <w:r>
        <w:rPr>
          <w:sz w:val="24"/>
          <w:szCs w:val="24"/>
          <w:highlight w:val="none"/>
        </w:rPr>
        <w:t>356</w:t>
      </w:r>
      <w:r>
        <w:rPr>
          <w:rFonts w:hint="eastAsia"/>
          <w:sz w:val="24"/>
          <w:szCs w:val="24"/>
          <w:highlight w:val="none"/>
        </w:rPr>
        <w:t>省道）——本项目。原料运输过程沿线敏感点为S</w:t>
      </w:r>
      <w:r>
        <w:rPr>
          <w:sz w:val="24"/>
          <w:szCs w:val="24"/>
          <w:highlight w:val="none"/>
        </w:rPr>
        <w:t>356</w:t>
      </w:r>
      <w:r>
        <w:rPr>
          <w:rFonts w:hint="eastAsia"/>
          <w:sz w:val="24"/>
          <w:szCs w:val="24"/>
          <w:highlight w:val="none"/>
        </w:rPr>
        <w:t>省道沿线村镇。本项目生产的铁精粉在铁精粉库装车后，铁精粉运离厂区后由厂区外小路转入南侧的邦宽线（</w:t>
      </w:r>
      <w:r>
        <w:rPr>
          <w:sz w:val="24"/>
          <w:szCs w:val="24"/>
          <w:highlight w:val="none"/>
        </w:rPr>
        <w:t>S</w:t>
      </w:r>
      <w:r>
        <w:rPr>
          <w:rFonts w:hint="eastAsia"/>
          <w:sz w:val="24"/>
          <w:szCs w:val="24"/>
          <w:highlight w:val="none"/>
        </w:rPr>
        <w:t>356省道），然后运至客户厂区，厂区外小路沿线无敏感点</w:t>
      </w:r>
      <w:bookmarkStart w:id="282" w:name="_Hlk4967609"/>
      <w:r>
        <w:rPr>
          <w:rFonts w:hint="eastAsia"/>
          <w:sz w:val="24"/>
          <w:szCs w:val="24"/>
          <w:highlight w:val="none"/>
        </w:rPr>
        <w:t>。</w:t>
      </w:r>
      <w:bookmarkEnd w:id="282"/>
    </w:p>
    <w:p>
      <w:pPr>
        <w:ind w:firstLine="480"/>
        <w:jc w:val="both"/>
        <w:rPr>
          <w:rFonts w:hint="default" w:eastAsia="宋体"/>
          <w:sz w:val="24"/>
          <w:szCs w:val="24"/>
          <w:highlight w:val="none"/>
          <w:lang w:val="en-US" w:eastAsia="zh-CN"/>
        </w:rPr>
      </w:pPr>
      <w:r>
        <w:rPr>
          <w:sz w:val="24"/>
          <w:szCs w:val="24"/>
          <w:highlight w:val="none"/>
        </w:rPr>
        <w:t>本项目</w:t>
      </w:r>
      <w:r>
        <w:rPr>
          <w:rFonts w:hint="eastAsia"/>
          <w:sz w:val="24"/>
          <w:szCs w:val="24"/>
          <w:highlight w:val="none"/>
          <w:lang w:val="en-US" w:eastAsia="zh-CN"/>
        </w:rPr>
        <w:t>在</w:t>
      </w:r>
      <w:r>
        <w:rPr>
          <w:rFonts w:hint="eastAsia"/>
          <w:sz w:val="24"/>
          <w:szCs w:val="24"/>
          <w:highlight w:val="none"/>
        </w:rPr>
        <w:t>遵化市恒泰矿业有限公司</w:t>
      </w:r>
      <w:r>
        <w:rPr>
          <w:rFonts w:hint="eastAsia"/>
          <w:sz w:val="24"/>
          <w:szCs w:val="24"/>
          <w:highlight w:val="none"/>
          <w:lang w:val="en-US" w:eastAsia="zh-CN"/>
        </w:rPr>
        <w:t>现有南厂区内新建1条破碎筛分生产线</w:t>
      </w:r>
      <w:r>
        <w:rPr>
          <w:rFonts w:hint="eastAsia"/>
          <w:sz w:val="24"/>
          <w:szCs w:val="24"/>
          <w:highlight w:val="none"/>
          <w:lang w:eastAsia="zh-CN"/>
        </w:rPr>
        <w:t>，</w:t>
      </w:r>
      <w:r>
        <w:rPr>
          <w:rFonts w:hint="eastAsia"/>
          <w:sz w:val="24"/>
          <w:szCs w:val="24"/>
          <w:highlight w:val="none"/>
          <w:lang w:val="en-US" w:eastAsia="zh-CN"/>
        </w:rPr>
        <w:t>破碎处理后的矿石由厂区现有粗选设备进行选矿</w:t>
      </w:r>
      <w:r>
        <w:rPr>
          <w:sz w:val="24"/>
          <w:szCs w:val="24"/>
          <w:highlight w:val="none"/>
        </w:rPr>
        <w:t>。</w:t>
      </w:r>
      <w:r>
        <w:rPr>
          <w:rFonts w:hint="eastAsia"/>
          <w:sz w:val="24"/>
          <w:szCs w:val="24"/>
          <w:highlight w:val="none"/>
          <w:lang w:val="en-US" w:eastAsia="zh-CN"/>
        </w:rPr>
        <w:t>为了体现工艺的完整性，下文将本项目新增设置与南厂区现有粗选设备结合起来进行工艺流程叙述，生产工艺流程及排污节点简述如下：</w:t>
      </w:r>
    </w:p>
    <w:p>
      <w:pPr>
        <w:keepNext w:val="0"/>
        <w:keepLines w:val="0"/>
        <w:pageBreakBefore w:val="0"/>
        <w:widowControl/>
        <w:numPr>
          <w:ilvl w:val="0"/>
          <w:numId w:val="0"/>
        </w:numPr>
        <w:kinsoku/>
        <w:wordWrap/>
        <w:overflowPunct/>
        <w:topLinePunct w:val="0"/>
        <w:autoSpaceDE/>
        <w:autoSpaceDN/>
        <w:bidi w:val="0"/>
        <w:adjustRightInd/>
        <w:snapToGrid/>
        <w:spacing w:line="460" w:lineRule="exact"/>
        <w:ind w:firstLine="240" w:firstLineChars="100"/>
        <w:jc w:val="both"/>
        <w:textAlignment w:val="auto"/>
        <w:rPr>
          <w:rFonts w:ascii="Times New Roman" w:hAnsi="Times New Roman" w:eastAsia="宋体" w:cs="Times New Roman"/>
          <w:sz w:val="24"/>
          <w:szCs w:val="24"/>
        </w:rPr>
      </w:pPr>
      <w:r>
        <w:rPr>
          <w:sz w:val="24"/>
          <w:szCs w:val="24"/>
        </w:rPr>
        <w:t>（1）原料卸料：本项目</w:t>
      </w:r>
      <w:r>
        <w:rPr>
          <w:rFonts w:hint="eastAsia"/>
          <w:sz w:val="24"/>
          <w:szCs w:val="24"/>
          <w:lang w:val="en-US" w:eastAsia="zh-CN"/>
        </w:rPr>
        <w:t>不</w:t>
      </w:r>
      <w:r>
        <w:rPr>
          <w:sz w:val="24"/>
          <w:szCs w:val="24"/>
        </w:rPr>
        <w:t>设原料库，原料铁矿石由汽车运输进厂，</w:t>
      </w:r>
      <w:r>
        <w:rPr>
          <w:rFonts w:hint="eastAsia"/>
          <w:sz w:val="24"/>
          <w:szCs w:val="24"/>
          <w:lang w:val="en-US" w:eastAsia="zh-CN"/>
        </w:rPr>
        <w:t>直接进入原料棚</w:t>
      </w:r>
      <w:r>
        <w:rPr>
          <w:sz w:val="24"/>
          <w:szCs w:val="24"/>
        </w:rPr>
        <w:t>卸至</w:t>
      </w:r>
      <w:r>
        <w:rPr>
          <w:rFonts w:hint="eastAsia"/>
          <w:sz w:val="24"/>
          <w:szCs w:val="24"/>
          <w:lang w:val="en-US" w:eastAsia="zh-CN"/>
        </w:rPr>
        <w:t>受料仓，</w:t>
      </w:r>
      <w:r>
        <w:rPr>
          <w:sz w:val="24"/>
          <w:szCs w:val="24"/>
        </w:rPr>
        <w:t>原料</w:t>
      </w:r>
      <w:r>
        <w:rPr>
          <w:rFonts w:hint="eastAsia"/>
          <w:sz w:val="24"/>
          <w:szCs w:val="24"/>
          <w:lang w:val="en-US" w:eastAsia="zh-CN"/>
        </w:rPr>
        <w:t>不露天</w:t>
      </w:r>
      <w:r>
        <w:rPr>
          <w:sz w:val="24"/>
          <w:szCs w:val="24"/>
        </w:rPr>
        <w:t>堆存，</w:t>
      </w:r>
      <w:r>
        <w:rPr>
          <w:rFonts w:hint="eastAsia"/>
          <w:sz w:val="24"/>
          <w:szCs w:val="24"/>
          <w:lang w:val="en-US" w:eastAsia="zh-CN"/>
        </w:rPr>
        <w:t>原料棚</w:t>
      </w:r>
      <w:r>
        <w:rPr>
          <w:sz w:val="24"/>
          <w:szCs w:val="24"/>
        </w:rPr>
        <w:t>三面围挡并带顶，料棚进深尺度不小于8米，受料仓设置喷淋抑尘装置，</w:t>
      </w:r>
      <w:r>
        <w:rPr>
          <w:rFonts w:hint="eastAsia"/>
          <w:sz w:val="24"/>
          <w:szCs w:val="24"/>
          <w:lang w:val="en-US" w:eastAsia="zh-CN"/>
        </w:rPr>
        <w:t>可</w:t>
      </w:r>
      <w:r>
        <w:rPr>
          <w:sz w:val="24"/>
          <w:szCs w:val="24"/>
        </w:rPr>
        <w:t>有效防止卸料扬尘外溢，受料仓围挡</w:t>
      </w:r>
      <w:r>
        <w:rPr>
          <w:rFonts w:ascii="Times New Roman" w:hAnsi="Times New Roman" w:eastAsia="宋体" w:cs="Times New Roman"/>
          <w:sz w:val="24"/>
          <w:szCs w:val="24"/>
        </w:rPr>
        <w:t>发生破损时必须及时维修完善。</w:t>
      </w:r>
    </w:p>
    <w:p>
      <w:pPr>
        <w:keepNext w:val="0"/>
        <w:keepLines w:val="0"/>
        <w:pageBreakBefore w:val="0"/>
        <w:widowControl/>
        <w:kinsoku/>
        <w:wordWrap/>
        <w:overflowPunct/>
        <w:topLinePunct w:val="0"/>
        <w:autoSpaceDE/>
        <w:autoSpaceDN/>
        <w:bidi w:val="0"/>
        <w:adjustRightInd/>
        <w:snapToGrid/>
        <w:spacing w:line="460" w:lineRule="exact"/>
        <w:ind w:firstLine="480"/>
        <w:jc w:val="both"/>
        <w:textAlignment w:val="auto"/>
        <w:rPr>
          <w:rFonts w:ascii="Times New Roman" w:hAnsi="Times New Roman" w:eastAsia="宋体" w:cs="Times New Roman"/>
          <w:sz w:val="24"/>
          <w:szCs w:val="24"/>
        </w:rPr>
      </w:pPr>
      <w:r>
        <w:rPr>
          <w:rFonts w:hint="eastAsia" w:ascii="Times New Roman" w:hAnsi="Times New Roman" w:eastAsia="宋体" w:cs="Times New Roman"/>
          <w:sz w:val="24"/>
          <w:szCs w:val="24"/>
        </w:rPr>
        <w:t>原料运输车辆车斗采用苫布苫盖，苫布边缘至少要遮住槽帮上沿以下15cm，</w:t>
      </w:r>
      <w:r>
        <w:rPr>
          <w:rFonts w:hint="eastAsia"/>
          <w:sz w:val="24"/>
        </w:rPr>
        <w:t>原料运输采用国六标准或新能源运输工具。原料卸料时采用原料区顶部设</w:t>
      </w:r>
      <w:r>
        <w:rPr>
          <w:rFonts w:hint="eastAsia" w:ascii="Times New Roman" w:hAnsi="Times New Roman" w:eastAsia="宋体" w:cs="Times New Roman"/>
          <w:sz w:val="24"/>
          <w:szCs w:val="24"/>
        </w:rPr>
        <w:t>置喷雾抑尘装置（电伴热）进行抑尘。</w:t>
      </w:r>
    </w:p>
    <w:p>
      <w:pPr>
        <w:keepNext w:val="0"/>
        <w:keepLines w:val="0"/>
        <w:pageBreakBefore w:val="0"/>
        <w:widowControl/>
        <w:kinsoku/>
        <w:wordWrap/>
        <w:overflowPunct/>
        <w:topLinePunct w:val="0"/>
        <w:autoSpaceDE/>
        <w:autoSpaceDN/>
        <w:bidi w:val="0"/>
        <w:adjustRightInd/>
        <w:snapToGrid/>
        <w:spacing w:line="460" w:lineRule="exact"/>
        <w:ind w:firstLine="480"/>
        <w:jc w:val="both"/>
        <w:textAlignment w:val="auto"/>
        <w:rPr>
          <w:rFonts w:ascii="Times New Roman" w:hAnsi="Times New Roman" w:eastAsia="宋体" w:cs="Times New Roman"/>
          <w:sz w:val="24"/>
          <w:szCs w:val="24"/>
        </w:rPr>
      </w:pPr>
      <w:r>
        <w:rPr>
          <w:rFonts w:ascii="Times New Roman" w:hAnsi="Times New Roman" w:eastAsia="宋体" w:cs="Times New Roman"/>
          <w:sz w:val="24"/>
          <w:szCs w:val="24"/>
        </w:rPr>
        <w:t>排污节点：原料卸车、转运、储存过程中产生的粉尘，运输车辆产生的噪声。</w:t>
      </w:r>
    </w:p>
    <w:p>
      <w:pPr>
        <w:keepNext w:val="0"/>
        <w:keepLines w:val="0"/>
        <w:pageBreakBefore w:val="0"/>
        <w:widowControl/>
        <w:numPr>
          <w:ilvl w:val="0"/>
          <w:numId w:val="0"/>
        </w:numPr>
        <w:kinsoku/>
        <w:wordWrap/>
        <w:overflowPunct/>
        <w:topLinePunct w:val="0"/>
        <w:autoSpaceDE/>
        <w:autoSpaceDN/>
        <w:bidi w:val="0"/>
        <w:adjustRightInd/>
        <w:snapToGrid/>
        <w:spacing w:line="460" w:lineRule="exact"/>
        <w:ind w:firstLine="240" w:firstLineChars="100"/>
        <w:jc w:val="both"/>
        <w:textAlignment w:val="auto"/>
        <w:rPr>
          <w:rFonts w:ascii="Times New Roman" w:hAnsi="Times New Roman" w:eastAsia="宋体" w:cs="Times New Roman"/>
          <w:sz w:val="24"/>
          <w:szCs w:val="24"/>
        </w:rPr>
      </w:pPr>
      <w:r>
        <w:rPr>
          <w:rFonts w:ascii="Times New Roman" w:hAnsi="Times New Roman" w:eastAsia="宋体" w:cs="Times New Roman"/>
          <w:sz w:val="24"/>
          <w:szCs w:val="24"/>
        </w:rPr>
        <w:t>（2）破碎筛分：本项目设1台颚破机、1台</w:t>
      </w:r>
      <w:r>
        <w:rPr>
          <w:rFonts w:hint="eastAsia" w:ascii="Times New Roman" w:hAnsi="Times New Roman" w:eastAsia="宋体" w:cs="Times New Roman"/>
          <w:sz w:val="24"/>
          <w:szCs w:val="24"/>
          <w:lang w:val="en-US" w:eastAsia="zh-CN"/>
        </w:rPr>
        <w:t>圆锥</w:t>
      </w:r>
      <w:r>
        <w:rPr>
          <w:rFonts w:hint="eastAsia" w:ascii="Times New Roman" w:hAnsi="Times New Roman" w:eastAsia="宋体" w:cs="Times New Roman"/>
          <w:sz w:val="24"/>
          <w:szCs w:val="24"/>
        </w:rPr>
        <w:t>破</w:t>
      </w:r>
      <w:r>
        <w:rPr>
          <w:rFonts w:ascii="Times New Roman" w:hAnsi="Times New Roman" w:eastAsia="宋体" w:cs="Times New Roman"/>
          <w:sz w:val="24"/>
          <w:szCs w:val="24"/>
        </w:rPr>
        <w:t>和</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台振动筛</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含1台湿式分级筛</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rPr>
        <w:t>。</w:t>
      </w:r>
    </w:p>
    <w:p>
      <w:pPr>
        <w:keepNext w:val="0"/>
        <w:keepLines w:val="0"/>
        <w:pageBreakBefore w:val="0"/>
        <w:widowControl/>
        <w:numPr>
          <w:ilvl w:val="0"/>
          <w:numId w:val="0"/>
        </w:numPr>
        <w:kinsoku/>
        <w:wordWrap/>
        <w:overflowPunct/>
        <w:topLinePunct w:val="0"/>
        <w:autoSpaceDE/>
        <w:autoSpaceDN/>
        <w:bidi w:val="0"/>
        <w:adjustRightInd/>
        <w:snapToGrid/>
        <w:spacing w:line="460" w:lineRule="exact"/>
        <w:ind w:firstLine="480" w:firstLineChars="200"/>
        <w:jc w:val="both"/>
        <w:textAlignment w:val="auto"/>
        <w:rPr>
          <w:rFonts w:ascii="Times New Roman" w:hAnsi="Times New Roman" w:eastAsia="宋体" w:cs="Times New Roman"/>
          <w:sz w:val="24"/>
          <w:szCs w:val="24"/>
        </w:rPr>
      </w:pPr>
      <w:r>
        <w:rPr>
          <w:rFonts w:hint="eastAsia" w:ascii="Times New Roman" w:hAnsi="Times New Roman" w:eastAsia="宋体" w:cs="Times New Roman"/>
          <w:sz w:val="24"/>
          <w:szCs w:val="24"/>
        </w:rPr>
        <w:t>①加料：铁矿石</w:t>
      </w:r>
      <w:r>
        <w:rPr>
          <w:rFonts w:hint="eastAsia" w:ascii="Times New Roman" w:hAnsi="Times New Roman" w:eastAsia="宋体" w:cs="Times New Roman"/>
          <w:sz w:val="24"/>
          <w:szCs w:val="24"/>
          <w:lang w:val="en-US" w:eastAsia="zh-CN"/>
        </w:rPr>
        <w:t>由运输车辆卸至</w:t>
      </w:r>
      <w:r>
        <w:rPr>
          <w:rFonts w:hint="eastAsia" w:ascii="Times New Roman" w:hAnsi="Times New Roman" w:eastAsia="宋体" w:cs="Times New Roman"/>
          <w:sz w:val="24"/>
          <w:szCs w:val="24"/>
        </w:rPr>
        <w:t>原料</w:t>
      </w:r>
      <w:r>
        <w:rPr>
          <w:rFonts w:hint="eastAsia" w:ascii="Times New Roman" w:hAnsi="Times New Roman" w:eastAsia="宋体" w:cs="Times New Roman"/>
          <w:sz w:val="24"/>
          <w:szCs w:val="24"/>
          <w:lang w:val="en-US" w:eastAsia="zh-CN"/>
        </w:rPr>
        <w:t>棚</w:t>
      </w:r>
      <w:r>
        <w:rPr>
          <w:rFonts w:hint="eastAsia" w:ascii="Times New Roman" w:hAnsi="Times New Roman" w:eastAsia="宋体" w:cs="Times New Roman"/>
          <w:sz w:val="24"/>
          <w:szCs w:val="24"/>
        </w:rPr>
        <w:t>内受料口，经给料机落入颚式破碎机内。</w:t>
      </w:r>
    </w:p>
    <w:p>
      <w:pPr>
        <w:keepNext w:val="0"/>
        <w:keepLines w:val="0"/>
        <w:pageBreakBefore w:val="0"/>
        <w:widowControl/>
        <w:kinsoku/>
        <w:wordWrap/>
        <w:overflowPunct/>
        <w:topLinePunct w:val="0"/>
        <w:autoSpaceDE/>
        <w:autoSpaceDN/>
        <w:bidi w:val="0"/>
        <w:adjustRightInd/>
        <w:snapToGrid/>
        <w:spacing w:line="460" w:lineRule="exact"/>
        <w:ind w:firstLine="480"/>
        <w:jc w:val="both"/>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排污节点：</w:t>
      </w:r>
      <w:r>
        <w:rPr>
          <w:rFonts w:hint="eastAsia" w:ascii="Times New Roman" w:hAnsi="Times New Roman" w:eastAsia="宋体" w:cs="Times New Roman"/>
          <w:sz w:val="24"/>
          <w:lang w:val="en-US" w:eastAsia="zh-CN"/>
        </w:rPr>
        <w:t>车辆卸料</w:t>
      </w:r>
      <w:r>
        <w:rPr>
          <w:rFonts w:hint="eastAsia" w:ascii="Times New Roman" w:hAnsi="Times New Roman" w:eastAsia="宋体" w:cs="Times New Roman"/>
          <w:sz w:val="24"/>
        </w:rPr>
        <w:t>过程、给料机产生的噪声，运输及落料过程产生的粉尘。</w:t>
      </w:r>
    </w:p>
    <w:p>
      <w:pPr>
        <w:keepNext w:val="0"/>
        <w:keepLines w:val="0"/>
        <w:pageBreakBefore w:val="0"/>
        <w:widowControl/>
        <w:kinsoku/>
        <w:wordWrap/>
        <w:overflowPunct/>
        <w:topLinePunct w:val="0"/>
        <w:autoSpaceDE/>
        <w:autoSpaceDN/>
        <w:bidi w:val="0"/>
        <w:adjustRightInd/>
        <w:snapToGrid/>
        <w:spacing w:line="460" w:lineRule="exact"/>
        <w:ind w:firstLine="480"/>
        <w:jc w:val="both"/>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②颚破：铁矿石首先进入颚式破碎机进行破碎，被破碎成直径5cm以下的碎石块，破碎机出口与皮带传送机相接，输送至振动筛进行筛分。</w:t>
      </w:r>
    </w:p>
    <w:p>
      <w:pPr>
        <w:keepNext w:val="0"/>
        <w:keepLines w:val="0"/>
        <w:pageBreakBefore w:val="0"/>
        <w:widowControl/>
        <w:kinsoku/>
        <w:wordWrap/>
        <w:overflowPunct/>
        <w:topLinePunct w:val="0"/>
        <w:autoSpaceDE/>
        <w:autoSpaceDN/>
        <w:bidi w:val="0"/>
        <w:adjustRightInd/>
        <w:snapToGrid/>
        <w:spacing w:line="460" w:lineRule="exact"/>
        <w:ind w:firstLine="480"/>
        <w:jc w:val="both"/>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排污节点：颚破过程产生的粉尘、噪声以及除尘器收集的除尘灰。</w:t>
      </w:r>
    </w:p>
    <w:p>
      <w:pPr>
        <w:keepNext w:val="0"/>
        <w:keepLines w:val="0"/>
        <w:pageBreakBefore w:val="0"/>
        <w:widowControl/>
        <w:kinsoku/>
        <w:wordWrap/>
        <w:overflowPunct/>
        <w:topLinePunct w:val="0"/>
        <w:autoSpaceDE/>
        <w:autoSpaceDN/>
        <w:bidi w:val="0"/>
        <w:adjustRightInd/>
        <w:snapToGrid/>
        <w:spacing w:line="460" w:lineRule="exact"/>
        <w:ind w:firstLine="480"/>
        <w:jc w:val="both"/>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③</w:t>
      </w:r>
      <w:r>
        <w:rPr>
          <w:rFonts w:hint="eastAsia" w:ascii="Times New Roman" w:hAnsi="Times New Roman" w:eastAsia="宋体" w:cs="Times New Roman"/>
          <w:sz w:val="24"/>
          <w:lang w:val="en-US" w:eastAsia="zh-CN"/>
        </w:rPr>
        <w:t>圆锥</w:t>
      </w:r>
      <w:r>
        <w:rPr>
          <w:rFonts w:hint="eastAsia" w:ascii="Times New Roman" w:hAnsi="Times New Roman" w:eastAsia="宋体" w:cs="Times New Roman"/>
          <w:sz w:val="24"/>
        </w:rPr>
        <w:t>破、筛分：经颚破后的矿石由皮带送</w:t>
      </w:r>
      <w:r>
        <w:rPr>
          <w:rFonts w:hint="eastAsia" w:ascii="Times New Roman" w:hAnsi="Times New Roman" w:eastAsia="宋体" w:cs="Times New Roman"/>
          <w:sz w:val="24"/>
          <w:lang w:val="en-US" w:eastAsia="zh-CN"/>
        </w:rPr>
        <w:t>圆锥</w:t>
      </w:r>
      <w:r>
        <w:rPr>
          <w:rFonts w:hint="eastAsia" w:ascii="Times New Roman" w:hAnsi="Times New Roman" w:eastAsia="宋体" w:cs="Times New Roman"/>
          <w:sz w:val="24"/>
        </w:rPr>
        <w:t>破进一步破碎，然后进入振动筛进行筛分，筛上物料（粒径&gt;3cm）经皮带转运至</w:t>
      </w:r>
      <w:r>
        <w:rPr>
          <w:rFonts w:hint="eastAsia" w:cs="Times New Roman"/>
          <w:sz w:val="24"/>
          <w:lang w:val="en-US" w:eastAsia="zh-CN"/>
        </w:rPr>
        <w:t>圆锥</w:t>
      </w:r>
      <w:r>
        <w:rPr>
          <w:rFonts w:hint="eastAsia" w:ascii="Times New Roman" w:hAnsi="Times New Roman" w:eastAsia="宋体" w:cs="Times New Roman"/>
          <w:sz w:val="24"/>
        </w:rPr>
        <w:t>破碎机进一步破碎，破碎后直接落入</w:t>
      </w:r>
      <w:r>
        <w:rPr>
          <w:rFonts w:hint="eastAsia" w:ascii="Times New Roman" w:hAnsi="Times New Roman" w:eastAsia="宋体" w:cs="Times New Roman"/>
          <w:sz w:val="24"/>
          <w:lang w:val="en-US" w:eastAsia="zh-CN"/>
        </w:rPr>
        <w:t>圆锥</w:t>
      </w:r>
      <w:r>
        <w:rPr>
          <w:rFonts w:hint="eastAsia" w:ascii="Times New Roman" w:hAnsi="Times New Roman" w:eastAsia="宋体" w:cs="Times New Roman"/>
          <w:sz w:val="24"/>
        </w:rPr>
        <w:t>破与振动筛之间的皮带上，返回振动筛进行筛分，筛下物料（粒径≤3cm）进入</w:t>
      </w:r>
      <w:r>
        <w:rPr>
          <w:rFonts w:hint="eastAsia" w:ascii="Times New Roman" w:hAnsi="Times New Roman" w:eastAsia="宋体" w:cs="Times New Roman"/>
          <w:sz w:val="24"/>
          <w:lang w:val="en-US" w:eastAsia="zh-CN"/>
        </w:rPr>
        <w:t>下一级湿式振动筛进行分级，该振动筛采用湿式作业方式进行振动分选，振动筛末端利用磁选机将矿石分选出来，矿石经皮带转运至</w:t>
      </w:r>
      <w:r>
        <w:rPr>
          <w:rFonts w:hint="eastAsia" w:ascii="Times New Roman" w:hAnsi="Times New Roman" w:eastAsia="宋体" w:cs="Times New Roman"/>
          <w:sz w:val="24"/>
        </w:rPr>
        <w:t>中转料仓准备进入</w:t>
      </w:r>
      <w:r>
        <w:rPr>
          <w:rFonts w:hint="eastAsia" w:ascii="Times New Roman" w:hAnsi="Times New Roman" w:eastAsia="宋体" w:cs="Times New Roman"/>
          <w:sz w:val="24"/>
          <w:lang w:val="en-US" w:eastAsia="zh-CN"/>
        </w:rPr>
        <w:t>现有的</w:t>
      </w:r>
      <w:r>
        <w:rPr>
          <w:rFonts w:hint="eastAsia" w:ascii="Times New Roman" w:hAnsi="Times New Roman" w:eastAsia="宋体" w:cs="Times New Roman"/>
          <w:sz w:val="24"/>
        </w:rPr>
        <w:t>球磨</w:t>
      </w:r>
      <w:r>
        <w:rPr>
          <w:rFonts w:hint="eastAsia" w:ascii="Times New Roman" w:hAnsi="Times New Roman" w:eastAsia="宋体" w:cs="Times New Roman"/>
          <w:sz w:val="24"/>
          <w:lang w:val="en-US" w:eastAsia="zh-CN"/>
        </w:rPr>
        <w:t>粗选</w:t>
      </w:r>
      <w:r>
        <w:rPr>
          <w:rFonts w:hint="eastAsia" w:ascii="Times New Roman" w:hAnsi="Times New Roman" w:eastAsia="宋体" w:cs="Times New Roman"/>
          <w:sz w:val="24"/>
        </w:rPr>
        <w:t>工序</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分选出的砂石料经皮带转运至成品库暂存，振动筛湿式作业废水进入洗砂船洗沙后泵入浓缩罐，通过管道自流至北厂区干排系统进行处理，处理后的废水作为精选生产用水回用</w:t>
      </w:r>
      <w:r>
        <w:rPr>
          <w:rFonts w:hint="eastAsia" w:ascii="Times New Roman" w:hAnsi="Times New Roman" w:eastAsia="宋体" w:cs="Times New Roman"/>
          <w:sz w:val="24"/>
        </w:rPr>
        <w:t>。</w:t>
      </w:r>
    </w:p>
    <w:p>
      <w:pPr>
        <w:keepNext w:val="0"/>
        <w:keepLines w:val="0"/>
        <w:pageBreakBefore w:val="0"/>
        <w:widowControl/>
        <w:kinsoku/>
        <w:wordWrap/>
        <w:overflowPunct/>
        <w:topLinePunct w:val="0"/>
        <w:autoSpaceDE/>
        <w:autoSpaceDN/>
        <w:bidi w:val="0"/>
        <w:adjustRightInd/>
        <w:snapToGrid/>
        <w:spacing w:line="460" w:lineRule="exact"/>
        <w:ind w:firstLine="480"/>
        <w:jc w:val="both"/>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排污节点：</w:t>
      </w:r>
      <w:r>
        <w:rPr>
          <w:rFonts w:hint="eastAsia" w:ascii="Times New Roman" w:hAnsi="Times New Roman" w:eastAsia="宋体" w:cs="Times New Roman"/>
          <w:sz w:val="24"/>
          <w:lang w:val="en-US" w:eastAsia="zh-CN"/>
        </w:rPr>
        <w:t>圆锥</w:t>
      </w:r>
      <w:r>
        <w:rPr>
          <w:rFonts w:hint="eastAsia" w:ascii="Times New Roman" w:hAnsi="Times New Roman" w:eastAsia="宋体" w:cs="Times New Roman"/>
          <w:sz w:val="24"/>
        </w:rPr>
        <w:t>破过程产生的粉尘、噪声；筛分过程产生的粉尘、噪声；除尘器收集的除尘灰。</w:t>
      </w:r>
    </w:p>
    <w:p>
      <w:pPr>
        <w:ind w:firstLine="480"/>
        <w:jc w:val="both"/>
        <w:rPr>
          <w:sz w:val="24"/>
          <w:szCs w:val="24"/>
          <w:highlight w:val="none"/>
        </w:rPr>
      </w:pPr>
      <w:r>
        <w:rPr>
          <w:sz w:val="24"/>
          <w:szCs w:val="24"/>
          <w:highlight w:val="none"/>
        </w:rPr>
        <w:t>（</w:t>
      </w:r>
      <w:r>
        <w:rPr>
          <w:rFonts w:hint="eastAsia"/>
          <w:sz w:val="24"/>
          <w:szCs w:val="24"/>
          <w:highlight w:val="none"/>
          <w:lang w:val="en-US" w:eastAsia="zh-CN"/>
        </w:rPr>
        <w:t>3</w:t>
      </w:r>
      <w:r>
        <w:rPr>
          <w:sz w:val="24"/>
          <w:szCs w:val="24"/>
          <w:highlight w:val="none"/>
        </w:rPr>
        <w:t>）球磨：</w:t>
      </w:r>
      <w:r>
        <w:rPr>
          <w:rFonts w:hint="eastAsia"/>
          <w:sz w:val="24"/>
          <w:szCs w:val="24"/>
          <w:highlight w:val="none"/>
        </w:rPr>
        <w:t>破碎车间</w:t>
      </w:r>
      <w:r>
        <w:rPr>
          <w:sz w:val="24"/>
          <w:szCs w:val="24"/>
          <w:highlight w:val="none"/>
        </w:rPr>
        <w:t>经破碎筛分后的矿石经</w:t>
      </w:r>
      <w:r>
        <w:rPr>
          <w:rFonts w:hint="eastAsia"/>
          <w:sz w:val="24"/>
          <w:szCs w:val="24"/>
          <w:highlight w:val="none"/>
        </w:rPr>
        <w:t>中转</w:t>
      </w:r>
      <w:r>
        <w:rPr>
          <w:sz w:val="24"/>
          <w:szCs w:val="24"/>
          <w:highlight w:val="none"/>
        </w:rPr>
        <w:t>仓由皮带给入球磨机</w:t>
      </w:r>
      <w:r>
        <w:rPr>
          <w:rFonts w:hint="eastAsia"/>
          <w:sz w:val="24"/>
          <w:szCs w:val="24"/>
          <w:highlight w:val="none"/>
        </w:rPr>
        <w:t>。</w:t>
      </w:r>
      <w:r>
        <w:rPr>
          <w:sz w:val="24"/>
          <w:szCs w:val="24"/>
          <w:highlight w:val="none"/>
        </w:rPr>
        <w:t>入料同时加水和钢球，经球磨机进行湿式球磨。球磨后的粉矿浆由矿浆泵输送至一段磁选。</w:t>
      </w:r>
    </w:p>
    <w:p>
      <w:pPr>
        <w:ind w:firstLine="480"/>
        <w:jc w:val="both"/>
        <w:rPr>
          <w:sz w:val="24"/>
          <w:szCs w:val="24"/>
          <w:highlight w:val="none"/>
        </w:rPr>
      </w:pPr>
      <w:r>
        <w:rPr>
          <w:sz w:val="24"/>
          <w:szCs w:val="24"/>
          <w:highlight w:val="none"/>
        </w:rPr>
        <w:t>排污节点：球磨机噪声、废钢球。</w:t>
      </w:r>
    </w:p>
    <w:p>
      <w:pPr>
        <w:ind w:firstLine="480"/>
        <w:jc w:val="both"/>
        <w:rPr>
          <w:sz w:val="24"/>
          <w:szCs w:val="24"/>
          <w:highlight w:val="none"/>
        </w:rPr>
      </w:pPr>
      <w:r>
        <w:rPr>
          <w:sz w:val="24"/>
          <w:szCs w:val="24"/>
          <w:highlight w:val="none"/>
        </w:rPr>
        <w:t>（</w:t>
      </w:r>
      <w:r>
        <w:rPr>
          <w:rFonts w:hint="eastAsia"/>
          <w:sz w:val="24"/>
          <w:szCs w:val="24"/>
          <w:highlight w:val="none"/>
          <w:lang w:val="en-US" w:eastAsia="zh-CN"/>
        </w:rPr>
        <w:t>4</w:t>
      </w:r>
      <w:r>
        <w:rPr>
          <w:sz w:val="24"/>
          <w:szCs w:val="24"/>
          <w:highlight w:val="none"/>
        </w:rPr>
        <w:t>）磁选：经过球磨的粉矿浆进入磁选机磁选，该工序磁选机串联式组合，共四段磁选，粉矿浆首先进入一段湿式磁选，一段磁选的精矿由渣浆泵泵入高频振动筛，筛上物重新返回球磨机球磨，筛下再经二、三段磁选，</w:t>
      </w:r>
      <w:r>
        <w:rPr>
          <w:rFonts w:hint="eastAsia"/>
          <w:sz w:val="24"/>
          <w:szCs w:val="24"/>
          <w:highlight w:val="none"/>
        </w:rPr>
        <w:t>三</w:t>
      </w:r>
      <w:r>
        <w:rPr>
          <w:sz w:val="24"/>
          <w:szCs w:val="24"/>
          <w:highlight w:val="none"/>
        </w:rPr>
        <w:t>段磁选产生的精矿进入过滤机脱水，得到铁精粉，铁精粉经皮带输送至</w:t>
      </w:r>
      <w:r>
        <w:rPr>
          <w:rFonts w:hint="eastAsia"/>
          <w:sz w:val="24"/>
          <w:szCs w:val="24"/>
          <w:highlight w:val="none"/>
        </w:rPr>
        <w:t>粗</w:t>
      </w:r>
      <w:r>
        <w:rPr>
          <w:sz w:val="24"/>
          <w:szCs w:val="24"/>
          <w:highlight w:val="none"/>
        </w:rPr>
        <w:t>精粉库，在</w:t>
      </w:r>
      <w:r>
        <w:rPr>
          <w:rFonts w:hint="eastAsia"/>
          <w:sz w:val="24"/>
          <w:szCs w:val="24"/>
          <w:highlight w:val="none"/>
        </w:rPr>
        <w:t>粗</w:t>
      </w:r>
      <w:r>
        <w:rPr>
          <w:sz w:val="24"/>
          <w:szCs w:val="24"/>
          <w:highlight w:val="none"/>
        </w:rPr>
        <w:t>精粉库内暂存。过滤机脱出的尾矿浆通过渣浆泵输送到</w:t>
      </w:r>
      <w:r>
        <w:rPr>
          <w:rFonts w:hint="eastAsia"/>
          <w:sz w:val="24"/>
          <w:szCs w:val="24"/>
          <w:highlight w:val="none"/>
        </w:rPr>
        <w:t>球磨机</w:t>
      </w:r>
      <w:r>
        <w:rPr>
          <w:sz w:val="24"/>
          <w:szCs w:val="24"/>
          <w:highlight w:val="none"/>
        </w:rPr>
        <w:t>。</w:t>
      </w:r>
    </w:p>
    <w:p>
      <w:pPr>
        <w:ind w:firstLine="480"/>
        <w:jc w:val="both"/>
        <w:rPr>
          <w:sz w:val="24"/>
          <w:szCs w:val="24"/>
          <w:highlight w:val="none"/>
        </w:rPr>
      </w:pPr>
      <w:r>
        <w:rPr>
          <w:sz w:val="24"/>
          <w:szCs w:val="24"/>
          <w:highlight w:val="none"/>
        </w:rPr>
        <w:t>排污节点：磁选过程产生尾矿浆和设备运行噪声。</w:t>
      </w:r>
    </w:p>
    <w:p>
      <w:pPr>
        <w:ind w:firstLine="480"/>
        <w:jc w:val="both"/>
        <w:rPr>
          <w:sz w:val="24"/>
          <w:szCs w:val="24"/>
          <w:highlight w:val="none"/>
        </w:rPr>
      </w:pPr>
      <w:r>
        <w:rPr>
          <w:sz w:val="24"/>
          <w:szCs w:val="24"/>
          <w:highlight w:val="none"/>
        </w:rPr>
        <w:t>（</w:t>
      </w:r>
      <w:r>
        <w:rPr>
          <w:rFonts w:hint="eastAsia"/>
          <w:sz w:val="24"/>
          <w:szCs w:val="24"/>
          <w:highlight w:val="none"/>
          <w:lang w:val="en-US" w:eastAsia="zh-CN"/>
        </w:rPr>
        <w:t>5</w:t>
      </w:r>
      <w:r>
        <w:rPr>
          <w:sz w:val="24"/>
          <w:szCs w:val="24"/>
          <w:highlight w:val="none"/>
        </w:rPr>
        <w:t>）磁选尾矿脱水</w:t>
      </w:r>
    </w:p>
    <w:p>
      <w:pPr>
        <w:ind w:firstLine="480"/>
        <w:jc w:val="both"/>
        <w:rPr>
          <w:sz w:val="24"/>
          <w:szCs w:val="24"/>
          <w:highlight w:val="none"/>
        </w:rPr>
      </w:pPr>
      <w:r>
        <w:rPr>
          <w:sz w:val="24"/>
          <w:szCs w:val="24"/>
          <w:highlight w:val="none"/>
        </w:rPr>
        <w:t>各磁选环节产生的尾矿浆由渣浆泵输送到沉淀罐进行初步沉淀分离，粗尾矿砂沉淀至罐底，顶部溢流尾矿浆进入浓密池进行沉淀。</w:t>
      </w:r>
    </w:p>
    <w:p>
      <w:pPr>
        <w:ind w:firstLine="480"/>
        <w:jc w:val="both"/>
        <w:rPr>
          <w:sz w:val="24"/>
          <w:szCs w:val="24"/>
          <w:highlight w:val="none"/>
        </w:rPr>
      </w:pPr>
      <w:r>
        <w:rPr>
          <w:sz w:val="24"/>
          <w:szCs w:val="24"/>
          <w:highlight w:val="none"/>
        </w:rPr>
        <w:t>沉淀罐底的粗尾矿砂再经脱水筛分离。筛上粗颗粒外售</w:t>
      </w:r>
      <w:r>
        <w:rPr>
          <w:rFonts w:hint="eastAsia"/>
          <w:sz w:val="24"/>
          <w:szCs w:val="24"/>
          <w:highlight w:val="none"/>
        </w:rPr>
        <w:t>附近建材企业综合利用</w:t>
      </w:r>
      <w:r>
        <w:rPr>
          <w:sz w:val="24"/>
          <w:szCs w:val="24"/>
          <w:highlight w:val="none"/>
        </w:rPr>
        <w:t>；滤液进入浓密池进行沉淀处理。浓密池中上清液自流</w:t>
      </w:r>
      <w:r>
        <w:rPr>
          <w:rFonts w:hint="eastAsia"/>
          <w:sz w:val="24"/>
          <w:szCs w:val="24"/>
          <w:highlight w:val="none"/>
        </w:rPr>
        <w:t>至</w:t>
      </w:r>
      <w:r>
        <w:rPr>
          <w:sz w:val="24"/>
          <w:szCs w:val="24"/>
          <w:highlight w:val="none"/>
        </w:rPr>
        <w:t>清水池回用于生产，沉淀在浓密池底的</w:t>
      </w:r>
      <w:r>
        <w:rPr>
          <w:rFonts w:hint="eastAsia"/>
          <w:sz w:val="24"/>
          <w:szCs w:val="24"/>
          <w:highlight w:val="none"/>
        </w:rPr>
        <w:t>细</w:t>
      </w:r>
      <w:r>
        <w:rPr>
          <w:sz w:val="24"/>
          <w:szCs w:val="24"/>
          <w:highlight w:val="none"/>
        </w:rPr>
        <w:t>尾矿砂经压滤机压滤脱水处理，</w:t>
      </w:r>
      <w:r>
        <w:rPr>
          <w:rFonts w:hint="eastAsia"/>
          <w:sz w:val="24"/>
          <w:szCs w:val="24"/>
          <w:highlight w:val="none"/>
        </w:rPr>
        <w:t>形成的细</w:t>
      </w:r>
      <w:r>
        <w:rPr>
          <w:sz w:val="24"/>
          <w:szCs w:val="24"/>
          <w:highlight w:val="none"/>
        </w:rPr>
        <w:t>尾矿砂</w:t>
      </w:r>
      <w:bookmarkStart w:id="283" w:name="_Hlk4967768"/>
      <w:r>
        <w:rPr>
          <w:rFonts w:hint="eastAsia"/>
          <w:sz w:val="24"/>
          <w:szCs w:val="24"/>
          <w:highlight w:val="none"/>
        </w:rPr>
        <w:t>（泥饼）用于项目周边修路</w:t>
      </w:r>
      <w:bookmarkEnd w:id="283"/>
      <w:r>
        <w:rPr>
          <w:sz w:val="24"/>
          <w:szCs w:val="24"/>
          <w:highlight w:val="none"/>
        </w:rPr>
        <w:t>，压滤机出水进入清水池回用于生产。</w:t>
      </w:r>
    </w:p>
    <w:p>
      <w:pPr>
        <w:ind w:firstLine="480"/>
        <w:jc w:val="both"/>
        <w:rPr>
          <w:sz w:val="24"/>
          <w:szCs w:val="24"/>
          <w:highlight w:val="none"/>
        </w:rPr>
      </w:pPr>
      <w:r>
        <w:rPr>
          <w:sz w:val="24"/>
          <w:szCs w:val="24"/>
          <w:highlight w:val="none"/>
        </w:rPr>
        <w:t>本次项目生产工艺流程及产排污环节见图3.</w:t>
      </w:r>
      <w:r>
        <w:rPr>
          <w:rFonts w:hint="eastAsia"/>
          <w:sz w:val="24"/>
          <w:szCs w:val="24"/>
          <w:highlight w:val="none"/>
          <w:lang w:val="en-US" w:eastAsia="zh-CN"/>
        </w:rPr>
        <w:t>3</w:t>
      </w:r>
      <w:r>
        <w:rPr>
          <w:sz w:val="24"/>
          <w:szCs w:val="24"/>
          <w:highlight w:val="none"/>
        </w:rPr>
        <w:t>-1。</w:t>
      </w: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both"/>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pStyle w:val="26"/>
        <w:rPr>
          <w:rFonts w:eastAsia="黑体"/>
          <w:kern w:val="2"/>
          <w:sz w:val="21"/>
          <w:szCs w:val="21"/>
          <w:highlight w:val="green"/>
        </w:rPr>
      </w:pPr>
    </w:p>
    <w:p>
      <w:pPr>
        <w:spacing w:line="240" w:lineRule="auto"/>
        <w:ind w:firstLine="0" w:firstLineChars="0"/>
        <w:jc w:val="both"/>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r>
        <w:rPr>
          <w:sz w:val="28"/>
        </w:rPr>
        <w:pict>
          <v:rect id="_x0000_s2035" o:spid="_x0000_s2035" o:spt="1" style="position:absolute;left:0pt;margin-left:32.6pt;margin-top:6.75pt;height:217.5pt;width:373.4pt;z-index:251664384;mso-width-relative:page;mso-height-relative:page;" filled="f" stroked="t" coordsize="21600,21600">
            <v:path/>
            <v:fill on="f" focussize="0,0"/>
            <v:stroke color="#000000" dashstyle="dash"/>
            <v:imagedata o:title=""/>
            <o:lock v:ext="edit" aspectratio="f"/>
          </v:rect>
        </w:pict>
      </w:r>
      <w:r>
        <w:rPr>
          <w:highlight w:val="green"/>
        </w:rPr>
        <w:drawing>
          <wp:anchor distT="0" distB="0" distL="114300" distR="114300" simplePos="0" relativeHeight="251660288" behindDoc="0" locked="0" layoutInCell="1" allowOverlap="1">
            <wp:simplePos x="0" y="0"/>
            <wp:positionH relativeFrom="column">
              <wp:posOffset>-19050</wp:posOffset>
            </wp:positionH>
            <wp:positionV relativeFrom="paragraph">
              <wp:posOffset>63500</wp:posOffset>
            </wp:positionV>
            <wp:extent cx="5279390" cy="6710680"/>
            <wp:effectExtent l="0" t="0" r="16510" b="13970"/>
            <wp:wrapNone/>
            <wp:docPr id="2"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98"/>
                    <pic:cNvPicPr>
                      <a:picLocks noChangeAspect="1"/>
                    </pic:cNvPicPr>
                  </pic:nvPicPr>
                  <pic:blipFill>
                    <a:blip r:embed="rId26"/>
                    <a:stretch>
                      <a:fillRect/>
                    </a:stretch>
                  </pic:blipFill>
                  <pic:spPr>
                    <a:xfrm>
                      <a:off x="0" y="0"/>
                      <a:ext cx="5279390" cy="6710680"/>
                    </a:xfrm>
                    <a:prstGeom prst="rect">
                      <a:avLst/>
                    </a:prstGeom>
                    <a:noFill/>
                    <a:ln>
                      <a:noFill/>
                    </a:ln>
                  </pic:spPr>
                </pic:pic>
              </a:graphicData>
            </a:graphic>
          </wp:anchor>
        </w:drawing>
      </w: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r>
        <w:rPr>
          <w:sz w:val="21"/>
        </w:rPr>
        <w:pict>
          <v:group id="_x0000_s2039" o:spid="_x0000_s2039" o:spt="203" style="position:absolute;left:0pt;margin-left:14.6pt;margin-top:5.2pt;height:417.2pt;width:386.7pt;z-index:251664384;mso-width-relative:page;mso-height-relative:page;" coordorigin="6095,986451" coordsize="7734,8344">
            <o:lock v:ext="edit" aspectratio="f"/>
            <v:shape id="_x0000_s2026" o:spid="_x0000_s2026" o:spt="202" type="#_x0000_t202" style="position:absolute;left:10803;top:987777;height:233;width:623;"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18"/>
                        <w:szCs w:val="18"/>
                        <w:lang w:val="en-US" w:eastAsia="zh-CN"/>
                      </w:rPr>
                    </w:pPr>
                    <w:r>
                      <w:rPr>
                        <w:rFonts w:hint="eastAsia"/>
                        <w:sz w:val="18"/>
                        <w:szCs w:val="18"/>
                        <w:lang w:val="en-US" w:eastAsia="zh-CN"/>
                      </w:rPr>
                      <w:t>圆锥破</w:t>
                    </w:r>
                  </w:p>
                </w:txbxContent>
              </v:textbox>
            </v:shape>
            <v:shape id="_x0000_s2036" o:spid="_x0000_s2036" o:spt="202" type="#_x0000_t202" style="position:absolute;left:7477;top:986451;height:482;width:1590;"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28"/>
                        <w:szCs w:val="28"/>
                        <w:lang w:val="en-US" w:eastAsia="zh-CN"/>
                      </w:rPr>
                    </w:pPr>
                    <w:r>
                      <w:rPr>
                        <w:rFonts w:hint="eastAsia"/>
                        <w:sz w:val="28"/>
                        <w:szCs w:val="28"/>
                        <w:lang w:val="en-US" w:eastAsia="zh-CN"/>
                      </w:rPr>
                      <w:t>改扩建工程</w:t>
                    </w:r>
                  </w:p>
                </w:txbxContent>
              </v:textbox>
            </v:shape>
            <v:rect id="_x0000_s2037" o:spid="_x0000_s2037" o:spt="1" style="position:absolute;left:6095;top:990397;height:4399;width:7734;" filled="f" stroked="t" coordsize="21600,21600">
              <v:path/>
              <v:fill on="f" focussize="0,0"/>
              <v:stroke color="#000000" joinstyle="miter" dashstyle="dash"/>
              <v:imagedata o:title=""/>
              <o:lock v:ext="edit" aspectratio="f"/>
            </v:rect>
            <v:shape id="_x0000_s2038" o:spid="_x0000_s2038" o:spt="202" type="#_x0000_t202" style="position:absolute;left:7867;top:990557;height:482;width:1590;" fillcolor="#FFFFFF" filled="t" stroked="f" coordsize="21600,21600">
              <v:path/>
              <v:fill on="t" color2="#FFFFFF" focussize="0,0"/>
              <v:stroke on="f"/>
              <v:imagedata o:title=""/>
              <o:lock v:ext="edit" aspectratio="f"/>
              <v:textbox inset="0mm,0mm,0mm,0mm">
                <w:txbxContent>
                  <w:p>
                    <w:pPr>
                      <w:ind w:left="0" w:leftChars="0" w:firstLine="0" w:firstLineChars="0"/>
                      <w:rPr>
                        <w:rFonts w:hint="default" w:eastAsia="宋体"/>
                        <w:sz w:val="28"/>
                        <w:szCs w:val="28"/>
                        <w:lang w:val="en-US" w:eastAsia="zh-CN"/>
                      </w:rPr>
                    </w:pPr>
                    <w:r>
                      <w:rPr>
                        <w:rFonts w:hint="eastAsia"/>
                        <w:sz w:val="28"/>
                        <w:szCs w:val="28"/>
                        <w:lang w:val="en-US" w:eastAsia="zh-CN"/>
                      </w:rPr>
                      <w:t>现有工程</w:t>
                    </w:r>
                  </w:p>
                </w:txbxContent>
              </v:textbox>
            </v:shape>
          </v:group>
        </w:pict>
      </w: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1"/>
          <w:szCs w:val="21"/>
          <w:highlight w:val="green"/>
        </w:rPr>
      </w:pPr>
    </w:p>
    <w:p>
      <w:pPr>
        <w:spacing w:line="240" w:lineRule="auto"/>
        <w:ind w:firstLine="0" w:firstLineChars="0"/>
        <w:jc w:val="center"/>
        <w:rPr>
          <w:rFonts w:eastAsia="黑体"/>
          <w:kern w:val="2"/>
          <w:sz w:val="24"/>
          <w:szCs w:val="24"/>
          <w:highlight w:val="none"/>
        </w:rPr>
      </w:pPr>
      <w:r>
        <w:rPr>
          <w:rFonts w:eastAsia="黑体"/>
          <w:kern w:val="2"/>
          <w:sz w:val="24"/>
          <w:szCs w:val="24"/>
          <w:highlight w:val="none"/>
        </w:rPr>
        <w:t>图3.</w:t>
      </w:r>
      <w:r>
        <w:rPr>
          <w:rFonts w:hint="eastAsia" w:eastAsia="黑体"/>
          <w:kern w:val="2"/>
          <w:sz w:val="24"/>
          <w:szCs w:val="24"/>
          <w:highlight w:val="none"/>
          <w:lang w:val="en-US" w:eastAsia="zh-CN"/>
        </w:rPr>
        <w:t>3</w:t>
      </w:r>
      <w:r>
        <w:rPr>
          <w:rFonts w:eastAsia="黑体"/>
          <w:kern w:val="2"/>
          <w:sz w:val="24"/>
          <w:szCs w:val="24"/>
          <w:highlight w:val="none"/>
        </w:rPr>
        <w:t>-</w:t>
      </w:r>
      <w:r>
        <w:rPr>
          <w:rFonts w:hint="eastAsia" w:eastAsia="黑体"/>
          <w:kern w:val="2"/>
          <w:sz w:val="24"/>
          <w:szCs w:val="24"/>
          <w:highlight w:val="none"/>
          <w:lang w:val="en-US" w:eastAsia="zh-CN"/>
        </w:rPr>
        <w:t>1</w:t>
      </w:r>
      <w:r>
        <w:rPr>
          <w:rFonts w:hint="eastAsia" w:eastAsia="黑体"/>
          <w:kern w:val="2"/>
          <w:sz w:val="24"/>
          <w:szCs w:val="24"/>
          <w:highlight w:val="none"/>
        </w:rPr>
        <w:t xml:space="preserve">   </w:t>
      </w:r>
      <w:r>
        <w:rPr>
          <w:rFonts w:eastAsia="黑体"/>
          <w:kern w:val="2"/>
          <w:sz w:val="24"/>
          <w:szCs w:val="24"/>
          <w:highlight w:val="none"/>
        </w:rPr>
        <w:t>生产工艺流程及产排污环节分析</w:t>
      </w:r>
    </w:p>
    <w:p>
      <w:pPr>
        <w:tabs>
          <w:tab w:val="left" w:pos="180"/>
        </w:tabs>
        <w:ind w:firstLine="480"/>
        <w:jc w:val="both"/>
        <w:rPr>
          <w:bCs/>
          <w:sz w:val="24"/>
          <w:szCs w:val="24"/>
          <w:highlight w:val="green"/>
        </w:rPr>
      </w:pPr>
    </w:p>
    <w:p>
      <w:pPr>
        <w:tabs>
          <w:tab w:val="left" w:pos="180"/>
        </w:tabs>
        <w:ind w:firstLine="480"/>
        <w:jc w:val="both"/>
        <w:rPr>
          <w:bCs/>
          <w:sz w:val="24"/>
          <w:szCs w:val="24"/>
          <w:highlight w:val="green"/>
        </w:rPr>
      </w:pPr>
    </w:p>
    <w:p>
      <w:pPr>
        <w:spacing w:line="240" w:lineRule="auto"/>
        <w:ind w:firstLine="0" w:firstLineChars="0"/>
        <w:jc w:val="center"/>
        <w:rPr>
          <w:rFonts w:eastAsia="黑体"/>
          <w:kern w:val="2"/>
          <w:sz w:val="21"/>
          <w:szCs w:val="21"/>
          <w:highlight w:val="green"/>
        </w:rPr>
      </w:pPr>
    </w:p>
    <w:p>
      <w:pPr>
        <w:pStyle w:val="6"/>
        <w:numPr>
          <w:ilvl w:val="2"/>
          <w:numId w:val="1"/>
        </w:numPr>
        <w:spacing w:before="0" w:after="0"/>
        <w:ind w:left="567"/>
        <w:rPr>
          <w:szCs w:val="28"/>
          <w:highlight w:val="none"/>
        </w:rPr>
      </w:pPr>
      <w:bookmarkStart w:id="284" w:name="_Toc521591765"/>
      <w:bookmarkStart w:id="285" w:name="_Toc23645"/>
      <w:r>
        <w:rPr>
          <w:szCs w:val="28"/>
          <w:highlight w:val="none"/>
        </w:rPr>
        <w:t>产污节点</w:t>
      </w:r>
      <w:bookmarkEnd w:id="284"/>
      <w:bookmarkEnd w:id="285"/>
    </w:p>
    <w:p>
      <w:pPr>
        <w:ind w:firstLine="480"/>
        <w:rPr>
          <w:b/>
          <w:sz w:val="24"/>
          <w:szCs w:val="24"/>
          <w:highlight w:val="none"/>
        </w:rPr>
      </w:pPr>
      <w:r>
        <w:rPr>
          <w:sz w:val="24"/>
          <w:szCs w:val="24"/>
          <w:highlight w:val="none"/>
        </w:rPr>
        <w:t>本项目产污节点见表3.</w:t>
      </w:r>
      <w:r>
        <w:rPr>
          <w:rFonts w:hint="eastAsia"/>
          <w:sz w:val="24"/>
          <w:szCs w:val="24"/>
          <w:highlight w:val="none"/>
          <w:lang w:val="en-US" w:eastAsia="zh-CN"/>
        </w:rPr>
        <w:t>3</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3</w:t>
      </w:r>
      <w:r>
        <w:rPr>
          <w:rFonts w:eastAsia="黑体"/>
          <w:kern w:val="2"/>
          <w:sz w:val="21"/>
          <w:szCs w:val="21"/>
          <w:highlight w:val="none"/>
        </w:rPr>
        <w:t xml:space="preserve">-1    </w:t>
      </w:r>
      <w:r>
        <w:rPr>
          <w:rFonts w:hint="eastAsia" w:eastAsia="黑体"/>
          <w:kern w:val="2"/>
          <w:sz w:val="21"/>
          <w:szCs w:val="21"/>
          <w:highlight w:val="none"/>
          <w:lang w:val="en-US" w:eastAsia="zh-CN"/>
        </w:rPr>
        <w:t>本项目</w:t>
      </w:r>
      <w:r>
        <w:rPr>
          <w:rFonts w:eastAsia="黑体"/>
          <w:kern w:val="2"/>
          <w:sz w:val="21"/>
          <w:szCs w:val="21"/>
          <w:highlight w:val="none"/>
        </w:rPr>
        <w:t>产污节点及治理措施一览表</w:t>
      </w:r>
    </w:p>
    <w:tbl>
      <w:tblPr>
        <w:tblStyle w:val="48"/>
        <w:tblW w:w="836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715"/>
        <w:gridCol w:w="1639"/>
        <w:gridCol w:w="897"/>
        <w:gridCol w:w="633"/>
        <w:gridCol w:w="511"/>
        <w:gridCol w:w="3223"/>
        <w:gridCol w:w="744"/>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污染物</w:t>
            </w:r>
          </w:p>
          <w:p>
            <w:pPr>
              <w:widowControl/>
              <w:spacing w:line="240" w:lineRule="auto"/>
              <w:ind w:firstLine="0" w:firstLineChars="0"/>
              <w:jc w:val="center"/>
              <w:textAlignment w:val="auto"/>
              <w:rPr>
                <w:sz w:val="21"/>
                <w:szCs w:val="21"/>
                <w:highlight w:val="none"/>
              </w:rPr>
            </w:pPr>
            <w:r>
              <w:rPr>
                <w:sz w:val="21"/>
                <w:szCs w:val="21"/>
                <w:highlight w:val="none"/>
              </w:rPr>
              <w:t>类型</w:t>
            </w:r>
          </w:p>
        </w:tc>
        <w:tc>
          <w:tcPr>
            <w:tcW w:w="1639" w:type="dxa"/>
            <w:vAlign w:val="center"/>
          </w:tcPr>
          <w:p>
            <w:pPr>
              <w:widowControl/>
              <w:tabs>
                <w:tab w:val="left" w:pos="1620"/>
              </w:tabs>
              <w:spacing w:line="240" w:lineRule="auto"/>
              <w:ind w:firstLine="0" w:firstLineChars="0"/>
              <w:jc w:val="center"/>
              <w:textAlignment w:val="auto"/>
              <w:rPr>
                <w:sz w:val="21"/>
                <w:szCs w:val="21"/>
                <w:highlight w:val="none"/>
              </w:rPr>
            </w:pPr>
            <w:r>
              <w:rPr>
                <w:sz w:val="21"/>
                <w:szCs w:val="21"/>
                <w:highlight w:val="none"/>
              </w:rPr>
              <w:t>排污节点</w:t>
            </w:r>
          </w:p>
        </w:tc>
        <w:tc>
          <w:tcPr>
            <w:tcW w:w="897"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主要</w:t>
            </w:r>
          </w:p>
          <w:p>
            <w:pPr>
              <w:widowControl/>
              <w:spacing w:line="240" w:lineRule="auto"/>
              <w:ind w:firstLine="0" w:firstLineChars="0"/>
              <w:jc w:val="center"/>
              <w:textAlignment w:val="auto"/>
              <w:rPr>
                <w:sz w:val="21"/>
                <w:szCs w:val="21"/>
                <w:highlight w:val="none"/>
              </w:rPr>
            </w:pPr>
            <w:r>
              <w:rPr>
                <w:sz w:val="21"/>
                <w:szCs w:val="21"/>
                <w:highlight w:val="none"/>
              </w:rPr>
              <w:t>污染物</w:t>
            </w:r>
          </w:p>
        </w:tc>
        <w:tc>
          <w:tcPr>
            <w:tcW w:w="1144"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排放特征</w:t>
            </w:r>
          </w:p>
        </w:tc>
        <w:tc>
          <w:tcPr>
            <w:tcW w:w="322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环保措施</w:t>
            </w:r>
          </w:p>
        </w:tc>
        <w:tc>
          <w:tcPr>
            <w:tcW w:w="744"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排放去向</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废</w:t>
            </w:r>
          </w:p>
          <w:p>
            <w:pPr>
              <w:widowControl/>
              <w:spacing w:line="240" w:lineRule="auto"/>
              <w:ind w:firstLine="0" w:firstLineChars="0"/>
              <w:jc w:val="center"/>
              <w:textAlignment w:val="auto"/>
              <w:rPr>
                <w:sz w:val="21"/>
                <w:szCs w:val="21"/>
                <w:highlight w:val="none"/>
              </w:rPr>
            </w:pPr>
            <w:r>
              <w:rPr>
                <w:sz w:val="21"/>
                <w:szCs w:val="21"/>
                <w:highlight w:val="none"/>
              </w:rPr>
              <w:t>气</w:t>
            </w:r>
          </w:p>
        </w:tc>
        <w:tc>
          <w:tcPr>
            <w:tcW w:w="1639" w:type="dxa"/>
            <w:vAlign w:val="center"/>
          </w:tcPr>
          <w:p>
            <w:pPr>
              <w:autoSpaceDE w:val="0"/>
              <w:autoSpaceDN w:val="0"/>
              <w:adjustRightInd w:val="0"/>
              <w:spacing w:line="240" w:lineRule="auto"/>
              <w:ind w:firstLine="0" w:firstLineChars="0"/>
              <w:jc w:val="center"/>
              <w:rPr>
                <w:rFonts w:hint="eastAsia" w:eastAsia="宋体"/>
                <w:sz w:val="21"/>
                <w:szCs w:val="21"/>
                <w:highlight w:val="none"/>
                <w:lang w:eastAsia="zh-CN"/>
              </w:rPr>
            </w:pPr>
            <w:r>
              <w:rPr>
                <w:kern w:val="2"/>
                <w:sz w:val="21"/>
                <w:szCs w:val="21"/>
                <w:highlight w:val="none"/>
              </w:rPr>
              <w:t>原料卸料、</w:t>
            </w:r>
            <w:r>
              <w:rPr>
                <w:rFonts w:hint="eastAsia"/>
                <w:kern w:val="2"/>
                <w:sz w:val="21"/>
                <w:szCs w:val="21"/>
                <w:highlight w:val="none"/>
                <w:lang w:val="en-US" w:eastAsia="zh-CN"/>
              </w:rPr>
              <w:t>上料</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颗粒物</w:t>
            </w:r>
          </w:p>
        </w:tc>
        <w:tc>
          <w:tcPr>
            <w:tcW w:w="63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无组织</w:t>
            </w:r>
          </w:p>
        </w:tc>
        <w:tc>
          <w:tcPr>
            <w:tcW w:w="511"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lang w:val="en-US" w:eastAsia="zh-CN"/>
              </w:rPr>
              <w:t>建设</w:t>
            </w:r>
            <w:r>
              <w:rPr>
                <w:sz w:val="21"/>
                <w:szCs w:val="21"/>
                <w:highlight w:val="none"/>
              </w:rPr>
              <w:t>三面围挡并带顶的料棚，料棚进深尺度不小于8米</w:t>
            </w:r>
            <w:r>
              <w:rPr>
                <w:kern w:val="2"/>
                <w:sz w:val="21"/>
                <w:szCs w:val="21"/>
                <w:highlight w:val="none"/>
              </w:rPr>
              <w:t>、</w:t>
            </w:r>
            <w:r>
              <w:rPr>
                <w:rFonts w:hint="eastAsia"/>
                <w:kern w:val="2"/>
                <w:sz w:val="21"/>
                <w:szCs w:val="21"/>
                <w:highlight w:val="none"/>
                <w:lang w:val="en-US" w:eastAsia="zh-CN"/>
              </w:rPr>
              <w:t>设</w:t>
            </w:r>
            <w:r>
              <w:rPr>
                <w:kern w:val="2"/>
                <w:sz w:val="21"/>
                <w:szCs w:val="21"/>
                <w:highlight w:val="none"/>
              </w:rPr>
              <w:t>喷淋装置</w:t>
            </w:r>
          </w:p>
        </w:tc>
        <w:tc>
          <w:tcPr>
            <w:tcW w:w="744"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大气</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鄂式破碎</w:t>
            </w:r>
          </w:p>
        </w:tc>
        <w:tc>
          <w:tcPr>
            <w:tcW w:w="897" w:type="dxa"/>
            <w:vMerge w:val="restart"/>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颗粒物</w:t>
            </w:r>
          </w:p>
        </w:tc>
        <w:tc>
          <w:tcPr>
            <w:tcW w:w="633"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有组织</w:t>
            </w:r>
          </w:p>
        </w:tc>
        <w:tc>
          <w:tcPr>
            <w:tcW w:w="511"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Merge w:val="restart"/>
            <w:vAlign w:val="center"/>
          </w:tcPr>
          <w:p>
            <w:pPr>
              <w:widowControl/>
              <w:spacing w:line="240" w:lineRule="auto"/>
              <w:ind w:firstLine="0" w:firstLineChars="0"/>
              <w:jc w:val="center"/>
              <w:textAlignment w:val="auto"/>
              <w:rPr>
                <w:sz w:val="21"/>
                <w:szCs w:val="21"/>
                <w:highlight w:val="none"/>
              </w:rPr>
            </w:pPr>
            <w:r>
              <w:rPr>
                <w:kern w:val="24"/>
                <w:sz w:val="21"/>
                <w:szCs w:val="21"/>
                <w:highlight w:val="none"/>
              </w:rPr>
              <w:t>封闭车间、</w:t>
            </w:r>
            <w:r>
              <w:rPr>
                <w:rFonts w:hint="eastAsia"/>
                <w:kern w:val="24"/>
                <w:sz w:val="21"/>
                <w:szCs w:val="21"/>
                <w:highlight w:val="none"/>
              </w:rPr>
              <w:t>筛面封闭、</w:t>
            </w:r>
            <w:r>
              <w:rPr>
                <w:kern w:val="24"/>
                <w:sz w:val="21"/>
                <w:szCs w:val="21"/>
                <w:highlight w:val="none"/>
              </w:rPr>
              <w:t>集气罩收集后经</w:t>
            </w:r>
            <w:r>
              <w:rPr>
                <w:rFonts w:hint="eastAsia"/>
                <w:kern w:val="24"/>
                <w:sz w:val="21"/>
                <w:szCs w:val="21"/>
                <w:highlight w:val="none"/>
              </w:rPr>
              <w:t>离线</w:t>
            </w:r>
            <w:r>
              <w:rPr>
                <w:kern w:val="24"/>
                <w:sz w:val="21"/>
                <w:szCs w:val="21"/>
                <w:highlight w:val="none"/>
              </w:rPr>
              <w:t>脉冲</w:t>
            </w:r>
            <w:r>
              <w:rPr>
                <w:rFonts w:hint="eastAsia"/>
                <w:kern w:val="24"/>
                <w:sz w:val="21"/>
                <w:szCs w:val="21"/>
                <w:highlight w:val="none"/>
              </w:rPr>
              <w:t>布袋</w:t>
            </w:r>
            <w:r>
              <w:rPr>
                <w:kern w:val="24"/>
                <w:sz w:val="21"/>
                <w:szCs w:val="21"/>
                <w:highlight w:val="none"/>
              </w:rPr>
              <w:t>除尘器处理，最后由</w:t>
            </w:r>
            <w:r>
              <w:rPr>
                <w:rFonts w:hint="eastAsia"/>
                <w:kern w:val="24"/>
                <w:sz w:val="21"/>
                <w:szCs w:val="21"/>
                <w:highlight w:val="none"/>
              </w:rPr>
              <w:t>20</w:t>
            </w:r>
            <w:r>
              <w:rPr>
                <w:kern w:val="24"/>
                <w:sz w:val="21"/>
                <w:szCs w:val="21"/>
                <w:highlight w:val="none"/>
              </w:rPr>
              <w:t>m高排气筒排放</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rFonts w:hint="eastAsia"/>
                <w:sz w:val="21"/>
                <w:szCs w:val="21"/>
                <w:highlight w:val="none"/>
                <w:lang w:val="en-US" w:eastAsia="zh-CN"/>
              </w:rPr>
              <w:t>圆锥</w:t>
            </w:r>
            <w:r>
              <w:rPr>
                <w:sz w:val="21"/>
                <w:szCs w:val="21"/>
                <w:highlight w:val="none"/>
              </w:rPr>
              <w:t>破碎</w:t>
            </w:r>
          </w:p>
        </w:tc>
        <w:tc>
          <w:tcPr>
            <w:tcW w:w="897" w:type="dxa"/>
            <w:vMerge w:val="continue"/>
            <w:vAlign w:val="center"/>
          </w:tcPr>
          <w:p>
            <w:pPr>
              <w:autoSpaceDE w:val="0"/>
              <w:autoSpaceDN w:val="0"/>
              <w:adjustRightInd w:val="0"/>
              <w:spacing w:line="240" w:lineRule="auto"/>
              <w:ind w:firstLine="0" w:firstLineChars="0"/>
              <w:jc w:val="center"/>
              <w:rPr>
                <w:sz w:val="21"/>
                <w:szCs w:val="21"/>
                <w:highlight w:val="none"/>
              </w:rPr>
            </w:pPr>
          </w:p>
        </w:tc>
        <w:tc>
          <w:tcPr>
            <w:tcW w:w="633" w:type="dxa"/>
            <w:vMerge w:val="continue"/>
            <w:vAlign w:val="center"/>
          </w:tcPr>
          <w:p>
            <w:pPr>
              <w:widowControl/>
              <w:spacing w:line="240" w:lineRule="auto"/>
              <w:ind w:firstLine="0" w:firstLineChars="0"/>
              <w:jc w:val="center"/>
              <w:textAlignment w:val="auto"/>
              <w:rPr>
                <w:sz w:val="21"/>
                <w:szCs w:val="21"/>
                <w:highlight w:val="none"/>
              </w:rPr>
            </w:pPr>
          </w:p>
        </w:tc>
        <w:tc>
          <w:tcPr>
            <w:tcW w:w="511" w:type="dxa"/>
            <w:vMerge w:val="continue"/>
            <w:vAlign w:val="center"/>
          </w:tcPr>
          <w:p>
            <w:pPr>
              <w:widowControl/>
              <w:spacing w:line="240" w:lineRule="auto"/>
              <w:ind w:firstLine="0" w:firstLineChars="0"/>
              <w:jc w:val="center"/>
              <w:textAlignment w:val="auto"/>
              <w:rPr>
                <w:sz w:val="21"/>
                <w:szCs w:val="21"/>
                <w:highlight w:val="none"/>
              </w:rPr>
            </w:pPr>
          </w:p>
        </w:tc>
        <w:tc>
          <w:tcPr>
            <w:tcW w:w="3223" w:type="dxa"/>
            <w:vMerge w:val="continue"/>
            <w:vAlign w:val="center"/>
          </w:tcPr>
          <w:p>
            <w:pPr>
              <w:widowControl/>
              <w:spacing w:line="240" w:lineRule="auto"/>
              <w:ind w:firstLine="0" w:firstLineChars="0"/>
              <w:jc w:val="center"/>
              <w:textAlignment w:val="auto"/>
              <w:rPr>
                <w:kern w:val="24"/>
                <w:sz w:val="21"/>
                <w:szCs w:val="21"/>
                <w:highlight w:val="none"/>
              </w:rPr>
            </w:pP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94"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筛分</w:t>
            </w:r>
          </w:p>
        </w:tc>
        <w:tc>
          <w:tcPr>
            <w:tcW w:w="897" w:type="dxa"/>
            <w:vMerge w:val="continue"/>
            <w:vAlign w:val="center"/>
          </w:tcPr>
          <w:p>
            <w:pPr>
              <w:autoSpaceDE w:val="0"/>
              <w:autoSpaceDN w:val="0"/>
              <w:adjustRightInd w:val="0"/>
              <w:spacing w:line="240" w:lineRule="auto"/>
              <w:ind w:firstLine="0" w:firstLineChars="0"/>
              <w:jc w:val="center"/>
              <w:rPr>
                <w:sz w:val="21"/>
                <w:szCs w:val="21"/>
                <w:highlight w:val="none"/>
              </w:rPr>
            </w:pPr>
          </w:p>
        </w:tc>
        <w:tc>
          <w:tcPr>
            <w:tcW w:w="633" w:type="dxa"/>
            <w:vMerge w:val="continue"/>
            <w:vAlign w:val="center"/>
          </w:tcPr>
          <w:p>
            <w:pPr>
              <w:widowControl/>
              <w:spacing w:line="240" w:lineRule="auto"/>
              <w:ind w:firstLine="0" w:firstLineChars="0"/>
              <w:jc w:val="center"/>
              <w:textAlignment w:val="auto"/>
              <w:rPr>
                <w:sz w:val="21"/>
                <w:szCs w:val="21"/>
                <w:highlight w:val="none"/>
              </w:rPr>
            </w:pPr>
          </w:p>
        </w:tc>
        <w:tc>
          <w:tcPr>
            <w:tcW w:w="511" w:type="dxa"/>
            <w:vMerge w:val="continue"/>
            <w:vAlign w:val="center"/>
          </w:tcPr>
          <w:p>
            <w:pPr>
              <w:widowControl/>
              <w:spacing w:line="240" w:lineRule="auto"/>
              <w:ind w:firstLine="0" w:firstLineChars="0"/>
              <w:jc w:val="center"/>
              <w:textAlignment w:val="auto"/>
              <w:rPr>
                <w:sz w:val="21"/>
                <w:szCs w:val="21"/>
                <w:highlight w:val="none"/>
              </w:rPr>
            </w:pPr>
          </w:p>
        </w:tc>
        <w:tc>
          <w:tcPr>
            <w:tcW w:w="3223" w:type="dxa"/>
            <w:vMerge w:val="continue"/>
            <w:vAlign w:val="center"/>
          </w:tcPr>
          <w:p>
            <w:pPr>
              <w:widowControl/>
              <w:spacing w:line="240" w:lineRule="auto"/>
              <w:ind w:firstLine="0" w:firstLineChars="0"/>
              <w:jc w:val="center"/>
              <w:textAlignment w:val="auto"/>
              <w:rPr>
                <w:kern w:val="24"/>
                <w:sz w:val="21"/>
                <w:szCs w:val="21"/>
                <w:highlight w:val="none"/>
              </w:rPr>
            </w:pP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576"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rFonts w:hint="eastAsia"/>
                <w:sz w:val="21"/>
                <w:szCs w:val="21"/>
                <w:highlight w:val="none"/>
              </w:rPr>
              <w:t>中转矿仓</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rFonts w:hint="eastAsia"/>
                <w:sz w:val="21"/>
                <w:szCs w:val="21"/>
                <w:highlight w:val="none"/>
              </w:rPr>
              <w:t>颗粒物</w:t>
            </w:r>
          </w:p>
        </w:tc>
        <w:tc>
          <w:tcPr>
            <w:tcW w:w="633"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有组织</w:t>
            </w:r>
          </w:p>
        </w:tc>
        <w:tc>
          <w:tcPr>
            <w:tcW w:w="511"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连续</w:t>
            </w:r>
          </w:p>
        </w:tc>
        <w:tc>
          <w:tcPr>
            <w:tcW w:w="3223" w:type="dxa"/>
            <w:vMerge w:val="continue"/>
            <w:vAlign w:val="center"/>
          </w:tcPr>
          <w:p>
            <w:pPr>
              <w:widowControl/>
              <w:spacing w:line="240" w:lineRule="auto"/>
              <w:ind w:firstLine="0" w:firstLineChars="0"/>
              <w:jc w:val="center"/>
              <w:textAlignment w:val="auto"/>
              <w:rPr>
                <w:kern w:val="24"/>
                <w:sz w:val="21"/>
                <w:szCs w:val="21"/>
                <w:highlight w:val="none"/>
              </w:rPr>
            </w:pP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运输道路</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颗粒物</w:t>
            </w:r>
          </w:p>
        </w:tc>
        <w:tc>
          <w:tcPr>
            <w:tcW w:w="63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无组织</w:t>
            </w:r>
          </w:p>
        </w:tc>
        <w:tc>
          <w:tcPr>
            <w:tcW w:w="511"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间断</w:t>
            </w:r>
          </w:p>
        </w:tc>
        <w:tc>
          <w:tcPr>
            <w:tcW w:w="3223" w:type="dxa"/>
            <w:vAlign w:val="center"/>
          </w:tcPr>
          <w:p>
            <w:pPr>
              <w:widowControl/>
              <w:spacing w:line="240" w:lineRule="auto"/>
              <w:ind w:firstLine="0" w:firstLineChars="0"/>
              <w:jc w:val="center"/>
              <w:textAlignment w:val="auto"/>
              <w:rPr>
                <w:sz w:val="21"/>
                <w:szCs w:val="21"/>
                <w:highlight w:val="none"/>
              </w:rPr>
            </w:pPr>
            <w:r>
              <w:rPr>
                <w:kern w:val="24"/>
                <w:sz w:val="21"/>
                <w:szCs w:val="21"/>
                <w:highlight w:val="none"/>
              </w:rPr>
              <w:t>厂区地面全部硬化，洒水降尘、保持清洁，设置洗车平台</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物料转运</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颗粒物</w:t>
            </w:r>
          </w:p>
        </w:tc>
        <w:tc>
          <w:tcPr>
            <w:tcW w:w="63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无组织</w:t>
            </w:r>
          </w:p>
        </w:tc>
        <w:tc>
          <w:tcPr>
            <w:tcW w:w="511"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Align w:val="center"/>
          </w:tcPr>
          <w:p>
            <w:pPr>
              <w:widowControl/>
              <w:spacing w:line="240" w:lineRule="auto"/>
              <w:ind w:firstLine="0" w:firstLineChars="0"/>
              <w:jc w:val="center"/>
              <w:textAlignment w:val="auto"/>
              <w:rPr>
                <w:sz w:val="21"/>
                <w:szCs w:val="21"/>
                <w:highlight w:val="none"/>
              </w:rPr>
            </w:pPr>
            <w:r>
              <w:rPr>
                <w:kern w:val="24"/>
                <w:sz w:val="21"/>
                <w:szCs w:val="21"/>
                <w:highlight w:val="none"/>
              </w:rPr>
              <w:t>设置全封闭输送廊道</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废</w:t>
            </w:r>
          </w:p>
          <w:p>
            <w:pPr>
              <w:widowControl/>
              <w:spacing w:line="240" w:lineRule="auto"/>
              <w:ind w:firstLine="0" w:firstLineChars="0"/>
              <w:jc w:val="center"/>
              <w:textAlignment w:val="auto"/>
              <w:rPr>
                <w:sz w:val="21"/>
                <w:szCs w:val="21"/>
                <w:highlight w:val="none"/>
              </w:rPr>
            </w:pPr>
            <w:r>
              <w:rPr>
                <w:sz w:val="21"/>
                <w:szCs w:val="21"/>
                <w:highlight w:val="none"/>
              </w:rPr>
              <w:t>水</w:t>
            </w:r>
          </w:p>
        </w:tc>
        <w:tc>
          <w:tcPr>
            <w:tcW w:w="1639"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lang w:val="en-US" w:eastAsia="zh-CN"/>
              </w:rPr>
              <w:t>生产</w:t>
            </w:r>
            <w:r>
              <w:rPr>
                <w:sz w:val="21"/>
                <w:szCs w:val="21"/>
                <w:highlight w:val="none"/>
              </w:rPr>
              <w:t>废水</w:t>
            </w:r>
          </w:p>
        </w:tc>
        <w:tc>
          <w:tcPr>
            <w:tcW w:w="897"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SS</w:t>
            </w:r>
          </w:p>
        </w:tc>
        <w:tc>
          <w:tcPr>
            <w:tcW w:w="1144"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lang w:val="en-US" w:eastAsia="zh-CN"/>
              </w:rPr>
              <w:t>经管道输送至北厂区干排系统处理</w:t>
            </w:r>
            <w:r>
              <w:rPr>
                <w:sz w:val="21"/>
                <w:szCs w:val="21"/>
                <w:highlight w:val="none"/>
              </w:rPr>
              <w:t>经后进入清水池循环利用，不外排</w:t>
            </w:r>
          </w:p>
        </w:tc>
        <w:tc>
          <w:tcPr>
            <w:tcW w:w="744"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噪</w:t>
            </w:r>
          </w:p>
          <w:p>
            <w:pPr>
              <w:widowControl/>
              <w:spacing w:line="240" w:lineRule="auto"/>
              <w:ind w:firstLine="0" w:firstLineChars="0"/>
              <w:jc w:val="center"/>
              <w:textAlignment w:val="auto"/>
              <w:rPr>
                <w:sz w:val="21"/>
                <w:szCs w:val="21"/>
                <w:highlight w:val="none"/>
              </w:rPr>
            </w:pPr>
            <w:r>
              <w:rPr>
                <w:sz w:val="21"/>
                <w:szCs w:val="21"/>
                <w:highlight w:val="none"/>
              </w:rPr>
              <w:t>声</w:t>
            </w:r>
          </w:p>
        </w:tc>
        <w:tc>
          <w:tcPr>
            <w:tcW w:w="1639"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破碎机、振动筛、、磁选机、水泵等</w:t>
            </w:r>
          </w:p>
        </w:tc>
        <w:tc>
          <w:tcPr>
            <w:tcW w:w="897" w:type="dxa"/>
            <w:vAlign w:val="center"/>
          </w:tcPr>
          <w:p>
            <w:pPr>
              <w:widowControl/>
              <w:spacing w:line="240" w:lineRule="auto"/>
              <w:ind w:firstLine="0" w:firstLineChars="0"/>
              <w:jc w:val="center"/>
              <w:textAlignment w:val="auto"/>
              <w:rPr>
                <w:sz w:val="21"/>
                <w:szCs w:val="21"/>
                <w:highlight w:val="none"/>
                <w:vertAlign w:val="subscript"/>
              </w:rPr>
            </w:pPr>
            <w:r>
              <w:rPr>
                <w:sz w:val="21"/>
                <w:szCs w:val="21"/>
                <w:highlight w:val="none"/>
              </w:rPr>
              <w:t>噪声</w:t>
            </w:r>
          </w:p>
        </w:tc>
        <w:tc>
          <w:tcPr>
            <w:tcW w:w="1144"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厂房隔声、</w:t>
            </w:r>
            <w:r>
              <w:rPr>
                <w:rFonts w:hint="eastAsia"/>
                <w:sz w:val="21"/>
                <w:szCs w:val="21"/>
                <w:highlight w:val="none"/>
              </w:rPr>
              <w:t>吸声、</w:t>
            </w:r>
            <w:r>
              <w:rPr>
                <w:sz w:val="21"/>
                <w:szCs w:val="21"/>
                <w:highlight w:val="none"/>
              </w:rPr>
              <w:t>基础减振等</w:t>
            </w:r>
          </w:p>
        </w:tc>
        <w:tc>
          <w:tcPr>
            <w:tcW w:w="744"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外环境</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722" w:hRule="atLeast"/>
          <w:jc w:val="center"/>
        </w:trPr>
        <w:tc>
          <w:tcPr>
            <w:tcW w:w="715"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固废</w:t>
            </w:r>
          </w:p>
        </w:tc>
        <w:tc>
          <w:tcPr>
            <w:tcW w:w="1639" w:type="dxa"/>
            <w:tcBorders>
              <w:bottom w:val="single" w:color="auto" w:sz="4" w:space="0"/>
            </w:tcBorders>
            <w:vAlign w:val="center"/>
          </w:tcPr>
          <w:p>
            <w:pPr>
              <w:autoSpaceDE w:val="0"/>
              <w:autoSpaceDN w:val="0"/>
              <w:adjustRightInd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生产过程</w:t>
            </w:r>
          </w:p>
        </w:tc>
        <w:tc>
          <w:tcPr>
            <w:tcW w:w="897" w:type="dxa"/>
            <w:tcBorders>
              <w:bottom w:val="single" w:color="auto" w:sz="4" w:space="0"/>
            </w:tcBorders>
            <w:vAlign w:val="center"/>
          </w:tcPr>
          <w:p>
            <w:pPr>
              <w:autoSpaceDE w:val="0"/>
              <w:autoSpaceDN w:val="0"/>
              <w:adjustRightInd w:val="0"/>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砂石料</w:t>
            </w:r>
          </w:p>
        </w:tc>
        <w:tc>
          <w:tcPr>
            <w:tcW w:w="1144" w:type="dxa"/>
            <w:gridSpan w:val="2"/>
            <w:tcBorders>
              <w:bottom w:val="single" w:color="auto" w:sz="4" w:space="0"/>
            </w:tcBorders>
            <w:vAlign w:val="center"/>
          </w:tcPr>
          <w:p>
            <w:pPr>
              <w:ind w:firstLine="0" w:firstLineChars="0"/>
              <w:jc w:val="center"/>
              <w:rPr>
                <w:sz w:val="21"/>
                <w:szCs w:val="21"/>
                <w:highlight w:val="none"/>
              </w:rPr>
            </w:pPr>
            <w:r>
              <w:rPr>
                <w:sz w:val="21"/>
                <w:szCs w:val="21"/>
                <w:highlight w:val="none"/>
              </w:rPr>
              <w:t>连续</w:t>
            </w:r>
          </w:p>
        </w:tc>
        <w:tc>
          <w:tcPr>
            <w:tcW w:w="3223" w:type="dxa"/>
            <w:tcBorders>
              <w:bottom w:val="single" w:color="auto" w:sz="4" w:space="0"/>
            </w:tcBorders>
            <w:vAlign w:val="center"/>
          </w:tcPr>
          <w:p>
            <w:pPr>
              <w:widowControl/>
              <w:spacing w:line="240" w:lineRule="auto"/>
              <w:ind w:firstLine="0" w:firstLineChars="0"/>
              <w:jc w:val="center"/>
              <w:textAlignment w:val="auto"/>
              <w:rPr>
                <w:rFonts w:hint="eastAsia" w:eastAsia="宋体"/>
                <w:sz w:val="21"/>
                <w:szCs w:val="21"/>
                <w:highlight w:val="none"/>
                <w:lang w:eastAsia="zh-CN"/>
              </w:rPr>
            </w:pPr>
            <w:r>
              <w:rPr>
                <w:rFonts w:hint="eastAsia"/>
                <w:sz w:val="21"/>
                <w:szCs w:val="21"/>
                <w:highlight w:val="none"/>
              </w:rPr>
              <w:t>作</w:t>
            </w:r>
            <w:r>
              <w:rPr>
                <w:rFonts w:hint="eastAsia"/>
                <w:sz w:val="21"/>
                <w:szCs w:val="21"/>
                <w:highlight w:val="none"/>
                <w:lang w:val="en-US" w:eastAsia="zh-CN"/>
              </w:rPr>
              <w:t>为</w:t>
            </w:r>
            <w:r>
              <w:rPr>
                <w:rFonts w:hint="eastAsia"/>
                <w:sz w:val="21"/>
                <w:szCs w:val="21"/>
                <w:highlight w:val="none"/>
              </w:rPr>
              <w:t>建筑材料</w:t>
            </w:r>
            <w:r>
              <w:rPr>
                <w:rFonts w:hint="eastAsia"/>
                <w:sz w:val="21"/>
                <w:szCs w:val="21"/>
                <w:highlight w:val="none"/>
                <w:lang w:val="en-US" w:eastAsia="zh-CN"/>
              </w:rPr>
              <w:t>外售</w:t>
            </w:r>
          </w:p>
        </w:tc>
        <w:tc>
          <w:tcPr>
            <w:tcW w:w="744" w:type="dxa"/>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Merge w:val="restart"/>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设备维护、检修</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rFonts w:hint="eastAsia"/>
                <w:sz w:val="21"/>
                <w:szCs w:val="21"/>
                <w:highlight w:val="none"/>
              </w:rPr>
              <w:t>废矿物油</w:t>
            </w:r>
          </w:p>
        </w:tc>
        <w:tc>
          <w:tcPr>
            <w:tcW w:w="1144" w:type="dxa"/>
            <w:gridSpan w:val="2"/>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间断</w:t>
            </w:r>
          </w:p>
        </w:tc>
        <w:tc>
          <w:tcPr>
            <w:tcW w:w="3223" w:type="dxa"/>
            <w:vMerge w:val="restart"/>
            <w:vAlign w:val="center"/>
          </w:tcPr>
          <w:p>
            <w:pPr>
              <w:spacing w:line="240" w:lineRule="auto"/>
              <w:ind w:firstLine="0" w:firstLineChars="0"/>
              <w:jc w:val="center"/>
              <w:rPr>
                <w:sz w:val="21"/>
                <w:szCs w:val="21"/>
                <w:highlight w:val="none"/>
              </w:rPr>
            </w:pPr>
            <w:r>
              <w:rPr>
                <w:sz w:val="21"/>
                <w:szCs w:val="21"/>
                <w:highlight w:val="none"/>
              </w:rPr>
              <w:t>置于危废暂存间内，委托有资质单位安全处置</w:t>
            </w:r>
          </w:p>
        </w:tc>
        <w:tc>
          <w:tcPr>
            <w:tcW w:w="744"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Merge w:val="continue"/>
            <w:vAlign w:val="center"/>
          </w:tcPr>
          <w:p>
            <w:pPr>
              <w:autoSpaceDE w:val="0"/>
              <w:autoSpaceDN w:val="0"/>
              <w:adjustRightInd w:val="0"/>
              <w:spacing w:line="240" w:lineRule="auto"/>
              <w:ind w:firstLine="0" w:firstLineChars="0"/>
              <w:jc w:val="center"/>
              <w:rPr>
                <w:sz w:val="21"/>
                <w:szCs w:val="21"/>
                <w:highlight w:val="none"/>
              </w:rPr>
            </w:pP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废油桶</w:t>
            </w:r>
          </w:p>
        </w:tc>
        <w:tc>
          <w:tcPr>
            <w:tcW w:w="1144" w:type="dxa"/>
            <w:gridSpan w:val="2"/>
            <w:vMerge w:val="continue"/>
            <w:vAlign w:val="center"/>
          </w:tcPr>
          <w:p>
            <w:pPr>
              <w:widowControl/>
              <w:spacing w:line="240" w:lineRule="auto"/>
              <w:ind w:firstLine="0" w:firstLineChars="0"/>
              <w:jc w:val="center"/>
              <w:textAlignment w:val="auto"/>
              <w:rPr>
                <w:sz w:val="21"/>
                <w:szCs w:val="21"/>
                <w:highlight w:val="none"/>
              </w:rPr>
            </w:pPr>
          </w:p>
        </w:tc>
        <w:tc>
          <w:tcPr>
            <w:tcW w:w="3223" w:type="dxa"/>
            <w:vMerge w:val="continue"/>
            <w:vAlign w:val="center"/>
          </w:tcPr>
          <w:p>
            <w:pPr>
              <w:spacing w:line="240" w:lineRule="auto"/>
              <w:ind w:firstLine="0" w:firstLineChars="0"/>
              <w:jc w:val="center"/>
              <w:rPr>
                <w:sz w:val="21"/>
                <w:szCs w:val="21"/>
                <w:highlight w:val="none"/>
              </w:rPr>
            </w:pP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废气治理</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粉尘</w:t>
            </w:r>
          </w:p>
        </w:tc>
        <w:tc>
          <w:tcPr>
            <w:tcW w:w="1144"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间断</w:t>
            </w:r>
          </w:p>
        </w:tc>
        <w:tc>
          <w:tcPr>
            <w:tcW w:w="3223" w:type="dxa"/>
            <w:vAlign w:val="center"/>
          </w:tcPr>
          <w:p>
            <w:pPr>
              <w:spacing w:line="240" w:lineRule="auto"/>
              <w:ind w:firstLine="0" w:firstLineChars="0"/>
              <w:jc w:val="center"/>
              <w:rPr>
                <w:sz w:val="21"/>
                <w:szCs w:val="21"/>
                <w:highlight w:val="none"/>
              </w:rPr>
            </w:pPr>
            <w:r>
              <w:rPr>
                <w:rFonts w:hint="eastAsia"/>
                <w:sz w:val="21"/>
                <w:szCs w:val="21"/>
                <w:highlight w:val="none"/>
              </w:rPr>
              <w:t>进入球磨工序，</w:t>
            </w:r>
            <w:r>
              <w:rPr>
                <w:sz w:val="21"/>
                <w:szCs w:val="21"/>
                <w:highlight w:val="none"/>
              </w:rPr>
              <w:t>回用于生产</w:t>
            </w:r>
          </w:p>
        </w:tc>
        <w:tc>
          <w:tcPr>
            <w:tcW w:w="744"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不外排</w:t>
            </w:r>
          </w:p>
        </w:tc>
      </w:tr>
    </w:tbl>
    <w:p>
      <w:pPr>
        <w:pStyle w:val="6"/>
        <w:numPr>
          <w:ilvl w:val="2"/>
          <w:numId w:val="1"/>
        </w:numPr>
        <w:spacing w:before="0" w:after="0"/>
        <w:ind w:left="567"/>
        <w:rPr>
          <w:szCs w:val="28"/>
          <w:highlight w:val="none"/>
        </w:rPr>
      </w:pPr>
      <w:bookmarkStart w:id="286" w:name="_Toc30053"/>
      <w:bookmarkStart w:id="287" w:name="_Toc521591766"/>
      <w:r>
        <w:rPr>
          <w:szCs w:val="28"/>
          <w:highlight w:val="none"/>
        </w:rPr>
        <w:t>物料平衡</w:t>
      </w:r>
      <w:bookmarkEnd w:id="286"/>
      <w:bookmarkEnd w:id="287"/>
    </w:p>
    <w:p>
      <w:pPr>
        <w:ind w:firstLine="480"/>
        <w:jc w:val="both"/>
        <w:rPr>
          <w:sz w:val="24"/>
          <w:szCs w:val="24"/>
          <w:highlight w:val="none"/>
        </w:rPr>
      </w:pPr>
      <w:r>
        <w:rPr>
          <w:rFonts w:hint="eastAsia"/>
          <w:sz w:val="24"/>
          <w:szCs w:val="24"/>
          <w:highlight w:val="none"/>
          <w:lang w:val="en-US" w:eastAsia="zh-CN"/>
        </w:rPr>
        <w:t>改扩建项目实施后全厂</w:t>
      </w:r>
      <w:r>
        <w:rPr>
          <w:sz w:val="24"/>
          <w:szCs w:val="24"/>
          <w:highlight w:val="none"/>
        </w:rPr>
        <w:t>物料平衡表见表3.</w:t>
      </w:r>
      <w:r>
        <w:rPr>
          <w:rFonts w:hint="eastAsia"/>
          <w:sz w:val="24"/>
          <w:szCs w:val="24"/>
          <w:highlight w:val="none"/>
          <w:lang w:val="en-US" w:eastAsia="zh-CN"/>
        </w:rPr>
        <w:t>3</w:t>
      </w:r>
      <w:r>
        <w:rPr>
          <w:sz w:val="24"/>
          <w:szCs w:val="24"/>
          <w:highlight w:val="none"/>
        </w:rPr>
        <w:t>-2，铁元素平衡见表3.</w:t>
      </w:r>
      <w:r>
        <w:rPr>
          <w:rFonts w:hint="eastAsia"/>
          <w:sz w:val="24"/>
          <w:szCs w:val="24"/>
          <w:highlight w:val="none"/>
          <w:lang w:val="en-US" w:eastAsia="zh-CN"/>
        </w:rPr>
        <w:t>3</w:t>
      </w:r>
      <w:r>
        <w:rPr>
          <w:sz w:val="24"/>
          <w:szCs w:val="24"/>
          <w:highlight w:val="none"/>
        </w:rPr>
        <w:t>-</w:t>
      </w:r>
      <w:r>
        <w:rPr>
          <w:rFonts w:hint="eastAsia"/>
          <w:sz w:val="24"/>
          <w:szCs w:val="24"/>
          <w:highlight w:val="none"/>
          <w:lang w:val="en-US" w:eastAsia="zh-CN"/>
        </w:rPr>
        <w:t>3</w:t>
      </w:r>
      <w:r>
        <w:rPr>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3</w:t>
      </w:r>
      <w:r>
        <w:rPr>
          <w:rFonts w:eastAsia="黑体"/>
          <w:kern w:val="2"/>
          <w:sz w:val="21"/>
          <w:szCs w:val="21"/>
          <w:highlight w:val="none"/>
        </w:rPr>
        <w:t>-2   物料平衡表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2124"/>
        <w:gridCol w:w="772"/>
        <w:gridCol w:w="1236"/>
        <w:gridCol w:w="315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投入</w:t>
            </w:r>
          </w:p>
        </w:tc>
        <w:tc>
          <w:tcPr>
            <w:tcW w:w="2124"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收入项（t/a）</w:t>
            </w:r>
          </w:p>
        </w:tc>
        <w:tc>
          <w:tcPr>
            <w:tcW w:w="2008" w:type="dxa"/>
            <w:gridSpan w:val="2"/>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产出</w:t>
            </w:r>
          </w:p>
        </w:tc>
        <w:tc>
          <w:tcPr>
            <w:tcW w:w="3155"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支出项（t/a）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铁矿石</w:t>
            </w:r>
          </w:p>
        </w:tc>
        <w:tc>
          <w:tcPr>
            <w:tcW w:w="2124"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lang w:val="en-US" w:eastAsia="zh-CN"/>
              </w:rPr>
              <w:t>60</w:t>
            </w:r>
            <w:r>
              <w:rPr>
                <w:rFonts w:hint="eastAsia"/>
                <w:kern w:val="2"/>
                <w:sz w:val="21"/>
                <w:szCs w:val="21"/>
                <w:highlight w:val="none"/>
              </w:rPr>
              <w:t>0000</w:t>
            </w:r>
          </w:p>
        </w:tc>
        <w:tc>
          <w:tcPr>
            <w:tcW w:w="7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1</w:t>
            </w:r>
          </w:p>
        </w:tc>
        <w:tc>
          <w:tcPr>
            <w:tcW w:w="1236"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铁精粉</w:t>
            </w:r>
          </w:p>
        </w:tc>
        <w:tc>
          <w:tcPr>
            <w:tcW w:w="3155" w:type="dxa"/>
            <w:vAlign w:val="center"/>
          </w:tcPr>
          <w:p>
            <w:pPr>
              <w:spacing w:line="240" w:lineRule="auto"/>
              <w:ind w:firstLine="0" w:firstLineChars="0"/>
              <w:jc w:val="center"/>
              <w:textAlignment w:val="auto"/>
              <w:rPr>
                <w:kern w:val="2"/>
                <w:sz w:val="21"/>
                <w:szCs w:val="21"/>
                <w:highlight w:val="none"/>
              </w:rPr>
            </w:pPr>
            <w:r>
              <w:rPr>
                <w:rFonts w:hint="eastAsia"/>
                <w:sz w:val="21"/>
                <w:szCs w:val="21"/>
                <w:highlight w:val="none"/>
                <w:lang w:val="en-US" w:eastAsia="zh-CN"/>
              </w:rPr>
              <w:t>25</w:t>
            </w:r>
            <w:r>
              <w:rPr>
                <w:rFonts w:hint="eastAsia"/>
                <w:sz w:val="21"/>
                <w:szCs w:val="21"/>
                <w:highlight w:val="none"/>
              </w:rPr>
              <w:t>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continue"/>
            <w:vAlign w:val="center"/>
          </w:tcPr>
          <w:p>
            <w:pPr>
              <w:spacing w:line="240" w:lineRule="auto"/>
              <w:ind w:firstLine="0" w:firstLineChars="0"/>
              <w:jc w:val="center"/>
              <w:textAlignment w:val="auto"/>
              <w:rPr>
                <w:kern w:val="2"/>
                <w:sz w:val="21"/>
                <w:szCs w:val="21"/>
                <w:highlight w:val="none"/>
              </w:rPr>
            </w:pPr>
          </w:p>
        </w:tc>
        <w:tc>
          <w:tcPr>
            <w:tcW w:w="2124" w:type="dxa"/>
            <w:vMerge w:val="continue"/>
            <w:vAlign w:val="center"/>
          </w:tcPr>
          <w:p>
            <w:pPr>
              <w:spacing w:line="240" w:lineRule="auto"/>
              <w:ind w:firstLine="0" w:firstLineChars="0"/>
              <w:jc w:val="center"/>
              <w:textAlignment w:val="auto"/>
              <w:rPr>
                <w:kern w:val="2"/>
                <w:sz w:val="21"/>
                <w:szCs w:val="21"/>
                <w:highlight w:val="none"/>
              </w:rPr>
            </w:pPr>
          </w:p>
        </w:tc>
        <w:tc>
          <w:tcPr>
            <w:tcW w:w="7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2</w:t>
            </w:r>
          </w:p>
        </w:tc>
        <w:tc>
          <w:tcPr>
            <w:tcW w:w="1236"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尾矿砂</w:t>
            </w:r>
          </w:p>
        </w:tc>
        <w:tc>
          <w:tcPr>
            <w:tcW w:w="3155" w:type="dxa"/>
            <w:vAlign w:val="center"/>
          </w:tcPr>
          <w:p>
            <w:pPr>
              <w:spacing w:line="240" w:lineRule="auto"/>
              <w:ind w:firstLine="0" w:firstLineChars="0"/>
              <w:jc w:val="center"/>
              <w:textAlignment w:val="auto"/>
              <w:rPr>
                <w:rFonts w:hint="default"/>
                <w:kern w:val="2"/>
                <w:sz w:val="21"/>
                <w:szCs w:val="21"/>
                <w:highlight w:val="none"/>
                <w:lang w:val="en-US"/>
              </w:rPr>
            </w:pPr>
            <w:r>
              <w:rPr>
                <w:rFonts w:hint="eastAsia"/>
                <w:kern w:val="2"/>
                <w:sz w:val="21"/>
                <w:szCs w:val="21"/>
                <w:highlight w:val="none"/>
                <w:lang w:val="en-US" w:eastAsia="zh-CN"/>
              </w:rPr>
              <w:t>236961.824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continue"/>
            <w:vAlign w:val="center"/>
          </w:tcPr>
          <w:p>
            <w:pPr>
              <w:spacing w:line="240" w:lineRule="auto"/>
              <w:ind w:firstLine="0" w:firstLineChars="0"/>
              <w:jc w:val="center"/>
              <w:textAlignment w:val="auto"/>
              <w:rPr>
                <w:kern w:val="2"/>
                <w:sz w:val="21"/>
                <w:szCs w:val="21"/>
                <w:highlight w:val="none"/>
              </w:rPr>
            </w:pPr>
          </w:p>
        </w:tc>
        <w:tc>
          <w:tcPr>
            <w:tcW w:w="2124" w:type="dxa"/>
            <w:vMerge w:val="continue"/>
            <w:vAlign w:val="center"/>
          </w:tcPr>
          <w:p>
            <w:pPr>
              <w:spacing w:line="240" w:lineRule="auto"/>
              <w:ind w:firstLine="0" w:firstLineChars="0"/>
              <w:jc w:val="center"/>
              <w:textAlignment w:val="auto"/>
              <w:rPr>
                <w:kern w:val="2"/>
                <w:sz w:val="21"/>
                <w:szCs w:val="21"/>
                <w:highlight w:val="none"/>
              </w:rPr>
            </w:pPr>
          </w:p>
        </w:tc>
        <w:tc>
          <w:tcPr>
            <w:tcW w:w="772" w:type="dxa"/>
            <w:vAlign w:val="center"/>
          </w:tcPr>
          <w:p>
            <w:pPr>
              <w:spacing w:line="240" w:lineRule="auto"/>
              <w:ind w:firstLine="0" w:firstLineChars="0"/>
              <w:jc w:val="center"/>
              <w:textAlignment w:val="auto"/>
              <w:rPr>
                <w:rFonts w:hint="eastAsia" w:eastAsia="宋体"/>
                <w:kern w:val="2"/>
                <w:sz w:val="21"/>
                <w:szCs w:val="21"/>
                <w:highlight w:val="none"/>
                <w:lang w:val="en-US" w:eastAsia="zh-CN"/>
              </w:rPr>
            </w:pPr>
            <w:r>
              <w:rPr>
                <w:rFonts w:hint="eastAsia"/>
                <w:kern w:val="2"/>
                <w:sz w:val="21"/>
                <w:szCs w:val="21"/>
                <w:highlight w:val="none"/>
                <w:lang w:val="en-US" w:eastAsia="zh-CN"/>
              </w:rPr>
              <w:t>3</w:t>
            </w:r>
          </w:p>
        </w:tc>
        <w:tc>
          <w:tcPr>
            <w:tcW w:w="1236"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lang w:val="en-US" w:eastAsia="zh-CN"/>
              </w:rPr>
              <w:t>砂石料</w:t>
            </w:r>
          </w:p>
        </w:tc>
        <w:tc>
          <w:tcPr>
            <w:tcW w:w="3155"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113125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continue"/>
            <w:vAlign w:val="center"/>
          </w:tcPr>
          <w:p>
            <w:pPr>
              <w:spacing w:line="240" w:lineRule="auto"/>
              <w:ind w:firstLine="0" w:firstLineChars="0"/>
              <w:jc w:val="center"/>
              <w:textAlignment w:val="auto"/>
              <w:rPr>
                <w:kern w:val="2"/>
                <w:sz w:val="21"/>
                <w:szCs w:val="21"/>
                <w:highlight w:val="none"/>
              </w:rPr>
            </w:pPr>
          </w:p>
        </w:tc>
        <w:tc>
          <w:tcPr>
            <w:tcW w:w="2124" w:type="dxa"/>
            <w:vMerge w:val="continue"/>
            <w:vAlign w:val="center"/>
          </w:tcPr>
          <w:p>
            <w:pPr>
              <w:spacing w:line="240" w:lineRule="auto"/>
              <w:ind w:firstLine="0" w:firstLineChars="0"/>
              <w:jc w:val="center"/>
              <w:textAlignment w:val="auto"/>
              <w:rPr>
                <w:kern w:val="2"/>
                <w:sz w:val="21"/>
                <w:szCs w:val="21"/>
                <w:highlight w:val="none"/>
              </w:rPr>
            </w:pPr>
          </w:p>
        </w:tc>
        <w:tc>
          <w:tcPr>
            <w:tcW w:w="772" w:type="dxa"/>
            <w:vAlign w:val="center"/>
          </w:tcPr>
          <w:p>
            <w:pPr>
              <w:spacing w:line="240" w:lineRule="auto"/>
              <w:ind w:firstLine="0" w:firstLineChars="0"/>
              <w:jc w:val="center"/>
              <w:textAlignment w:val="auto"/>
              <w:rPr>
                <w:rFonts w:hint="eastAsia" w:eastAsia="宋体"/>
                <w:kern w:val="2"/>
                <w:sz w:val="21"/>
                <w:szCs w:val="21"/>
                <w:highlight w:val="none"/>
                <w:lang w:eastAsia="zh-CN"/>
              </w:rPr>
            </w:pPr>
            <w:r>
              <w:rPr>
                <w:rFonts w:hint="eastAsia"/>
                <w:kern w:val="2"/>
                <w:sz w:val="21"/>
                <w:szCs w:val="21"/>
                <w:highlight w:val="none"/>
                <w:lang w:val="en-US" w:eastAsia="zh-CN"/>
              </w:rPr>
              <w:t>4</w:t>
            </w:r>
          </w:p>
        </w:tc>
        <w:tc>
          <w:tcPr>
            <w:tcW w:w="1236"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颗粒物</w:t>
            </w:r>
          </w:p>
        </w:tc>
        <w:tc>
          <w:tcPr>
            <w:tcW w:w="3155"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sz w:val="21"/>
                <w:szCs w:val="21"/>
                <w:highlight w:val="none"/>
                <w:lang w:val="en-US" w:eastAsia="zh-CN"/>
              </w:rPr>
              <w:t>7.676（本项目新增3.386）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钢球</w:t>
            </w:r>
          </w:p>
        </w:tc>
        <w:tc>
          <w:tcPr>
            <w:tcW w:w="2124"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105</w:t>
            </w:r>
          </w:p>
        </w:tc>
        <w:tc>
          <w:tcPr>
            <w:tcW w:w="772" w:type="dxa"/>
            <w:vAlign w:val="center"/>
          </w:tcPr>
          <w:p>
            <w:pPr>
              <w:spacing w:line="240" w:lineRule="auto"/>
              <w:ind w:firstLine="0" w:firstLineChars="0"/>
              <w:jc w:val="center"/>
              <w:textAlignment w:val="auto"/>
              <w:rPr>
                <w:rFonts w:hint="eastAsia" w:eastAsia="宋体"/>
                <w:kern w:val="2"/>
                <w:sz w:val="21"/>
                <w:szCs w:val="21"/>
                <w:highlight w:val="none"/>
                <w:lang w:eastAsia="zh-CN"/>
              </w:rPr>
            </w:pPr>
            <w:r>
              <w:rPr>
                <w:rFonts w:hint="eastAsia"/>
                <w:kern w:val="2"/>
                <w:sz w:val="21"/>
                <w:szCs w:val="21"/>
                <w:highlight w:val="none"/>
                <w:lang w:val="en-US" w:eastAsia="zh-CN"/>
              </w:rPr>
              <w:t>5</w:t>
            </w:r>
          </w:p>
        </w:tc>
        <w:tc>
          <w:tcPr>
            <w:tcW w:w="1236"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废钢球</w:t>
            </w:r>
          </w:p>
        </w:tc>
        <w:tc>
          <w:tcPr>
            <w:tcW w:w="3155" w:type="dxa"/>
            <w:vAlign w:val="center"/>
          </w:tcPr>
          <w:p>
            <w:pPr>
              <w:spacing w:line="240" w:lineRule="auto"/>
              <w:ind w:firstLine="0" w:firstLineChars="0"/>
              <w:jc w:val="center"/>
              <w:textAlignment w:val="auto"/>
              <w:rPr>
                <w:sz w:val="21"/>
                <w:szCs w:val="21"/>
                <w:highlight w:val="none"/>
              </w:rPr>
            </w:pPr>
            <w:r>
              <w:rPr>
                <w:rFonts w:hint="eastAsia"/>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合计</w:t>
            </w:r>
          </w:p>
        </w:tc>
        <w:tc>
          <w:tcPr>
            <w:tcW w:w="2124" w:type="dxa"/>
            <w:vAlign w:val="center"/>
          </w:tcPr>
          <w:p>
            <w:pPr>
              <w:spacing w:line="240" w:lineRule="auto"/>
              <w:ind w:firstLine="0" w:firstLineChars="0"/>
              <w:jc w:val="center"/>
              <w:textAlignment w:val="auto"/>
              <w:rPr>
                <w:bCs/>
                <w:kern w:val="2"/>
                <w:sz w:val="21"/>
                <w:szCs w:val="21"/>
                <w:highlight w:val="none"/>
              </w:rPr>
            </w:pPr>
            <w:r>
              <w:rPr>
                <w:rFonts w:hint="eastAsia"/>
                <w:bCs/>
                <w:kern w:val="2"/>
                <w:sz w:val="21"/>
                <w:szCs w:val="21"/>
                <w:highlight w:val="none"/>
              </w:rPr>
              <w:t>486980</w:t>
            </w:r>
          </w:p>
        </w:tc>
        <w:tc>
          <w:tcPr>
            <w:tcW w:w="2008" w:type="dxa"/>
            <w:gridSpan w:val="2"/>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合计</w:t>
            </w:r>
          </w:p>
        </w:tc>
        <w:tc>
          <w:tcPr>
            <w:tcW w:w="3155"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486980</w:t>
            </w:r>
          </w:p>
        </w:tc>
      </w:tr>
    </w:tbl>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3</w:t>
      </w:r>
      <w:r>
        <w:rPr>
          <w:rFonts w:eastAsia="黑体"/>
          <w:kern w:val="2"/>
          <w:sz w:val="21"/>
          <w:szCs w:val="21"/>
          <w:highlight w:val="none"/>
        </w:rPr>
        <w:t>-3    铁元素平衡计算表（t/a）</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72"/>
        <w:gridCol w:w="1820"/>
        <w:gridCol w:w="2272"/>
        <w:gridCol w:w="215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364" w:type="dxa"/>
            <w:gridSpan w:val="3"/>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元素名称</w:t>
            </w:r>
          </w:p>
        </w:tc>
        <w:tc>
          <w:tcPr>
            <w:tcW w:w="2158" w:type="dxa"/>
            <w:vAlign w:val="center"/>
          </w:tcPr>
          <w:p>
            <w:pPr>
              <w:spacing w:line="240" w:lineRule="auto"/>
              <w:ind w:firstLine="0" w:firstLineChars="0"/>
              <w:jc w:val="center"/>
              <w:rPr>
                <w:kern w:val="2"/>
                <w:sz w:val="21"/>
                <w:szCs w:val="21"/>
                <w:highlight w:val="none"/>
              </w:rPr>
            </w:pPr>
            <w:r>
              <w:rPr>
                <w:kern w:val="2"/>
                <w:sz w:val="21"/>
                <w:szCs w:val="21"/>
                <w:highlight w:val="none"/>
              </w:rPr>
              <w:t>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投入部分</w:t>
            </w:r>
          </w:p>
        </w:tc>
        <w:tc>
          <w:tcPr>
            <w:tcW w:w="1820"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铁</w:t>
            </w:r>
            <w:r>
              <w:rPr>
                <w:kern w:val="2"/>
                <w:sz w:val="21"/>
                <w:szCs w:val="21"/>
                <w:highlight w:val="none"/>
              </w:rPr>
              <w:t>矿石</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lang w:val="en-US" w:eastAsia="zh-CN"/>
              </w:rPr>
              <w:t>60</w:t>
            </w:r>
            <w:r>
              <w:rPr>
                <w:kern w:val="2"/>
                <w:sz w:val="21"/>
                <w:szCs w:val="21"/>
                <w:highlight w:val="none"/>
              </w:rPr>
              <w:t>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lang w:val="en-US" w:eastAsia="zh-CN"/>
              </w:rPr>
              <w:t>29</w:t>
            </w: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174000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钢球</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合计</w:t>
            </w:r>
          </w:p>
        </w:tc>
        <w:tc>
          <w:tcPr>
            <w:tcW w:w="2272"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元素质量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174105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restart"/>
            <w:vAlign w:val="center"/>
          </w:tcPr>
          <w:p>
            <w:pPr>
              <w:spacing w:line="240" w:lineRule="auto"/>
              <w:ind w:firstLine="0" w:firstLineChars="0"/>
              <w:jc w:val="center"/>
              <w:rPr>
                <w:kern w:val="2"/>
                <w:sz w:val="21"/>
                <w:szCs w:val="21"/>
                <w:highlight w:val="none"/>
              </w:rPr>
            </w:pPr>
            <w:r>
              <w:rPr>
                <w:kern w:val="2"/>
                <w:sz w:val="21"/>
                <w:szCs w:val="21"/>
                <w:highlight w:val="none"/>
              </w:rPr>
              <w:t>产出部分</w:t>
            </w:r>
          </w:p>
        </w:tc>
        <w:tc>
          <w:tcPr>
            <w:tcW w:w="1820"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铁精粉</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250000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66</w:t>
            </w: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165000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尾矿砂</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lang w:val="en-US" w:eastAsia="zh-CN"/>
              </w:rPr>
              <w:t>236961.824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sz w:val="21"/>
                <w:szCs w:val="21"/>
                <w:highlight w:val="none"/>
                <w:lang w:val="en-US" w:eastAsia="zh-CN"/>
              </w:rPr>
              <w:t>2.2</w:t>
            </w: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sz w:val="21"/>
                <w:szCs w:val="21"/>
                <w:highlight w:val="none"/>
                <w:lang w:val="en-US" w:eastAsia="zh-CN"/>
              </w:rPr>
              <w:t>5132.438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rFonts w:hint="eastAsia" w:eastAsia="宋体"/>
                <w:kern w:val="2"/>
                <w:sz w:val="21"/>
                <w:szCs w:val="21"/>
                <w:highlight w:val="none"/>
                <w:lang w:val="en-US" w:eastAsia="zh-CN"/>
              </w:rPr>
            </w:pPr>
            <w:r>
              <w:rPr>
                <w:rFonts w:hint="eastAsia"/>
                <w:kern w:val="2"/>
                <w:sz w:val="21"/>
                <w:szCs w:val="21"/>
                <w:highlight w:val="none"/>
                <w:lang w:val="en-US" w:eastAsia="zh-CN"/>
              </w:rPr>
              <w:t>砂石料</w:t>
            </w:r>
          </w:p>
        </w:tc>
        <w:tc>
          <w:tcPr>
            <w:tcW w:w="2272" w:type="dxa"/>
            <w:vAlign w:val="center"/>
          </w:tcPr>
          <w:p>
            <w:pPr>
              <w:spacing w:line="240" w:lineRule="auto"/>
              <w:ind w:firstLine="0" w:firstLineChars="0"/>
              <w:jc w:val="center"/>
              <w:textAlignment w:val="auto"/>
              <w:rPr>
                <w:rFonts w:ascii="Times New Roman" w:hAnsi="Times New Roman" w:eastAsia="宋体" w:cs="Times New Roman"/>
                <w:kern w:val="2"/>
                <w:sz w:val="21"/>
                <w:szCs w:val="21"/>
                <w:highlight w:val="none"/>
                <w:lang w:val="en-US" w:eastAsia="zh-CN" w:bidi="ar-SA"/>
              </w:rPr>
            </w:pPr>
            <w:r>
              <w:rPr>
                <w:kern w:val="2"/>
                <w:sz w:val="21"/>
                <w:szCs w:val="21"/>
                <w:highlight w:val="none"/>
              </w:rPr>
              <w:t>质量</w:t>
            </w:r>
          </w:p>
        </w:tc>
        <w:tc>
          <w:tcPr>
            <w:tcW w:w="2158" w:type="dxa"/>
            <w:vAlign w:val="center"/>
          </w:tcPr>
          <w:p>
            <w:pPr>
              <w:spacing w:line="240" w:lineRule="auto"/>
              <w:ind w:firstLine="0" w:firstLineChars="0"/>
              <w:jc w:val="center"/>
              <w:textAlignment w:val="auto"/>
              <w:rPr>
                <w:rFonts w:hint="eastAsia"/>
                <w:sz w:val="21"/>
                <w:szCs w:val="21"/>
                <w:highlight w:val="none"/>
                <w:lang w:val="en-US" w:eastAsia="zh-CN"/>
              </w:rPr>
            </w:pPr>
            <w:r>
              <w:rPr>
                <w:rFonts w:hint="eastAsia"/>
                <w:kern w:val="2"/>
                <w:sz w:val="21"/>
                <w:szCs w:val="21"/>
                <w:highlight w:val="none"/>
                <w:lang w:val="en-US" w:eastAsia="zh-CN"/>
              </w:rPr>
              <w:t>113125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rFonts w:hint="eastAsia"/>
                <w:kern w:val="2"/>
                <w:sz w:val="21"/>
                <w:szCs w:val="21"/>
                <w:highlight w:val="none"/>
                <w:lang w:val="en-US" w:eastAsia="zh-CN"/>
              </w:rPr>
            </w:pPr>
          </w:p>
        </w:tc>
        <w:tc>
          <w:tcPr>
            <w:tcW w:w="2272" w:type="dxa"/>
            <w:vAlign w:val="center"/>
          </w:tcPr>
          <w:p>
            <w:pPr>
              <w:spacing w:line="240" w:lineRule="auto"/>
              <w:ind w:firstLine="0" w:firstLineChars="0"/>
              <w:jc w:val="center"/>
              <w:textAlignment w:val="auto"/>
              <w:rPr>
                <w:rFonts w:ascii="Times New Roman" w:hAnsi="Times New Roman" w:eastAsia="宋体" w:cs="Times New Roman"/>
                <w:kern w:val="2"/>
                <w:sz w:val="21"/>
                <w:szCs w:val="21"/>
                <w:highlight w:val="none"/>
                <w:lang w:val="en-US" w:eastAsia="zh-CN" w:bidi="ar-SA"/>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rFonts w:hint="eastAsia"/>
                <w:kern w:val="2"/>
                <w:sz w:val="21"/>
                <w:szCs w:val="21"/>
                <w:highlight w:val="none"/>
                <w:lang w:val="en-US" w:eastAsia="zh-CN"/>
              </w:rPr>
            </w:pPr>
          </w:p>
        </w:tc>
        <w:tc>
          <w:tcPr>
            <w:tcW w:w="2272" w:type="dxa"/>
            <w:vAlign w:val="center"/>
          </w:tcPr>
          <w:p>
            <w:pPr>
              <w:spacing w:line="240" w:lineRule="auto"/>
              <w:ind w:firstLine="0" w:firstLineChars="0"/>
              <w:jc w:val="center"/>
              <w:textAlignment w:val="auto"/>
              <w:rPr>
                <w:rFonts w:ascii="Times New Roman" w:hAnsi="Times New Roman" w:eastAsia="宋体" w:cs="Times New Roman"/>
                <w:kern w:val="2"/>
                <w:sz w:val="21"/>
                <w:szCs w:val="21"/>
                <w:highlight w:val="none"/>
                <w:lang w:val="en-US" w:eastAsia="zh-CN" w:bidi="ar-SA"/>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3959.375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粉尘</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sz w:val="21"/>
                <w:szCs w:val="21"/>
                <w:highlight w:val="none"/>
                <w:lang w:val="en-US" w:eastAsia="zh-CN"/>
              </w:rPr>
              <w:t>7.676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sz w:val="21"/>
                <w:szCs w:val="21"/>
                <w:highlight w:val="none"/>
                <w:lang w:val="en-US" w:eastAsia="zh-CN"/>
              </w:rPr>
              <w:t>3</w:t>
            </w:r>
            <w:r>
              <w:rPr>
                <w:rFonts w:hint="eastAsia"/>
                <w:sz w:val="21"/>
                <w:szCs w:val="21"/>
                <w:highlight w:val="none"/>
              </w:rPr>
              <w:t>5</w:t>
            </w: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sz w:val="21"/>
                <w:szCs w:val="21"/>
                <w:highlight w:val="none"/>
                <w:lang w:val="en-US" w:eastAsia="zh-CN"/>
              </w:rPr>
              <w:t>2.687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废钢球</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sz w:val="21"/>
                <w:szCs w:val="21"/>
                <w:highlight w:val="none"/>
              </w:rPr>
            </w:pPr>
            <w:r>
              <w:rPr>
                <w:rFonts w:hint="eastAsia"/>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sz w:val="21"/>
                <w:szCs w:val="21"/>
                <w:highlight w:val="none"/>
              </w:rPr>
            </w:pPr>
            <w:r>
              <w:rPr>
                <w:sz w:val="21"/>
                <w:szCs w:val="21"/>
                <w:highlight w:val="none"/>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sz w:val="21"/>
                <w:szCs w:val="21"/>
                <w:highlight w:val="none"/>
              </w:rPr>
            </w:pPr>
            <w:r>
              <w:rPr>
                <w:rFonts w:hint="eastAsia"/>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Align w:val="center"/>
          </w:tcPr>
          <w:p>
            <w:pPr>
              <w:spacing w:line="240" w:lineRule="auto"/>
              <w:ind w:firstLine="0" w:firstLineChars="0"/>
              <w:jc w:val="center"/>
              <w:textAlignment w:val="auto"/>
              <w:rPr>
                <w:bCs/>
                <w:kern w:val="2"/>
                <w:sz w:val="21"/>
                <w:szCs w:val="21"/>
                <w:highlight w:val="none"/>
              </w:rPr>
            </w:pPr>
            <w:r>
              <w:rPr>
                <w:bCs/>
                <w:kern w:val="2"/>
                <w:sz w:val="21"/>
                <w:szCs w:val="21"/>
                <w:highlight w:val="none"/>
              </w:rPr>
              <w:t>合计</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174105</w:t>
            </w:r>
          </w:p>
        </w:tc>
      </w:tr>
    </w:tbl>
    <w:p>
      <w:pPr>
        <w:spacing w:before="120" w:beforeLines="50" w:line="240" w:lineRule="auto"/>
        <w:ind w:firstLine="0" w:firstLineChars="0"/>
        <w:jc w:val="center"/>
        <w:textAlignment w:val="auto"/>
        <w:rPr>
          <w:rFonts w:eastAsia="黑体"/>
          <w:kern w:val="2"/>
          <w:sz w:val="21"/>
          <w:szCs w:val="21"/>
          <w:highlight w:val="green"/>
        </w:rPr>
      </w:pP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88" w:name="_Toc9834"/>
      <w:bookmarkStart w:id="289" w:name="_Toc22360"/>
      <w:bookmarkStart w:id="290" w:name="_Toc24701"/>
      <w:bookmarkStart w:id="291" w:name="_Toc524284667"/>
      <w:bookmarkStart w:id="292" w:name="_Toc521591767"/>
      <w:bookmarkStart w:id="293" w:name="_Toc536557289"/>
      <w:r>
        <w:rPr>
          <w:rFonts w:ascii="Times New Roman" w:hAnsi="Times New Roman" w:eastAsia="宋体"/>
          <w:bCs w:val="0"/>
          <w:snapToGrid w:val="0"/>
          <w:kern w:val="0"/>
          <w:sz w:val="28"/>
          <w:szCs w:val="28"/>
          <w:highlight w:val="none"/>
        </w:rPr>
        <w:t>污染源源强核算</w:t>
      </w:r>
      <w:bookmarkEnd w:id="288"/>
      <w:bookmarkEnd w:id="289"/>
      <w:bookmarkEnd w:id="290"/>
      <w:bookmarkEnd w:id="291"/>
      <w:bookmarkEnd w:id="292"/>
      <w:bookmarkEnd w:id="293"/>
    </w:p>
    <w:p>
      <w:pPr>
        <w:pStyle w:val="6"/>
        <w:rPr>
          <w:highlight w:val="none"/>
        </w:rPr>
      </w:pPr>
      <w:bookmarkStart w:id="294" w:name="_Toc27951"/>
      <w:r>
        <w:rPr>
          <w:highlight w:val="none"/>
        </w:rPr>
        <w:t>3.</w:t>
      </w:r>
      <w:r>
        <w:rPr>
          <w:rFonts w:hint="eastAsia"/>
          <w:highlight w:val="none"/>
          <w:lang w:val="en-US" w:eastAsia="zh-CN"/>
        </w:rPr>
        <w:t>4</w:t>
      </w:r>
      <w:r>
        <w:rPr>
          <w:highlight w:val="none"/>
        </w:rPr>
        <w:t>.1施工期污染源强核算</w:t>
      </w:r>
      <w:bookmarkEnd w:id="294"/>
    </w:p>
    <w:p>
      <w:pPr>
        <w:pStyle w:val="3"/>
        <w:rPr>
          <w:rFonts w:eastAsiaTheme="minorEastAsia"/>
          <w:b/>
          <w:highlight w:val="none"/>
        </w:rPr>
      </w:pPr>
      <w:r>
        <w:rPr>
          <w:rFonts w:eastAsiaTheme="minorEastAsia"/>
          <w:b/>
          <w:highlight w:val="none"/>
        </w:rPr>
        <w:t>3.</w:t>
      </w:r>
      <w:r>
        <w:rPr>
          <w:rFonts w:hint="eastAsia" w:eastAsiaTheme="minorEastAsia"/>
          <w:b/>
          <w:highlight w:val="none"/>
          <w:lang w:val="en-US" w:eastAsia="zh-CN"/>
        </w:rPr>
        <w:t>4</w:t>
      </w:r>
      <w:r>
        <w:rPr>
          <w:rFonts w:eastAsiaTheme="minorEastAsia"/>
          <w:b/>
          <w:highlight w:val="none"/>
        </w:rPr>
        <w:t>.1.1</w:t>
      </w:r>
      <w:r>
        <w:rPr>
          <w:rFonts w:hAnsiTheme="minorEastAsia" w:eastAsiaTheme="minorEastAsia"/>
          <w:b/>
          <w:highlight w:val="none"/>
        </w:rPr>
        <w:t>大气污染源</w:t>
      </w:r>
    </w:p>
    <w:p>
      <w:pPr>
        <w:ind w:firstLine="480"/>
        <w:jc w:val="both"/>
        <w:rPr>
          <w:bCs/>
          <w:sz w:val="24"/>
          <w:szCs w:val="24"/>
          <w:highlight w:val="none"/>
        </w:rPr>
      </w:pPr>
      <w:r>
        <w:rPr>
          <w:bCs/>
          <w:sz w:val="24"/>
          <w:szCs w:val="24"/>
          <w:highlight w:val="none"/>
        </w:rPr>
        <w:t>本项目施工期大气污染源主要为</w:t>
      </w:r>
      <w:r>
        <w:rPr>
          <w:rFonts w:hint="eastAsia"/>
          <w:bCs/>
          <w:sz w:val="24"/>
          <w:szCs w:val="24"/>
          <w:highlight w:val="none"/>
        </w:rPr>
        <w:t>土建及</w:t>
      </w:r>
      <w:r>
        <w:rPr>
          <w:bCs/>
          <w:sz w:val="24"/>
          <w:szCs w:val="24"/>
          <w:highlight w:val="none"/>
        </w:rPr>
        <w:t>场地平整等过程产生的扬尘，以及运输车辆、施工机械产生的燃油废气。</w:t>
      </w:r>
    </w:p>
    <w:p>
      <w:pPr>
        <w:ind w:firstLine="480"/>
        <w:jc w:val="both"/>
        <w:rPr>
          <w:bCs/>
          <w:sz w:val="24"/>
          <w:szCs w:val="24"/>
          <w:highlight w:val="none"/>
        </w:rPr>
      </w:pPr>
      <w:r>
        <w:rPr>
          <w:bCs/>
          <w:sz w:val="24"/>
          <w:szCs w:val="24"/>
          <w:highlight w:val="none"/>
        </w:rPr>
        <w:t>（1）扬尘</w:t>
      </w:r>
    </w:p>
    <w:p>
      <w:pPr>
        <w:ind w:firstLine="480"/>
        <w:jc w:val="both"/>
        <w:rPr>
          <w:bCs/>
          <w:sz w:val="24"/>
          <w:szCs w:val="24"/>
          <w:highlight w:val="none"/>
        </w:rPr>
      </w:pPr>
      <w:r>
        <w:rPr>
          <w:bCs/>
          <w:sz w:val="24"/>
          <w:szCs w:val="24"/>
          <w:highlight w:val="none"/>
        </w:rPr>
        <w:t>施工过程中场地平整等过程产生的扬尘使周边空气环境中的TSP浓度增加。根据类比资料，施工扬尘的起尘量与许多因素有关。影响起尘量的因素包括：基础施工起尘量、施工渣土堆场起尘量、进出车辆夹带泥砂量、弃土外运装载起尘量以及起尘高度、采取的防护措施、空气湿度、风速等因素有关。施工现场周围扬尘浓度与源强大小及距离有关。根据类似项目的现场测定，施工扬尘一般在洒水情况下，扬尘量会小于土方量的0.1％；在干燥情况下，可以达到土方量的1%以上，影响距离不大于100m；在洒水和避免大风日施工情况下，下风向50m处TSP预测浓度会小于0.3mg/m</w:t>
      </w:r>
      <w:r>
        <w:rPr>
          <w:bCs/>
          <w:sz w:val="24"/>
          <w:szCs w:val="24"/>
          <w:highlight w:val="none"/>
          <w:vertAlign w:val="superscript"/>
        </w:rPr>
        <w:t>3</w:t>
      </w:r>
      <w:r>
        <w:rPr>
          <w:bCs/>
          <w:sz w:val="24"/>
          <w:szCs w:val="24"/>
          <w:highlight w:val="none"/>
        </w:rPr>
        <w:t>。</w:t>
      </w:r>
    </w:p>
    <w:p>
      <w:pPr>
        <w:ind w:firstLine="480"/>
        <w:jc w:val="both"/>
        <w:rPr>
          <w:bCs/>
          <w:sz w:val="24"/>
          <w:szCs w:val="24"/>
          <w:highlight w:val="none"/>
        </w:rPr>
      </w:pPr>
      <w:r>
        <w:rPr>
          <w:bCs/>
          <w:sz w:val="24"/>
          <w:szCs w:val="24"/>
          <w:highlight w:val="none"/>
        </w:rPr>
        <w:t>（2）施工机械、机动车辆排放的尾气</w:t>
      </w:r>
    </w:p>
    <w:p>
      <w:pPr>
        <w:ind w:firstLine="480"/>
        <w:jc w:val="both"/>
        <w:rPr>
          <w:bCs/>
          <w:sz w:val="24"/>
          <w:szCs w:val="24"/>
          <w:highlight w:val="none"/>
        </w:rPr>
      </w:pPr>
      <w:r>
        <w:rPr>
          <w:bCs/>
          <w:sz w:val="24"/>
          <w:szCs w:val="24"/>
          <w:highlight w:val="none"/>
        </w:rPr>
        <w:t>施工中将会有各种工程及运输用车来往于施工现场，主要有运输卡车、翻斗车、挖掘机、铲车、推土机等。一般燃汽油和柴油卡车排放的尾气中均含有颗粒物、CO、NOx等有害物质。</w:t>
      </w:r>
    </w:p>
    <w:p>
      <w:pPr>
        <w:ind w:firstLine="480"/>
        <w:jc w:val="both"/>
        <w:rPr>
          <w:bCs/>
          <w:sz w:val="24"/>
          <w:szCs w:val="24"/>
          <w:highlight w:val="none"/>
        </w:rPr>
      </w:pPr>
      <w:r>
        <w:rPr>
          <w:bCs/>
          <w:sz w:val="24"/>
          <w:szCs w:val="24"/>
          <w:highlight w:val="none"/>
        </w:rPr>
        <w:t>施工现场汽车尾气对大气环境的影响有如下几个特点：</w:t>
      </w:r>
    </w:p>
    <w:p>
      <w:pPr>
        <w:ind w:firstLine="480"/>
        <w:jc w:val="both"/>
        <w:rPr>
          <w:bCs/>
          <w:sz w:val="24"/>
          <w:szCs w:val="24"/>
          <w:highlight w:val="none"/>
        </w:rPr>
      </w:pPr>
      <w:r>
        <w:rPr>
          <w:rFonts w:hint="eastAsia" w:ascii="宋体" w:hAnsi="宋体" w:cs="宋体"/>
          <w:bCs/>
          <w:sz w:val="24"/>
          <w:szCs w:val="24"/>
          <w:highlight w:val="none"/>
        </w:rPr>
        <w:t>①</w:t>
      </w:r>
      <w:r>
        <w:rPr>
          <w:bCs/>
          <w:sz w:val="24"/>
          <w:szCs w:val="24"/>
          <w:highlight w:val="none"/>
        </w:rPr>
        <w:t>车辆在施工现场范围内活动，尾气呈面源污染形式；</w:t>
      </w:r>
    </w:p>
    <w:p>
      <w:pPr>
        <w:ind w:firstLine="480"/>
        <w:jc w:val="both"/>
        <w:rPr>
          <w:bCs/>
          <w:sz w:val="24"/>
          <w:szCs w:val="24"/>
          <w:highlight w:val="none"/>
        </w:rPr>
      </w:pPr>
      <w:r>
        <w:rPr>
          <w:rFonts w:hint="eastAsia" w:ascii="宋体" w:hAnsi="宋体" w:cs="宋体"/>
          <w:bCs/>
          <w:sz w:val="24"/>
          <w:szCs w:val="24"/>
          <w:highlight w:val="none"/>
        </w:rPr>
        <w:t>②</w:t>
      </w:r>
      <w:r>
        <w:rPr>
          <w:bCs/>
          <w:sz w:val="24"/>
          <w:szCs w:val="24"/>
          <w:highlight w:val="none"/>
        </w:rPr>
        <w:t>汽车排气筒高度较低，尾气扩散范围不大，对周围地区影响较小；</w:t>
      </w:r>
    </w:p>
    <w:p>
      <w:pPr>
        <w:ind w:firstLine="480"/>
        <w:jc w:val="both"/>
        <w:rPr>
          <w:bCs/>
          <w:sz w:val="24"/>
          <w:szCs w:val="24"/>
          <w:highlight w:val="none"/>
        </w:rPr>
      </w:pPr>
      <w:r>
        <w:rPr>
          <w:rFonts w:hint="eastAsia" w:ascii="宋体" w:hAnsi="宋体" w:cs="宋体"/>
          <w:bCs/>
          <w:sz w:val="24"/>
          <w:szCs w:val="24"/>
          <w:highlight w:val="none"/>
        </w:rPr>
        <w:t>③</w:t>
      </w:r>
      <w:r>
        <w:rPr>
          <w:bCs/>
          <w:sz w:val="24"/>
          <w:szCs w:val="24"/>
          <w:highlight w:val="none"/>
        </w:rPr>
        <w:t>车辆为非连续行驶状态，污染物排放时间及排放量相对较小。</w:t>
      </w:r>
    </w:p>
    <w:p>
      <w:pPr>
        <w:ind w:firstLine="480"/>
        <w:jc w:val="both"/>
        <w:rPr>
          <w:bCs/>
          <w:sz w:val="24"/>
          <w:szCs w:val="24"/>
          <w:highlight w:val="none"/>
        </w:rPr>
      </w:pPr>
      <w:r>
        <w:rPr>
          <w:bCs/>
          <w:sz w:val="24"/>
          <w:szCs w:val="24"/>
          <w:highlight w:val="none"/>
        </w:rPr>
        <w:t>因此建议尽量选用低能耗、低污染排放的施工机械、车辆，对于排放废气较多的车辆，应安装尾气净化装置。另外，应尽量选用质量高、对大气环境影响小的燃料。要加强机械、车辆的管理和维修，尽量减少因机械、车辆状况不佳造成的空气污染。</w:t>
      </w:r>
    </w:p>
    <w:p>
      <w:pPr>
        <w:pStyle w:val="3"/>
        <w:rPr>
          <w:rFonts w:eastAsiaTheme="minorEastAsia"/>
          <w:b/>
          <w:highlight w:val="none"/>
        </w:rPr>
      </w:pPr>
      <w:r>
        <w:rPr>
          <w:rFonts w:eastAsiaTheme="minorEastAsia"/>
          <w:b/>
          <w:highlight w:val="none"/>
        </w:rPr>
        <w:t>3.</w:t>
      </w:r>
      <w:r>
        <w:rPr>
          <w:rFonts w:hint="eastAsia" w:eastAsiaTheme="minorEastAsia"/>
          <w:b/>
          <w:highlight w:val="none"/>
          <w:lang w:val="en-US" w:eastAsia="zh-CN"/>
        </w:rPr>
        <w:t>4</w:t>
      </w:r>
      <w:r>
        <w:rPr>
          <w:rFonts w:eastAsiaTheme="minorEastAsia"/>
          <w:b/>
          <w:highlight w:val="none"/>
        </w:rPr>
        <w:t>.1.2</w:t>
      </w:r>
      <w:r>
        <w:rPr>
          <w:rFonts w:hAnsiTheme="minorEastAsia" w:eastAsiaTheme="minorEastAsia"/>
          <w:b/>
          <w:highlight w:val="none"/>
        </w:rPr>
        <w:t>水污染源</w:t>
      </w:r>
    </w:p>
    <w:p>
      <w:pPr>
        <w:ind w:firstLine="480"/>
        <w:jc w:val="both"/>
        <w:rPr>
          <w:bCs/>
          <w:sz w:val="24"/>
          <w:szCs w:val="24"/>
          <w:highlight w:val="none"/>
          <w:lang w:val="en-GB"/>
        </w:rPr>
      </w:pPr>
      <w:r>
        <w:rPr>
          <w:bCs/>
          <w:sz w:val="24"/>
          <w:szCs w:val="24"/>
          <w:highlight w:val="none"/>
        </w:rPr>
        <w:t>本项目施工期间产生的废水主要为施工作业废水和施工人员的生活污水。</w:t>
      </w:r>
    </w:p>
    <w:p>
      <w:pPr>
        <w:ind w:firstLine="480"/>
        <w:jc w:val="both"/>
        <w:rPr>
          <w:bCs/>
          <w:sz w:val="24"/>
          <w:szCs w:val="24"/>
          <w:highlight w:val="none"/>
        </w:rPr>
      </w:pPr>
      <w:r>
        <w:rPr>
          <w:bCs/>
          <w:sz w:val="24"/>
          <w:szCs w:val="24"/>
          <w:highlight w:val="none"/>
        </w:rPr>
        <w:t>（1）施工废水</w:t>
      </w:r>
    </w:p>
    <w:p>
      <w:pPr>
        <w:ind w:firstLine="480"/>
        <w:jc w:val="both"/>
        <w:rPr>
          <w:bCs/>
          <w:sz w:val="24"/>
          <w:szCs w:val="24"/>
          <w:highlight w:val="none"/>
        </w:rPr>
      </w:pPr>
      <w:r>
        <w:rPr>
          <w:bCs/>
          <w:sz w:val="24"/>
          <w:szCs w:val="24"/>
          <w:highlight w:val="none"/>
        </w:rPr>
        <w:t>本项目施工期废水来源主要为路面喷洒降尘、施工设备和运输车辆冲洗、混凝土养护等。这部分废水排放量较少，含有的主要污染物质为泥沙，不含有害物质和其他有机物。</w:t>
      </w:r>
    </w:p>
    <w:p>
      <w:pPr>
        <w:ind w:firstLine="480"/>
        <w:jc w:val="both"/>
        <w:rPr>
          <w:bCs/>
          <w:sz w:val="24"/>
          <w:szCs w:val="24"/>
          <w:highlight w:val="none"/>
        </w:rPr>
      </w:pPr>
      <w:r>
        <w:rPr>
          <w:bCs/>
          <w:sz w:val="24"/>
          <w:szCs w:val="24"/>
          <w:highlight w:val="none"/>
        </w:rPr>
        <w:t>施工废水中的主要水质污染指标为SS，根据同类项目作类比分析，不经处理的废水中SS浓度最高可达10000mg/L左右。此部分废水水质单一，采用沉淀池预处理后重复使用，不外排。</w:t>
      </w:r>
    </w:p>
    <w:p>
      <w:pPr>
        <w:ind w:firstLine="480"/>
        <w:jc w:val="both"/>
        <w:rPr>
          <w:bCs/>
          <w:sz w:val="24"/>
          <w:szCs w:val="24"/>
          <w:highlight w:val="none"/>
        </w:rPr>
      </w:pPr>
      <w:r>
        <w:rPr>
          <w:bCs/>
          <w:sz w:val="24"/>
          <w:szCs w:val="24"/>
          <w:highlight w:val="none"/>
        </w:rPr>
        <w:t>此外，动力、运输设备的清洗废水主要含有石油类和悬浮物，施工场地设置简易防渗沉淀池和隔油池，将废水引入沉淀池和隔油池内沉淀、隔油后，上层清水可用于施工现场降尘、车辆清洗等作业，不外排，回收浮油进行无害化集中处理。</w:t>
      </w:r>
    </w:p>
    <w:p>
      <w:pPr>
        <w:ind w:firstLine="480"/>
        <w:jc w:val="both"/>
        <w:rPr>
          <w:bCs/>
          <w:sz w:val="24"/>
          <w:szCs w:val="24"/>
          <w:highlight w:val="none"/>
        </w:rPr>
      </w:pPr>
      <w:r>
        <w:rPr>
          <w:bCs/>
          <w:sz w:val="24"/>
          <w:szCs w:val="24"/>
          <w:highlight w:val="none"/>
        </w:rPr>
        <w:t>（2）施工人员生活污水</w:t>
      </w:r>
    </w:p>
    <w:p>
      <w:pPr>
        <w:ind w:firstLine="480"/>
        <w:jc w:val="both"/>
        <w:rPr>
          <w:bCs/>
          <w:sz w:val="24"/>
          <w:szCs w:val="24"/>
          <w:highlight w:val="none"/>
        </w:rPr>
      </w:pPr>
      <w:r>
        <w:rPr>
          <w:bCs/>
          <w:sz w:val="24"/>
          <w:szCs w:val="24"/>
          <w:highlight w:val="none"/>
        </w:rPr>
        <w:t>施工工人生活污水主要水污染物为COD</w:t>
      </w:r>
      <w:r>
        <w:rPr>
          <w:bCs/>
          <w:sz w:val="24"/>
          <w:szCs w:val="24"/>
          <w:highlight w:val="none"/>
          <w:vertAlign w:val="subscript"/>
        </w:rPr>
        <w:t>Cr</w:t>
      </w:r>
      <w:r>
        <w:rPr>
          <w:bCs/>
          <w:sz w:val="24"/>
          <w:szCs w:val="24"/>
          <w:highlight w:val="none"/>
        </w:rPr>
        <w:t>、BOD</w:t>
      </w:r>
      <w:r>
        <w:rPr>
          <w:bCs/>
          <w:sz w:val="24"/>
          <w:szCs w:val="24"/>
          <w:highlight w:val="none"/>
          <w:vertAlign w:val="subscript"/>
        </w:rPr>
        <w:t>5</w:t>
      </w:r>
      <w:r>
        <w:rPr>
          <w:bCs/>
          <w:sz w:val="24"/>
          <w:szCs w:val="24"/>
          <w:highlight w:val="none"/>
        </w:rPr>
        <w:t>、SS、NH</w:t>
      </w:r>
      <w:r>
        <w:rPr>
          <w:bCs/>
          <w:sz w:val="24"/>
          <w:szCs w:val="24"/>
          <w:highlight w:val="none"/>
          <w:vertAlign w:val="subscript"/>
        </w:rPr>
        <w:t>3</w:t>
      </w:r>
      <w:r>
        <w:rPr>
          <w:bCs/>
          <w:sz w:val="24"/>
          <w:szCs w:val="24"/>
          <w:highlight w:val="none"/>
        </w:rPr>
        <w:t>-N。项目施工期间日均施工人数为10人，工程施工期为</w:t>
      </w:r>
      <w:r>
        <w:rPr>
          <w:rFonts w:hint="eastAsia"/>
          <w:bCs/>
          <w:sz w:val="24"/>
          <w:szCs w:val="24"/>
          <w:highlight w:val="none"/>
        </w:rPr>
        <w:t>10</w:t>
      </w:r>
      <w:r>
        <w:rPr>
          <w:bCs/>
          <w:sz w:val="24"/>
          <w:szCs w:val="24"/>
          <w:highlight w:val="none"/>
        </w:rPr>
        <w:t>个月，工人生活用水量按30L/（人·天）计，则本项目施工期生活用水量约</w:t>
      </w:r>
      <w:r>
        <w:rPr>
          <w:rFonts w:hint="eastAsia"/>
          <w:bCs/>
          <w:sz w:val="24"/>
          <w:szCs w:val="24"/>
          <w:highlight w:val="none"/>
        </w:rPr>
        <w:t>90</w:t>
      </w:r>
      <w:r>
        <w:rPr>
          <w:bCs/>
          <w:sz w:val="24"/>
          <w:szCs w:val="24"/>
          <w:highlight w:val="none"/>
        </w:rPr>
        <w:t>m</w:t>
      </w:r>
      <w:r>
        <w:rPr>
          <w:bCs/>
          <w:sz w:val="24"/>
          <w:szCs w:val="24"/>
          <w:highlight w:val="none"/>
          <w:vertAlign w:val="superscript"/>
        </w:rPr>
        <w:t>3</w:t>
      </w:r>
      <w:r>
        <w:rPr>
          <w:bCs/>
          <w:sz w:val="24"/>
          <w:szCs w:val="24"/>
          <w:highlight w:val="none"/>
        </w:rPr>
        <w:t>。</w:t>
      </w:r>
    </w:p>
    <w:p>
      <w:pPr>
        <w:ind w:firstLine="480"/>
        <w:jc w:val="both"/>
        <w:rPr>
          <w:bCs/>
          <w:sz w:val="24"/>
          <w:szCs w:val="24"/>
          <w:highlight w:val="none"/>
        </w:rPr>
      </w:pPr>
      <w:r>
        <w:rPr>
          <w:bCs/>
          <w:sz w:val="24"/>
          <w:szCs w:val="24"/>
          <w:highlight w:val="none"/>
        </w:rPr>
        <w:t>生活污水为施工工人的盥洗废水，经收集后，用于厂区道路洒水抑尘，不外排；</w:t>
      </w:r>
      <w:r>
        <w:rPr>
          <w:sz w:val="24"/>
          <w:szCs w:val="24"/>
          <w:highlight w:val="none"/>
        </w:rPr>
        <w:t>厂区设防渗旱厕，定期清掏用于肥田，不外排。</w:t>
      </w:r>
    </w:p>
    <w:p>
      <w:pPr>
        <w:pStyle w:val="3"/>
        <w:rPr>
          <w:rFonts w:eastAsiaTheme="minorEastAsia"/>
          <w:b/>
          <w:highlight w:val="none"/>
        </w:rPr>
      </w:pPr>
      <w:r>
        <w:rPr>
          <w:rFonts w:eastAsiaTheme="minorEastAsia"/>
          <w:b/>
          <w:highlight w:val="none"/>
        </w:rPr>
        <w:t>3.</w:t>
      </w:r>
      <w:r>
        <w:rPr>
          <w:rFonts w:hint="eastAsia" w:eastAsiaTheme="minorEastAsia"/>
          <w:b/>
          <w:highlight w:val="none"/>
          <w:lang w:val="en-US" w:eastAsia="zh-CN"/>
        </w:rPr>
        <w:t>4</w:t>
      </w:r>
      <w:r>
        <w:rPr>
          <w:rFonts w:eastAsiaTheme="minorEastAsia"/>
          <w:b/>
          <w:highlight w:val="none"/>
        </w:rPr>
        <w:t>.1.3</w:t>
      </w:r>
      <w:r>
        <w:rPr>
          <w:rFonts w:hAnsiTheme="minorEastAsia" w:eastAsiaTheme="minorEastAsia"/>
          <w:b/>
          <w:highlight w:val="none"/>
        </w:rPr>
        <w:t>噪声</w:t>
      </w:r>
    </w:p>
    <w:p>
      <w:pPr>
        <w:ind w:firstLine="480"/>
        <w:jc w:val="both"/>
        <w:rPr>
          <w:bCs/>
          <w:sz w:val="24"/>
          <w:szCs w:val="24"/>
          <w:highlight w:val="none"/>
        </w:rPr>
      </w:pPr>
      <w:r>
        <w:rPr>
          <w:bCs/>
          <w:sz w:val="24"/>
          <w:szCs w:val="24"/>
          <w:highlight w:val="none"/>
        </w:rPr>
        <w:t>施工期噪声主要为施工现场的各类机械设备噪声以及物料运输过程中的交通噪声。</w:t>
      </w:r>
    </w:p>
    <w:p>
      <w:pPr>
        <w:ind w:firstLine="480"/>
        <w:jc w:val="both"/>
        <w:rPr>
          <w:bCs/>
          <w:sz w:val="24"/>
          <w:szCs w:val="24"/>
          <w:highlight w:val="none"/>
        </w:rPr>
      </w:pPr>
      <w:r>
        <w:rPr>
          <w:bCs/>
          <w:sz w:val="24"/>
          <w:szCs w:val="24"/>
          <w:highlight w:val="none"/>
        </w:rPr>
        <w:t>施工现场噪声通常以施工机械噪声为主。根据本项目施工的特点，施工场地的主要噪声源为各类高噪声机械设备，如挖掘机、装载机等。施工机械的噪声特点是间歇或阵发性的，并具有流动性、噪声较高的特征，噪声值一般均高于80dB（A）。</w:t>
      </w:r>
    </w:p>
    <w:p>
      <w:pPr>
        <w:ind w:firstLine="480"/>
        <w:jc w:val="both"/>
        <w:rPr>
          <w:bCs/>
          <w:sz w:val="24"/>
          <w:szCs w:val="24"/>
          <w:highlight w:val="none"/>
        </w:rPr>
      </w:pPr>
      <w:r>
        <w:rPr>
          <w:bCs/>
          <w:sz w:val="24"/>
          <w:szCs w:val="24"/>
          <w:highlight w:val="none"/>
        </w:rPr>
        <w:t>施工期间另一个重要的噪声源是施工运输车辆产生的交通噪声，一般声级可达到85~90dB（A）。</w:t>
      </w:r>
    </w:p>
    <w:p>
      <w:pPr>
        <w:pStyle w:val="3"/>
        <w:rPr>
          <w:rFonts w:eastAsiaTheme="minorEastAsia"/>
          <w:b/>
          <w:highlight w:val="none"/>
        </w:rPr>
      </w:pPr>
      <w:r>
        <w:rPr>
          <w:rFonts w:eastAsiaTheme="minorEastAsia"/>
          <w:b/>
          <w:highlight w:val="none"/>
        </w:rPr>
        <w:t>3.</w:t>
      </w:r>
      <w:r>
        <w:rPr>
          <w:rFonts w:hint="eastAsia" w:eastAsiaTheme="minorEastAsia"/>
          <w:b/>
          <w:highlight w:val="none"/>
          <w:lang w:val="en-US" w:eastAsia="zh-CN"/>
        </w:rPr>
        <w:t>4</w:t>
      </w:r>
      <w:r>
        <w:rPr>
          <w:rFonts w:eastAsiaTheme="minorEastAsia"/>
          <w:b/>
          <w:highlight w:val="none"/>
        </w:rPr>
        <w:t>.1.4</w:t>
      </w:r>
      <w:r>
        <w:rPr>
          <w:rFonts w:hAnsiTheme="minorEastAsia" w:eastAsiaTheme="minorEastAsia"/>
          <w:b/>
          <w:highlight w:val="none"/>
        </w:rPr>
        <w:t>固体废物</w:t>
      </w:r>
    </w:p>
    <w:p>
      <w:pPr>
        <w:ind w:firstLine="480"/>
        <w:jc w:val="both"/>
        <w:rPr>
          <w:bCs/>
          <w:sz w:val="24"/>
          <w:szCs w:val="24"/>
          <w:highlight w:val="none"/>
        </w:rPr>
      </w:pPr>
      <w:r>
        <w:rPr>
          <w:bCs/>
          <w:sz w:val="24"/>
          <w:szCs w:val="24"/>
          <w:highlight w:val="none"/>
        </w:rPr>
        <w:t>本项目施工期产生的固体废物主要为</w:t>
      </w:r>
      <w:r>
        <w:rPr>
          <w:rFonts w:hint="eastAsia"/>
          <w:bCs/>
          <w:sz w:val="24"/>
          <w:szCs w:val="24"/>
          <w:highlight w:val="none"/>
        </w:rPr>
        <w:t>施工产生的建筑垃圾、</w:t>
      </w:r>
      <w:r>
        <w:rPr>
          <w:bCs/>
          <w:sz w:val="24"/>
          <w:szCs w:val="24"/>
          <w:highlight w:val="none"/>
        </w:rPr>
        <w:t>废弃土石方和施工人员产生的生活垃圾。</w:t>
      </w:r>
    </w:p>
    <w:p>
      <w:pPr>
        <w:ind w:firstLine="480"/>
        <w:jc w:val="both"/>
        <w:rPr>
          <w:bCs/>
          <w:sz w:val="24"/>
          <w:szCs w:val="24"/>
          <w:highlight w:val="none"/>
        </w:rPr>
      </w:pPr>
      <w:r>
        <w:rPr>
          <w:rFonts w:hint="eastAsia"/>
          <w:bCs/>
          <w:sz w:val="24"/>
          <w:szCs w:val="24"/>
          <w:highlight w:val="none"/>
        </w:rPr>
        <w:t>（1）建筑垃圾</w:t>
      </w:r>
    </w:p>
    <w:p>
      <w:pPr>
        <w:ind w:firstLine="480"/>
        <w:jc w:val="both"/>
        <w:rPr>
          <w:bCs/>
          <w:sz w:val="24"/>
          <w:szCs w:val="24"/>
          <w:highlight w:val="none"/>
        </w:rPr>
      </w:pPr>
      <w:r>
        <w:rPr>
          <w:rFonts w:hint="eastAsia"/>
          <w:bCs/>
          <w:sz w:val="24"/>
          <w:szCs w:val="24"/>
          <w:highlight w:val="none"/>
        </w:rPr>
        <w:t>项目工程施工过程中产生的建筑垃圾，</w:t>
      </w:r>
      <w:r>
        <w:rPr>
          <w:bCs/>
          <w:sz w:val="24"/>
          <w:szCs w:val="24"/>
          <w:highlight w:val="none"/>
        </w:rPr>
        <w:t>主要为废砂浆混凝土、下脚料、废施工材料等，总产生量</w:t>
      </w:r>
      <w:r>
        <w:rPr>
          <w:rFonts w:hint="eastAsia"/>
          <w:bCs/>
          <w:sz w:val="24"/>
          <w:szCs w:val="24"/>
          <w:highlight w:val="none"/>
        </w:rPr>
        <w:t>约为0.8万m</w:t>
      </w:r>
      <w:r>
        <w:rPr>
          <w:rFonts w:hint="eastAsia"/>
          <w:bCs/>
          <w:sz w:val="24"/>
          <w:szCs w:val="24"/>
          <w:highlight w:val="none"/>
          <w:vertAlign w:val="superscript"/>
        </w:rPr>
        <w:t>3</w:t>
      </w:r>
      <w:r>
        <w:rPr>
          <w:rFonts w:hint="eastAsia"/>
          <w:bCs/>
          <w:sz w:val="24"/>
          <w:szCs w:val="24"/>
          <w:highlight w:val="none"/>
        </w:rPr>
        <w:t>，</w:t>
      </w:r>
      <w:bookmarkStart w:id="295" w:name="_Hlk4969368"/>
      <w:r>
        <w:rPr>
          <w:rFonts w:hint="eastAsia"/>
          <w:bCs/>
          <w:sz w:val="24"/>
          <w:highlight w:val="none"/>
        </w:rPr>
        <w:t>全部运往遵化</w:t>
      </w:r>
      <w:r>
        <w:rPr>
          <w:bCs/>
          <w:sz w:val="24"/>
          <w:highlight w:val="none"/>
        </w:rPr>
        <w:t>市垃圾渣土管理部门</w:t>
      </w:r>
      <w:r>
        <w:rPr>
          <w:rFonts w:hint="eastAsia"/>
          <w:bCs/>
          <w:sz w:val="24"/>
          <w:highlight w:val="none"/>
        </w:rPr>
        <w:t>指</w:t>
      </w:r>
      <w:r>
        <w:rPr>
          <w:bCs/>
          <w:sz w:val="24"/>
          <w:highlight w:val="none"/>
        </w:rPr>
        <w:t>定的渣土消纳场进行正规消纳处理</w:t>
      </w:r>
      <w:r>
        <w:rPr>
          <w:bCs/>
          <w:sz w:val="24"/>
          <w:szCs w:val="24"/>
          <w:highlight w:val="none"/>
        </w:rPr>
        <w:t>。</w:t>
      </w:r>
      <w:bookmarkEnd w:id="295"/>
    </w:p>
    <w:p>
      <w:pPr>
        <w:ind w:firstLine="480"/>
        <w:jc w:val="both"/>
        <w:rPr>
          <w:bCs/>
          <w:sz w:val="24"/>
          <w:szCs w:val="24"/>
          <w:highlight w:val="none"/>
        </w:rPr>
      </w:pPr>
      <w:r>
        <w:rPr>
          <w:bCs/>
          <w:sz w:val="24"/>
          <w:szCs w:val="24"/>
          <w:highlight w:val="none"/>
        </w:rPr>
        <w:t>（</w:t>
      </w:r>
      <w:r>
        <w:rPr>
          <w:rFonts w:hint="eastAsia"/>
          <w:bCs/>
          <w:sz w:val="24"/>
          <w:szCs w:val="24"/>
          <w:highlight w:val="none"/>
        </w:rPr>
        <w:t>2</w:t>
      </w:r>
      <w:r>
        <w:rPr>
          <w:bCs/>
          <w:sz w:val="24"/>
          <w:szCs w:val="24"/>
          <w:highlight w:val="none"/>
        </w:rPr>
        <w:t>）废弃土石方</w:t>
      </w:r>
    </w:p>
    <w:p>
      <w:pPr>
        <w:ind w:firstLine="480"/>
        <w:jc w:val="both"/>
        <w:rPr>
          <w:bCs/>
          <w:sz w:val="24"/>
          <w:szCs w:val="24"/>
          <w:highlight w:val="none"/>
        </w:rPr>
      </w:pPr>
      <w:r>
        <w:rPr>
          <w:bCs/>
          <w:sz w:val="24"/>
          <w:szCs w:val="24"/>
          <w:highlight w:val="none"/>
        </w:rPr>
        <w:t>废弃土石方主要来自场地平整过程中的土石盈余，对产生的废弃土方</w:t>
      </w:r>
      <w:r>
        <w:rPr>
          <w:rFonts w:hint="eastAsia"/>
          <w:bCs/>
          <w:sz w:val="24"/>
          <w:highlight w:val="none"/>
        </w:rPr>
        <w:t>全部运往遵化</w:t>
      </w:r>
      <w:r>
        <w:rPr>
          <w:bCs/>
          <w:sz w:val="24"/>
          <w:highlight w:val="none"/>
        </w:rPr>
        <w:t>市垃圾渣土管理部门</w:t>
      </w:r>
      <w:r>
        <w:rPr>
          <w:rFonts w:hint="eastAsia"/>
          <w:bCs/>
          <w:sz w:val="24"/>
          <w:highlight w:val="none"/>
        </w:rPr>
        <w:t>指</w:t>
      </w:r>
      <w:r>
        <w:rPr>
          <w:bCs/>
          <w:sz w:val="24"/>
          <w:highlight w:val="none"/>
        </w:rPr>
        <w:t>定的渣土消纳场进行正规消纳处理</w:t>
      </w:r>
      <w:r>
        <w:rPr>
          <w:bCs/>
          <w:sz w:val="24"/>
          <w:szCs w:val="24"/>
          <w:highlight w:val="none"/>
        </w:rPr>
        <w:t>。</w:t>
      </w:r>
    </w:p>
    <w:p>
      <w:pPr>
        <w:ind w:firstLine="480"/>
        <w:jc w:val="both"/>
        <w:rPr>
          <w:bCs/>
          <w:sz w:val="24"/>
          <w:szCs w:val="24"/>
          <w:highlight w:val="none"/>
        </w:rPr>
      </w:pPr>
      <w:r>
        <w:rPr>
          <w:bCs/>
          <w:sz w:val="24"/>
          <w:szCs w:val="24"/>
          <w:highlight w:val="none"/>
        </w:rPr>
        <w:t>（</w:t>
      </w:r>
      <w:r>
        <w:rPr>
          <w:rFonts w:hint="eastAsia"/>
          <w:bCs/>
          <w:sz w:val="24"/>
          <w:szCs w:val="24"/>
          <w:highlight w:val="none"/>
        </w:rPr>
        <w:t>3</w:t>
      </w:r>
      <w:r>
        <w:rPr>
          <w:bCs/>
          <w:sz w:val="24"/>
          <w:szCs w:val="24"/>
          <w:highlight w:val="none"/>
        </w:rPr>
        <w:t>）生活垃圾</w:t>
      </w:r>
    </w:p>
    <w:p>
      <w:pPr>
        <w:ind w:firstLine="480"/>
        <w:jc w:val="both"/>
        <w:rPr>
          <w:bCs/>
          <w:sz w:val="24"/>
          <w:szCs w:val="24"/>
          <w:highlight w:val="none"/>
        </w:rPr>
      </w:pPr>
      <w:r>
        <w:rPr>
          <w:bCs/>
          <w:sz w:val="24"/>
          <w:szCs w:val="24"/>
          <w:highlight w:val="none"/>
        </w:rPr>
        <w:t>施工期的生活垃圾为施工人员休息、就餐时产生，主要为废纸、废包装物、剩饭剩菜、饭盒等。项目施工人数为10人，每人每天产生垃圾按0.2kg计，施工期</w:t>
      </w:r>
      <w:r>
        <w:rPr>
          <w:rFonts w:hint="eastAsia"/>
          <w:bCs/>
          <w:sz w:val="24"/>
          <w:szCs w:val="24"/>
          <w:highlight w:val="none"/>
        </w:rPr>
        <w:t>10</w:t>
      </w:r>
      <w:r>
        <w:rPr>
          <w:bCs/>
          <w:sz w:val="24"/>
          <w:szCs w:val="24"/>
          <w:highlight w:val="none"/>
        </w:rPr>
        <w:t>个月，则生活垃圾总量约为0.</w:t>
      </w:r>
      <w:r>
        <w:rPr>
          <w:rFonts w:hint="eastAsia"/>
          <w:bCs/>
          <w:sz w:val="24"/>
          <w:szCs w:val="24"/>
          <w:highlight w:val="none"/>
        </w:rPr>
        <w:t>6</w:t>
      </w:r>
      <w:r>
        <w:rPr>
          <w:bCs/>
          <w:sz w:val="24"/>
          <w:szCs w:val="24"/>
          <w:highlight w:val="none"/>
        </w:rPr>
        <w:t>吨。</w:t>
      </w:r>
    </w:p>
    <w:p>
      <w:pPr>
        <w:pStyle w:val="3"/>
        <w:rPr>
          <w:rFonts w:eastAsiaTheme="majorEastAsia"/>
          <w:b/>
          <w:highlight w:val="none"/>
        </w:rPr>
      </w:pPr>
      <w:r>
        <w:rPr>
          <w:rFonts w:eastAsiaTheme="majorEastAsia"/>
          <w:b/>
          <w:highlight w:val="none"/>
        </w:rPr>
        <w:t>3.</w:t>
      </w:r>
      <w:r>
        <w:rPr>
          <w:rFonts w:hint="eastAsia" w:eastAsiaTheme="majorEastAsia"/>
          <w:b/>
          <w:highlight w:val="none"/>
          <w:lang w:val="en-US" w:eastAsia="zh-CN"/>
        </w:rPr>
        <w:t>4</w:t>
      </w:r>
      <w:r>
        <w:rPr>
          <w:rFonts w:eastAsiaTheme="majorEastAsia"/>
          <w:b/>
          <w:highlight w:val="none"/>
        </w:rPr>
        <w:t>.1.5</w:t>
      </w:r>
      <w:r>
        <w:rPr>
          <w:rFonts w:hAnsiTheme="majorEastAsia" w:eastAsiaTheme="majorEastAsia"/>
          <w:b/>
          <w:highlight w:val="none"/>
        </w:rPr>
        <w:t>生态环境影响</w:t>
      </w:r>
    </w:p>
    <w:p>
      <w:pPr>
        <w:ind w:firstLine="480"/>
        <w:jc w:val="both"/>
        <w:rPr>
          <w:bCs/>
          <w:sz w:val="24"/>
          <w:szCs w:val="24"/>
          <w:highlight w:val="none"/>
        </w:rPr>
      </w:pPr>
      <w:r>
        <w:rPr>
          <w:bCs/>
          <w:sz w:val="24"/>
          <w:szCs w:val="24"/>
          <w:highlight w:val="none"/>
        </w:rPr>
        <w:t>本项目在现有</w:t>
      </w:r>
      <w:r>
        <w:rPr>
          <w:rFonts w:hint="eastAsia"/>
          <w:bCs/>
          <w:sz w:val="24"/>
          <w:szCs w:val="24"/>
          <w:highlight w:val="none"/>
          <w:lang w:val="en-US" w:eastAsia="zh-CN"/>
        </w:rPr>
        <w:t>厂区</w:t>
      </w:r>
      <w:r>
        <w:rPr>
          <w:bCs/>
          <w:sz w:val="24"/>
          <w:szCs w:val="24"/>
          <w:highlight w:val="none"/>
        </w:rPr>
        <w:t>内进行施工，不会改变原有土地性质。环评建议施工与绿化同步，围挡布置尽量与周围景观环境相协调，并要求建筑施工工地必须严格按照项目环境影响评价确定的施工全过程污染防治实施方案要求，组织落实各项污染防治措施，有效控制建设项目施工期间对生态环境造成的影响。</w:t>
      </w:r>
    </w:p>
    <w:p>
      <w:pPr>
        <w:ind w:firstLine="480"/>
        <w:rPr>
          <w:highlight w:val="none"/>
        </w:rPr>
      </w:pPr>
      <w:r>
        <w:rPr>
          <w:bCs/>
          <w:sz w:val="24"/>
          <w:szCs w:val="24"/>
          <w:highlight w:val="none"/>
        </w:rPr>
        <w:t>上述施工过程中产生的污染都是暂时的、局部的，且随着施工过程的结束，该污染也将消失。</w:t>
      </w:r>
    </w:p>
    <w:p>
      <w:pPr>
        <w:pStyle w:val="6"/>
        <w:rPr>
          <w:highlight w:val="none"/>
        </w:rPr>
      </w:pPr>
      <w:bookmarkStart w:id="296" w:name="_Toc24781"/>
      <w:bookmarkStart w:id="297" w:name="_Toc521591769"/>
      <w:r>
        <w:rPr>
          <w:highlight w:val="none"/>
        </w:rPr>
        <w:t>3.</w:t>
      </w:r>
      <w:r>
        <w:rPr>
          <w:rFonts w:hint="eastAsia"/>
          <w:highlight w:val="none"/>
          <w:lang w:val="en-US" w:eastAsia="zh-CN"/>
        </w:rPr>
        <w:t>4</w:t>
      </w:r>
      <w:r>
        <w:rPr>
          <w:highlight w:val="none"/>
        </w:rPr>
        <w:t>.2运营期环境影响因素及污染源强核算</w:t>
      </w:r>
      <w:bookmarkEnd w:id="296"/>
      <w:bookmarkEnd w:id="297"/>
    </w:p>
    <w:p>
      <w:pPr>
        <w:pStyle w:val="3"/>
        <w:rPr>
          <w:rFonts w:eastAsia="宋体"/>
          <w:b/>
          <w:highlight w:val="none"/>
        </w:rPr>
      </w:pPr>
      <w:r>
        <w:rPr>
          <w:rFonts w:eastAsia="宋体"/>
          <w:b/>
          <w:highlight w:val="none"/>
        </w:rPr>
        <w:t>3.</w:t>
      </w:r>
      <w:r>
        <w:rPr>
          <w:rFonts w:hint="eastAsia" w:eastAsia="宋体"/>
          <w:b/>
          <w:highlight w:val="none"/>
          <w:lang w:val="en-US" w:eastAsia="zh-CN"/>
        </w:rPr>
        <w:t>4</w:t>
      </w:r>
      <w:r>
        <w:rPr>
          <w:rFonts w:eastAsia="宋体"/>
          <w:b/>
          <w:highlight w:val="none"/>
        </w:rPr>
        <w:t>.2.1大气污染物分析及源强核算</w:t>
      </w:r>
    </w:p>
    <w:p>
      <w:pPr>
        <w:ind w:firstLine="480"/>
        <w:jc w:val="both"/>
        <w:rPr>
          <w:bCs/>
          <w:sz w:val="24"/>
          <w:szCs w:val="24"/>
          <w:highlight w:val="none"/>
        </w:rPr>
      </w:pPr>
      <w:r>
        <w:rPr>
          <w:bCs/>
          <w:sz w:val="24"/>
          <w:szCs w:val="24"/>
          <w:highlight w:val="none"/>
        </w:rPr>
        <w:t>（1）</w:t>
      </w:r>
      <w:r>
        <w:rPr>
          <w:rFonts w:hint="eastAsia"/>
          <w:bCs/>
          <w:sz w:val="24"/>
          <w:szCs w:val="24"/>
          <w:highlight w:val="none"/>
        </w:rPr>
        <w:t>有组织排放颗粒物</w:t>
      </w:r>
    </w:p>
    <w:p>
      <w:pPr>
        <w:ind w:firstLine="480"/>
        <w:jc w:val="both"/>
        <w:rPr>
          <w:bCs/>
          <w:sz w:val="24"/>
          <w:szCs w:val="24"/>
          <w:highlight w:val="none"/>
        </w:rPr>
      </w:pPr>
      <w:r>
        <w:rPr>
          <w:rFonts w:hint="eastAsia" w:hAnsi="宋体"/>
          <w:sz w:val="24"/>
          <w:szCs w:val="24"/>
          <w:highlight w:val="none"/>
        </w:rPr>
        <w:t>本项目</w:t>
      </w:r>
      <w:r>
        <w:rPr>
          <w:rFonts w:hint="eastAsia" w:hAnsi="宋体"/>
          <w:sz w:val="24"/>
          <w:szCs w:val="24"/>
          <w:highlight w:val="none"/>
          <w:lang w:val="en-US" w:eastAsia="zh-CN"/>
        </w:rPr>
        <w:t>新建1座</w:t>
      </w:r>
      <w:r>
        <w:rPr>
          <w:rFonts w:hint="eastAsia" w:hAnsi="宋体"/>
          <w:sz w:val="24"/>
          <w:szCs w:val="24"/>
          <w:highlight w:val="none"/>
        </w:rPr>
        <w:t>破碎车间，</w:t>
      </w:r>
      <w:r>
        <w:rPr>
          <w:rFonts w:hint="eastAsia" w:hAnsi="宋体"/>
          <w:sz w:val="24"/>
          <w:szCs w:val="24"/>
          <w:highlight w:val="none"/>
          <w:lang w:val="en-US" w:eastAsia="zh-CN"/>
        </w:rPr>
        <w:t>新增1台颚式破碎机、1台圆锥破碎机、2座振动筛（其中1座为湿式作业）、1座中转料仓，针对上述产尘设备</w:t>
      </w:r>
      <w:r>
        <w:rPr>
          <w:rFonts w:hint="eastAsia" w:hAnsi="宋体"/>
          <w:sz w:val="24"/>
          <w:szCs w:val="24"/>
          <w:highlight w:val="none"/>
        </w:rPr>
        <w:t>设置</w:t>
      </w:r>
      <w:bookmarkStart w:id="298" w:name="_Hlk525292128"/>
      <w:r>
        <w:rPr>
          <w:rFonts w:hint="eastAsia" w:hAnsi="宋体"/>
          <w:sz w:val="24"/>
          <w:szCs w:val="24"/>
          <w:highlight w:val="none"/>
        </w:rPr>
        <w:t>1套离线清灰脉冲布袋除尘器，颗粒物经除尘器处理后由20m高的排气筒排放</w:t>
      </w:r>
      <w:bookmarkEnd w:id="298"/>
      <w:bookmarkStart w:id="299" w:name="_Hlk525291840"/>
      <w:r>
        <w:rPr>
          <w:rFonts w:hint="eastAsia"/>
          <w:bCs/>
          <w:sz w:val="24"/>
          <w:szCs w:val="24"/>
          <w:highlight w:val="none"/>
        </w:rPr>
        <w:t>，其主要产尘节点包括：鄂破机入料、破碎、出料过程，</w:t>
      </w:r>
      <w:r>
        <w:rPr>
          <w:rFonts w:hint="eastAsia"/>
          <w:bCs/>
          <w:sz w:val="24"/>
          <w:szCs w:val="24"/>
          <w:highlight w:val="none"/>
          <w:lang w:val="en-US" w:eastAsia="zh-CN"/>
        </w:rPr>
        <w:t>圆锥</w:t>
      </w:r>
      <w:r>
        <w:rPr>
          <w:rFonts w:hint="eastAsia"/>
          <w:bCs/>
          <w:sz w:val="24"/>
          <w:szCs w:val="24"/>
          <w:highlight w:val="none"/>
        </w:rPr>
        <w:t>破碎机入料、破碎、出料过程</w:t>
      </w:r>
      <w:bookmarkEnd w:id="299"/>
      <w:r>
        <w:rPr>
          <w:rFonts w:hint="eastAsia"/>
          <w:bCs/>
          <w:sz w:val="24"/>
          <w:szCs w:val="24"/>
          <w:highlight w:val="none"/>
        </w:rPr>
        <w:t>，振筛筛分、入料、出料过程，筛下料仓入料、出料过程。</w:t>
      </w:r>
    </w:p>
    <w:p>
      <w:pPr>
        <w:ind w:firstLine="480"/>
        <w:jc w:val="both"/>
        <w:rPr>
          <w:rFonts w:hAnsi="宋体"/>
          <w:sz w:val="24"/>
          <w:szCs w:val="24"/>
          <w:highlight w:val="none"/>
        </w:rPr>
      </w:pPr>
      <w:r>
        <w:rPr>
          <w:rFonts w:hint="eastAsia" w:hAnsi="宋体"/>
          <w:sz w:val="24"/>
          <w:szCs w:val="24"/>
          <w:highlight w:val="none"/>
        </w:rPr>
        <w:t>本项目在矿石破碎、筛分等生产过程中会产生颗粒物，各工序产尘点源强估算如下：</w:t>
      </w:r>
    </w:p>
    <w:p>
      <w:pPr>
        <w:ind w:firstLine="480"/>
        <w:jc w:val="both"/>
        <w:rPr>
          <w:rFonts w:hAnsi="宋体"/>
          <w:sz w:val="24"/>
          <w:szCs w:val="24"/>
          <w:highlight w:val="none"/>
        </w:rPr>
      </w:pPr>
      <w:r>
        <w:rPr>
          <w:rFonts w:hint="eastAsia" w:hAnsi="宋体"/>
          <w:sz w:val="24"/>
          <w:szCs w:val="24"/>
          <w:highlight w:val="none"/>
        </w:rPr>
        <w:t>①破碎过程产生的源强参照《工业污染源核算》（毛应准，中国环境科学出版社，2007）的相关参数。其中，鄂式破碎工序颗粒物产生量为0.2kg/t矿石，锤式/圆锥破碎工序颗粒物产生量为0.5kg/t矿石。</w:t>
      </w:r>
    </w:p>
    <w:p>
      <w:pPr>
        <w:ind w:firstLine="480"/>
        <w:jc w:val="both"/>
        <w:rPr>
          <w:rFonts w:hAnsi="宋体"/>
          <w:sz w:val="24"/>
          <w:szCs w:val="24"/>
          <w:highlight w:val="none"/>
        </w:rPr>
      </w:pPr>
      <w:r>
        <w:rPr>
          <w:rFonts w:hint="eastAsia" w:hAnsi="宋体"/>
          <w:sz w:val="24"/>
          <w:szCs w:val="24"/>
          <w:highlight w:val="none"/>
        </w:rPr>
        <w:t>②筛分过程产生的颗粒物参照《采石场大气污染物源强分析研究》（资源调查与环境，2003年，第24卷第4期），筛分工序颗粒物产生量为筛分物料的0.05%，考虑到本项目筛分过程喷淋加水抑尘，抑尘效果按60%计，故本项目筛分工序产尘系数为筛分物料的0.02%。</w:t>
      </w:r>
    </w:p>
    <w:p>
      <w:pPr>
        <w:ind w:firstLine="480"/>
        <w:jc w:val="both"/>
        <w:rPr>
          <w:rFonts w:hAnsi="宋体"/>
          <w:sz w:val="24"/>
          <w:szCs w:val="24"/>
          <w:highlight w:val="none"/>
        </w:rPr>
      </w:pPr>
      <w:r>
        <w:rPr>
          <w:rFonts w:hint="eastAsia" w:hAnsi="宋体"/>
          <w:sz w:val="24"/>
          <w:szCs w:val="24"/>
          <w:highlight w:val="none"/>
        </w:rPr>
        <w:t>③类比其他资料，中转仓入料、出料过程产生的颗粒物为原料量为0.01%。</w:t>
      </w:r>
    </w:p>
    <w:p>
      <w:pPr>
        <w:ind w:firstLine="480"/>
        <w:jc w:val="both"/>
        <w:rPr>
          <w:bCs/>
          <w:sz w:val="24"/>
          <w:szCs w:val="24"/>
          <w:highlight w:val="none"/>
        </w:rPr>
      </w:pPr>
      <w:r>
        <w:rPr>
          <w:rFonts w:hint="eastAsia"/>
          <w:bCs/>
          <w:sz w:val="24"/>
          <w:szCs w:val="24"/>
          <w:highlight w:val="none"/>
        </w:rPr>
        <w:t>除尘器的设计风量参照《唐山市人民政府关于对采石场实施环节保护专项整治行动的通知》（唐政【2013】128号）中“采石场环境保护专项整治标准”第八条“单台破碎、筛分设备的除尘设计风量按大于12000m</w:t>
      </w:r>
      <w:r>
        <w:rPr>
          <w:rFonts w:hint="eastAsia"/>
          <w:bCs/>
          <w:sz w:val="24"/>
          <w:szCs w:val="24"/>
          <w:highlight w:val="none"/>
          <w:vertAlign w:val="superscript"/>
        </w:rPr>
        <w:t>3</w:t>
      </w:r>
      <w:r>
        <w:rPr>
          <w:rFonts w:hint="eastAsia"/>
          <w:bCs/>
          <w:sz w:val="24"/>
          <w:szCs w:val="24"/>
          <w:highlight w:val="none"/>
        </w:rPr>
        <w:t>/h计算”，本项目单台破碎机、筛分设备、料仓入料、出料过程的除尘设计风量按不小于12000 m</w:t>
      </w:r>
      <w:r>
        <w:rPr>
          <w:rFonts w:hint="eastAsia"/>
          <w:bCs/>
          <w:sz w:val="24"/>
          <w:szCs w:val="24"/>
          <w:highlight w:val="none"/>
          <w:vertAlign w:val="superscript"/>
        </w:rPr>
        <w:t>3</w:t>
      </w:r>
      <w:r>
        <w:rPr>
          <w:rFonts w:hint="eastAsia"/>
          <w:bCs/>
          <w:sz w:val="24"/>
          <w:szCs w:val="24"/>
          <w:highlight w:val="none"/>
        </w:rPr>
        <w:t>/h计算</w:t>
      </w:r>
      <w:r>
        <w:rPr>
          <w:bCs/>
          <w:sz w:val="24"/>
          <w:szCs w:val="24"/>
          <w:highlight w:val="none"/>
        </w:rPr>
        <w:t>。集气罩集气效率按9</w:t>
      </w:r>
      <w:r>
        <w:rPr>
          <w:rFonts w:hint="eastAsia"/>
          <w:bCs/>
          <w:sz w:val="24"/>
          <w:szCs w:val="24"/>
          <w:highlight w:val="none"/>
        </w:rPr>
        <w:t>5</w:t>
      </w:r>
      <w:r>
        <w:rPr>
          <w:bCs/>
          <w:sz w:val="24"/>
          <w:szCs w:val="24"/>
          <w:highlight w:val="none"/>
        </w:rPr>
        <w:t>%计，</w:t>
      </w:r>
      <w:r>
        <w:rPr>
          <w:rFonts w:hint="eastAsia"/>
          <w:bCs/>
          <w:sz w:val="24"/>
          <w:szCs w:val="24"/>
          <w:highlight w:val="none"/>
        </w:rPr>
        <w:t>离线清灰</w:t>
      </w:r>
      <w:r>
        <w:rPr>
          <w:bCs/>
          <w:sz w:val="24"/>
          <w:szCs w:val="24"/>
          <w:highlight w:val="none"/>
        </w:rPr>
        <w:t>脉冲除尘器除尘效率</w:t>
      </w:r>
      <w:r>
        <w:rPr>
          <w:rFonts w:hint="eastAsia"/>
          <w:bCs/>
          <w:sz w:val="24"/>
          <w:szCs w:val="24"/>
          <w:highlight w:val="none"/>
        </w:rPr>
        <w:t>按99</w:t>
      </w:r>
      <w:r>
        <w:rPr>
          <w:bCs/>
          <w:sz w:val="24"/>
          <w:szCs w:val="24"/>
          <w:highlight w:val="none"/>
        </w:rPr>
        <w:t>%</w:t>
      </w:r>
      <w:r>
        <w:rPr>
          <w:rFonts w:hint="eastAsia"/>
          <w:bCs/>
          <w:sz w:val="24"/>
          <w:szCs w:val="24"/>
          <w:highlight w:val="none"/>
        </w:rPr>
        <w:t>计。</w:t>
      </w:r>
    </w:p>
    <w:p>
      <w:pPr>
        <w:ind w:firstLine="480"/>
        <w:jc w:val="both"/>
        <w:rPr>
          <w:bCs/>
          <w:sz w:val="24"/>
          <w:szCs w:val="24"/>
          <w:highlight w:val="none"/>
        </w:rPr>
      </w:pPr>
      <w:r>
        <w:rPr>
          <w:rFonts w:hint="eastAsia"/>
          <w:bCs/>
          <w:sz w:val="24"/>
          <w:szCs w:val="24"/>
          <w:highlight w:val="none"/>
        </w:rPr>
        <w:t>本项目颗粒物产生量情况见表3.</w:t>
      </w:r>
      <w:r>
        <w:rPr>
          <w:rFonts w:hint="eastAsia"/>
          <w:bCs/>
          <w:sz w:val="24"/>
          <w:szCs w:val="24"/>
          <w:highlight w:val="none"/>
          <w:lang w:val="en-US" w:eastAsia="zh-CN"/>
        </w:rPr>
        <w:t>4</w:t>
      </w:r>
      <w:r>
        <w:rPr>
          <w:rFonts w:hint="eastAsia"/>
          <w:bCs/>
          <w:sz w:val="24"/>
          <w:szCs w:val="24"/>
          <w:highlight w:val="none"/>
        </w:rPr>
        <w:t>-</w:t>
      </w:r>
      <w:r>
        <w:rPr>
          <w:rFonts w:hint="eastAsia"/>
          <w:bCs/>
          <w:sz w:val="24"/>
          <w:szCs w:val="24"/>
          <w:highlight w:val="none"/>
          <w:lang w:val="en-US" w:eastAsia="zh-CN"/>
        </w:rPr>
        <w:t>1</w:t>
      </w:r>
      <w:r>
        <w:rPr>
          <w:rFonts w:hint="eastAsia"/>
          <w:bCs/>
          <w:sz w:val="24"/>
          <w:szCs w:val="24"/>
          <w:highlight w:val="none"/>
        </w:rPr>
        <w:t>，除尘器配置情况及颗粒物达标分析见表3.</w:t>
      </w:r>
      <w:r>
        <w:rPr>
          <w:rFonts w:hint="eastAsia"/>
          <w:bCs/>
          <w:sz w:val="24"/>
          <w:szCs w:val="24"/>
          <w:highlight w:val="none"/>
          <w:lang w:val="en-US" w:eastAsia="zh-CN"/>
        </w:rPr>
        <w:t>4</w:t>
      </w:r>
      <w:r>
        <w:rPr>
          <w:rFonts w:hint="eastAsia"/>
          <w:bCs/>
          <w:sz w:val="24"/>
          <w:szCs w:val="24"/>
          <w:highlight w:val="none"/>
        </w:rPr>
        <w:t>-</w:t>
      </w:r>
      <w:r>
        <w:rPr>
          <w:rFonts w:hint="eastAsia"/>
          <w:bCs/>
          <w:sz w:val="24"/>
          <w:szCs w:val="24"/>
          <w:highlight w:val="none"/>
          <w:lang w:val="en-US" w:eastAsia="zh-CN"/>
        </w:rPr>
        <w:t>2</w:t>
      </w:r>
      <w:r>
        <w:rPr>
          <w:rFonts w:hint="eastAsia"/>
          <w:bCs/>
          <w:sz w:val="24"/>
          <w:szCs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表3.</w:t>
      </w:r>
      <w:r>
        <w:rPr>
          <w:rFonts w:hint="eastAsia" w:eastAsia="黑体"/>
          <w:bCs/>
          <w:kern w:val="2"/>
          <w:sz w:val="21"/>
          <w:szCs w:val="21"/>
          <w:highlight w:val="none"/>
          <w:lang w:val="en-US" w:eastAsia="zh-CN"/>
        </w:rPr>
        <w:t>4</w:t>
      </w:r>
      <w:r>
        <w:rPr>
          <w:rFonts w:eastAsia="黑体"/>
          <w:bCs/>
          <w:kern w:val="2"/>
          <w:sz w:val="21"/>
          <w:szCs w:val="21"/>
          <w:highlight w:val="none"/>
        </w:rPr>
        <w:t>-</w:t>
      </w:r>
      <w:r>
        <w:rPr>
          <w:rFonts w:hint="eastAsia" w:eastAsia="黑体"/>
          <w:bCs/>
          <w:kern w:val="2"/>
          <w:sz w:val="21"/>
          <w:szCs w:val="21"/>
          <w:highlight w:val="none"/>
          <w:lang w:val="en-US" w:eastAsia="zh-CN"/>
        </w:rPr>
        <w:t>1</w:t>
      </w:r>
      <w:r>
        <w:rPr>
          <w:rFonts w:eastAsia="黑体"/>
          <w:bCs/>
          <w:kern w:val="2"/>
          <w:sz w:val="21"/>
          <w:szCs w:val="21"/>
          <w:highlight w:val="none"/>
        </w:rPr>
        <w:t>破碎筛分生产线有组织废气排放情况表</w:t>
      </w:r>
    </w:p>
    <w:tbl>
      <w:tblPr>
        <w:tblStyle w:val="48"/>
        <w:tblW w:w="8287"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27"/>
        <w:gridCol w:w="2193"/>
        <w:gridCol w:w="1759"/>
        <w:gridCol w:w="1351"/>
        <w:gridCol w:w="1657"/>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340" w:hRule="atLeast"/>
        </w:trPr>
        <w:tc>
          <w:tcPr>
            <w:tcW w:w="1327" w:type="dxa"/>
            <w:vAlign w:val="center"/>
          </w:tcPr>
          <w:p>
            <w:pPr>
              <w:spacing w:line="240" w:lineRule="atLeast"/>
              <w:ind w:firstLine="0" w:firstLineChars="0"/>
              <w:contextualSpacing/>
              <w:rPr>
                <w:rFonts w:hAnsi="宋体"/>
                <w:sz w:val="21"/>
                <w:szCs w:val="21"/>
                <w:highlight w:val="none"/>
              </w:rPr>
            </w:pPr>
            <w:r>
              <w:rPr>
                <w:rFonts w:hint="eastAsia" w:hAnsi="宋体"/>
                <w:sz w:val="21"/>
                <w:szCs w:val="21"/>
                <w:highlight w:val="none"/>
              </w:rPr>
              <w:t>生产线</w:t>
            </w:r>
          </w:p>
        </w:tc>
        <w:tc>
          <w:tcPr>
            <w:tcW w:w="2193" w:type="dxa"/>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产尘点</w:t>
            </w:r>
          </w:p>
        </w:tc>
        <w:tc>
          <w:tcPr>
            <w:tcW w:w="1759" w:type="dxa"/>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物料处理量</w:t>
            </w:r>
          </w:p>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（万t/a）</w:t>
            </w:r>
          </w:p>
        </w:tc>
        <w:tc>
          <w:tcPr>
            <w:tcW w:w="1351" w:type="dxa"/>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产尘系数</w:t>
            </w:r>
          </w:p>
        </w:tc>
        <w:tc>
          <w:tcPr>
            <w:tcW w:w="1657" w:type="dxa"/>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颗粒物产生量（t/a）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27" w:type="dxa"/>
            <w:vMerge w:val="restart"/>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破碎筛分</w:t>
            </w:r>
          </w:p>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生产线</w:t>
            </w:r>
          </w:p>
        </w:tc>
        <w:tc>
          <w:tcPr>
            <w:tcW w:w="2193"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颚式破碎机</w:t>
            </w:r>
          </w:p>
        </w:tc>
        <w:tc>
          <w:tcPr>
            <w:tcW w:w="1759"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30</w:t>
            </w:r>
          </w:p>
        </w:tc>
        <w:tc>
          <w:tcPr>
            <w:tcW w:w="1351"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0.2kg/t</w:t>
            </w:r>
          </w:p>
        </w:tc>
        <w:tc>
          <w:tcPr>
            <w:tcW w:w="1657" w:type="dxa"/>
            <w:vAlign w:val="center"/>
          </w:tcPr>
          <w:p>
            <w:pPr>
              <w:spacing w:line="240" w:lineRule="atLeast"/>
              <w:ind w:firstLine="23" w:firstLineChars="11"/>
              <w:jc w:val="center"/>
              <w:rPr>
                <w:rFonts w:hAnsi="宋体"/>
                <w:sz w:val="21"/>
                <w:szCs w:val="21"/>
                <w:highlight w:val="none"/>
              </w:rPr>
            </w:pPr>
            <w:r>
              <w:rPr>
                <w:rFonts w:hint="eastAsia"/>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27" w:type="dxa"/>
            <w:vMerge w:val="continue"/>
            <w:vAlign w:val="center"/>
          </w:tcPr>
          <w:p>
            <w:pPr>
              <w:spacing w:line="240" w:lineRule="atLeast"/>
              <w:ind w:firstLine="0" w:firstLineChars="0"/>
              <w:contextualSpacing/>
              <w:jc w:val="center"/>
              <w:rPr>
                <w:rFonts w:hAnsi="宋体"/>
                <w:sz w:val="21"/>
                <w:szCs w:val="21"/>
                <w:highlight w:val="none"/>
              </w:rPr>
            </w:pPr>
          </w:p>
        </w:tc>
        <w:tc>
          <w:tcPr>
            <w:tcW w:w="2193"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lang w:val="en-US" w:eastAsia="zh-CN"/>
              </w:rPr>
              <w:t>圆锥</w:t>
            </w:r>
            <w:r>
              <w:rPr>
                <w:rFonts w:hint="eastAsia" w:hAnsi="宋体"/>
                <w:sz w:val="21"/>
                <w:szCs w:val="21"/>
                <w:highlight w:val="none"/>
              </w:rPr>
              <w:t>破碎机</w:t>
            </w:r>
          </w:p>
        </w:tc>
        <w:tc>
          <w:tcPr>
            <w:tcW w:w="1759" w:type="dxa"/>
            <w:vAlign w:val="center"/>
          </w:tcPr>
          <w:p>
            <w:pPr>
              <w:spacing w:line="240" w:lineRule="atLeast"/>
              <w:ind w:firstLine="23" w:firstLineChars="11"/>
              <w:contextualSpacing/>
              <w:jc w:val="center"/>
              <w:rPr>
                <w:rFonts w:hint="default" w:hAnsi="宋体" w:eastAsia="宋体"/>
                <w:sz w:val="21"/>
                <w:szCs w:val="21"/>
                <w:highlight w:val="none"/>
                <w:lang w:val="en-US" w:eastAsia="zh-CN"/>
              </w:rPr>
            </w:pPr>
            <w:r>
              <w:rPr>
                <w:rFonts w:hint="eastAsia" w:hAnsi="宋体"/>
                <w:sz w:val="21"/>
                <w:szCs w:val="21"/>
                <w:highlight w:val="none"/>
                <w:lang w:val="en-US" w:eastAsia="zh-CN"/>
              </w:rPr>
              <w:t>48</w:t>
            </w:r>
          </w:p>
        </w:tc>
        <w:tc>
          <w:tcPr>
            <w:tcW w:w="1351"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0.5kg/t</w:t>
            </w:r>
          </w:p>
        </w:tc>
        <w:tc>
          <w:tcPr>
            <w:tcW w:w="1657" w:type="dxa"/>
            <w:vAlign w:val="center"/>
          </w:tcPr>
          <w:p>
            <w:pPr>
              <w:spacing w:line="240" w:lineRule="atLeast"/>
              <w:ind w:firstLine="23" w:firstLineChars="11"/>
              <w:jc w:val="center"/>
              <w:rPr>
                <w:rFonts w:hAnsi="宋体"/>
                <w:sz w:val="21"/>
                <w:szCs w:val="21"/>
                <w:highlight w:val="none"/>
              </w:rPr>
            </w:pPr>
            <w:r>
              <w:rPr>
                <w:rFonts w:hint="eastAsia" w:hAnsi="宋体"/>
                <w:sz w:val="21"/>
                <w:szCs w:val="21"/>
                <w:highlight w:val="none"/>
              </w:rPr>
              <w:t>90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27" w:type="dxa"/>
            <w:vMerge w:val="continue"/>
            <w:vAlign w:val="center"/>
          </w:tcPr>
          <w:p>
            <w:pPr>
              <w:spacing w:line="240" w:lineRule="atLeast"/>
              <w:ind w:firstLine="0" w:firstLineChars="0"/>
              <w:contextualSpacing/>
              <w:jc w:val="center"/>
              <w:rPr>
                <w:rFonts w:hAnsi="宋体"/>
                <w:sz w:val="21"/>
                <w:szCs w:val="21"/>
                <w:highlight w:val="none"/>
              </w:rPr>
            </w:pPr>
          </w:p>
        </w:tc>
        <w:tc>
          <w:tcPr>
            <w:tcW w:w="2193"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振动筛</w:t>
            </w:r>
          </w:p>
        </w:tc>
        <w:tc>
          <w:tcPr>
            <w:tcW w:w="1759"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48</w:t>
            </w:r>
          </w:p>
        </w:tc>
        <w:tc>
          <w:tcPr>
            <w:tcW w:w="1351"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0.02%</w:t>
            </w:r>
          </w:p>
        </w:tc>
        <w:tc>
          <w:tcPr>
            <w:tcW w:w="1657" w:type="dxa"/>
            <w:vAlign w:val="center"/>
          </w:tcPr>
          <w:p>
            <w:pPr>
              <w:spacing w:line="240" w:lineRule="atLeast"/>
              <w:ind w:firstLine="23" w:firstLineChars="11"/>
              <w:jc w:val="center"/>
              <w:rPr>
                <w:rFonts w:hAnsi="宋体"/>
                <w:sz w:val="21"/>
                <w:szCs w:val="21"/>
                <w:highlight w:val="none"/>
              </w:rPr>
            </w:pPr>
            <w:r>
              <w:rPr>
                <w:rFonts w:hint="eastAsia" w:hAnsi="宋体"/>
                <w:sz w:val="21"/>
                <w:szCs w:val="21"/>
                <w:highlight w:val="none"/>
              </w:rPr>
              <w:t>96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27" w:type="dxa"/>
            <w:vMerge w:val="continue"/>
            <w:vAlign w:val="center"/>
          </w:tcPr>
          <w:p>
            <w:pPr>
              <w:spacing w:line="240" w:lineRule="atLeast"/>
              <w:ind w:firstLine="0" w:firstLineChars="0"/>
              <w:contextualSpacing/>
              <w:rPr>
                <w:rFonts w:hAnsi="宋体"/>
                <w:sz w:val="21"/>
                <w:szCs w:val="21"/>
                <w:highlight w:val="none"/>
              </w:rPr>
            </w:pPr>
          </w:p>
        </w:tc>
        <w:tc>
          <w:tcPr>
            <w:tcW w:w="2193"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中转料仓</w:t>
            </w:r>
          </w:p>
        </w:tc>
        <w:tc>
          <w:tcPr>
            <w:tcW w:w="1759"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30</w:t>
            </w:r>
          </w:p>
        </w:tc>
        <w:tc>
          <w:tcPr>
            <w:tcW w:w="1351"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0.01%</w:t>
            </w:r>
          </w:p>
        </w:tc>
        <w:tc>
          <w:tcPr>
            <w:tcW w:w="1657" w:type="dxa"/>
            <w:vAlign w:val="center"/>
          </w:tcPr>
          <w:p>
            <w:pPr>
              <w:spacing w:line="240" w:lineRule="atLeast"/>
              <w:ind w:firstLine="23" w:firstLineChars="11"/>
              <w:jc w:val="center"/>
              <w:rPr>
                <w:rFonts w:hAnsi="宋体"/>
                <w:sz w:val="21"/>
                <w:szCs w:val="21"/>
                <w:highlight w:val="none"/>
              </w:rPr>
            </w:pPr>
            <w:r>
              <w:rPr>
                <w:rFonts w:hint="eastAsia" w:hAnsi="宋体"/>
                <w:sz w:val="21"/>
                <w:szCs w:val="21"/>
                <w:highlight w:val="none"/>
              </w:rPr>
              <w:t>30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520" w:type="dxa"/>
            <w:gridSpan w:val="2"/>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合计</w:t>
            </w:r>
          </w:p>
        </w:tc>
        <w:tc>
          <w:tcPr>
            <w:tcW w:w="1759" w:type="dxa"/>
            <w:vAlign w:val="center"/>
          </w:tcPr>
          <w:p>
            <w:pPr>
              <w:spacing w:line="240" w:lineRule="atLeast"/>
              <w:ind w:firstLine="23" w:firstLineChars="11"/>
              <w:contextualSpacing/>
              <w:jc w:val="center"/>
              <w:rPr>
                <w:rFonts w:hAnsi="宋体"/>
                <w:sz w:val="21"/>
                <w:szCs w:val="21"/>
                <w:highlight w:val="none"/>
              </w:rPr>
            </w:pPr>
          </w:p>
        </w:tc>
        <w:tc>
          <w:tcPr>
            <w:tcW w:w="1351" w:type="dxa"/>
            <w:vAlign w:val="center"/>
          </w:tcPr>
          <w:p>
            <w:pPr>
              <w:spacing w:line="240" w:lineRule="atLeast"/>
              <w:ind w:firstLine="23" w:firstLineChars="11"/>
              <w:contextualSpacing/>
              <w:jc w:val="center"/>
              <w:rPr>
                <w:rFonts w:hAnsi="宋体"/>
                <w:sz w:val="21"/>
                <w:szCs w:val="21"/>
                <w:highlight w:val="none"/>
              </w:rPr>
            </w:pPr>
          </w:p>
        </w:tc>
        <w:tc>
          <w:tcPr>
            <w:tcW w:w="1657" w:type="dxa"/>
            <w:vAlign w:val="center"/>
          </w:tcPr>
          <w:p>
            <w:pPr>
              <w:spacing w:line="240" w:lineRule="atLeast"/>
              <w:ind w:firstLine="23" w:firstLineChars="11"/>
              <w:jc w:val="center"/>
              <w:rPr>
                <w:rFonts w:hAnsi="宋体"/>
                <w:sz w:val="21"/>
                <w:szCs w:val="21"/>
                <w:highlight w:val="none"/>
              </w:rPr>
            </w:pPr>
            <w:r>
              <w:rPr>
                <w:rFonts w:hint="eastAsia" w:hAnsi="宋体"/>
                <w:sz w:val="21"/>
                <w:szCs w:val="21"/>
                <w:highlight w:val="none"/>
              </w:rPr>
              <w:t>276</w:t>
            </w:r>
          </w:p>
        </w:tc>
      </w:tr>
    </w:tbl>
    <w:p>
      <w:pPr>
        <w:ind w:firstLine="480"/>
        <w:jc w:val="both"/>
        <w:rPr>
          <w:bCs/>
          <w:sz w:val="24"/>
          <w:szCs w:val="24"/>
          <w:highlight w:val="none"/>
        </w:rPr>
      </w:pPr>
    </w:p>
    <w:p>
      <w:pPr>
        <w:ind w:firstLine="480"/>
        <w:jc w:val="both"/>
        <w:rPr>
          <w:bCs/>
          <w:sz w:val="24"/>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pP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w:t>
      </w:r>
      <w:r>
        <w:rPr>
          <w:rFonts w:hint="eastAsia" w:eastAsia="黑体"/>
          <w:bCs/>
          <w:kern w:val="2"/>
          <w:sz w:val="21"/>
          <w:szCs w:val="21"/>
          <w:highlight w:val="none"/>
        </w:rPr>
        <w:t>3.</w:t>
      </w:r>
      <w:r>
        <w:rPr>
          <w:rFonts w:hint="eastAsia" w:eastAsia="黑体"/>
          <w:bCs/>
          <w:kern w:val="2"/>
          <w:sz w:val="21"/>
          <w:szCs w:val="21"/>
          <w:highlight w:val="none"/>
          <w:lang w:val="en-US" w:eastAsia="zh-CN"/>
        </w:rPr>
        <w:t>4</w:t>
      </w:r>
      <w:r>
        <w:rPr>
          <w:rFonts w:hint="eastAsia" w:eastAsia="黑体"/>
          <w:bCs/>
          <w:kern w:val="2"/>
          <w:sz w:val="21"/>
          <w:szCs w:val="21"/>
          <w:highlight w:val="none"/>
        </w:rPr>
        <w:t>-</w:t>
      </w:r>
      <w:r>
        <w:rPr>
          <w:rFonts w:hint="eastAsia" w:eastAsia="黑体"/>
          <w:bCs/>
          <w:kern w:val="2"/>
          <w:sz w:val="21"/>
          <w:szCs w:val="21"/>
          <w:highlight w:val="none"/>
          <w:lang w:val="en-US" w:eastAsia="zh-CN"/>
        </w:rPr>
        <w:t xml:space="preserve">2 </w:t>
      </w:r>
      <w:r>
        <w:rPr>
          <w:rFonts w:hint="eastAsia" w:eastAsia="黑体"/>
          <w:bCs/>
          <w:kern w:val="2"/>
          <w:sz w:val="21"/>
          <w:szCs w:val="21"/>
          <w:highlight w:val="none"/>
        </w:rPr>
        <w:t xml:space="preserve"> 生产过程废气（颗粒物）产排污节点一览表</w:t>
      </w:r>
    </w:p>
    <w:tbl>
      <w:tblPr>
        <w:tblStyle w:val="48"/>
        <w:tblW w:w="14533"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24"/>
        <w:gridCol w:w="1065"/>
        <w:gridCol w:w="721"/>
        <w:gridCol w:w="838"/>
        <w:gridCol w:w="2783"/>
        <w:gridCol w:w="1974"/>
        <w:gridCol w:w="1690"/>
        <w:gridCol w:w="575"/>
        <w:gridCol w:w="1161"/>
        <w:gridCol w:w="775"/>
        <w:gridCol w:w="677"/>
        <w:gridCol w:w="775"/>
        <w:gridCol w:w="77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0" w:hRule="atLeast"/>
          <w:jc w:val="center"/>
        </w:trPr>
        <w:tc>
          <w:tcPr>
            <w:tcW w:w="0" w:type="auto"/>
            <w:gridSpan w:val="2"/>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工序</w:t>
            </w:r>
          </w:p>
        </w:tc>
        <w:tc>
          <w:tcPr>
            <w:tcW w:w="721" w:type="dxa"/>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节点</w:t>
            </w:r>
          </w:p>
        </w:tc>
        <w:tc>
          <w:tcPr>
            <w:tcW w:w="838" w:type="dxa"/>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排放特征</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颗粒物收集方式</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废气处理方式</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废气处理量及处理效率</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产生量</w:t>
            </w:r>
          </w:p>
        </w:tc>
        <w:tc>
          <w:tcPr>
            <w:tcW w:w="1161" w:type="dxa"/>
            <w:tcBorders>
              <w:right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进入收尘系统的量</w:t>
            </w:r>
          </w:p>
        </w:tc>
        <w:tc>
          <w:tcPr>
            <w:tcW w:w="0" w:type="auto"/>
            <w:tcBorders>
              <w:left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产生</w:t>
            </w:r>
          </w:p>
          <w:p>
            <w:pPr>
              <w:adjustRightInd w:val="0"/>
              <w:snapToGrid w:val="0"/>
              <w:spacing w:line="240" w:lineRule="atLeast"/>
              <w:ind w:firstLine="0" w:firstLineChars="0"/>
              <w:jc w:val="center"/>
              <w:rPr>
                <w:sz w:val="21"/>
                <w:szCs w:val="21"/>
                <w:highlight w:val="none"/>
              </w:rPr>
            </w:pPr>
            <w:r>
              <w:rPr>
                <w:sz w:val="21"/>
                <w:szCs w:val="21"/>
                <w:highlight w:val="none"/>
              </w:rPr>
              <w:t>浓度</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排放量</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排放</w:t>
            </w:r>
          </w:p>
          <w:p>
            <w:pPr>
              <w:adjustRightInd w:val="0"/>
              <w:snapToGrid w:val="0"/>
              <w:spacing w:line="240" w:lineRule="atLeast"/>
              <w:ind w:firstLine="0" w:firstLineChars="0"/>
              <w:jc w:val="center"/>
              <w:rPr>
                <w:sz w:val="21"/>
                <w:szCs w:val="21"/>
                <w:highlight w:val="none"/>
              </w:rPr>
            </w:pPr>
            <w:r>
              <w:rPr>
                <w:sz w:val="21"/>
                <w:szCs w:val="21"/>
                <w:highlight w:val="none"/>
              </w:rPr>
              <w:t>浓度</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排放</w:t>
            </w:r>
          </w:p>
          <w:p>
            <w:pPr>
              <w:adjustRightInd w:val="0"/>
              <w:snapToGrid w:val="0"/>
              <w:spacing w:line="240" w:lineRule="atLeast"/>
              <w:ind w:firstLine="0" w:firstLineChars="0"/>
              <w:jc w:val="center"/>
              <w:rPr>
                <w:sz w:val="21"/>
                <w:szCs w:val="21"/>
                <w:highlight w:val="none"/>
              </w:rPr>
            </w:pPr>
            <w:r>
              <w:rPr>
                <w:sz w:val="21"/>
                <w:szCs w:val="21"/>
                <w:highlight w:val="none"/>
              </w:rPr>
              <w:t>标准</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0" w:type="auto"/>
            <w:gridSpan w:val="2"/>
            <w:vMerge w:val="continue"/>
            <w:vAlign w:val="center"/>
          </w:tcPr>
          <w:p>
            <w:pPr>
              <w:adjustRightInd w:val="0"/>
              <w:snapToGrid w:val="0"/>
              <w:spacing w:line="240" w:lineRule="atLeast"/>
              <w:ind w:firstLine="420"/>
              <w:jc w:val="center"/>
              <w:rPr>
                <w:sz w:val="21"/>
                <w:szCs w:val="21"/>
                <w:highlight w:val="none"/>
              </w:rPr>
            </w:pPr>
          </w:p>
        </w:tc>
        <w:tc>
          <w:tcPr>
            <w:tcW w:w="721" w:type="dxa"/>
            <w:vMerge w:val="continue"/>
            <w:vAlign w:val="center"/>
          </w:tcPr>
          <w:p>
            <w:pPr>
              <w:adjustRightInd w:val="0"/>
              <w:snapToGrid w:val="0"/>
              <w:spacing w:line="240" w:lineRule="atLeast"/>
              <w:ind w:firstLine="420"/>
              <w:jc w:val="center"/>
              <w:rPr>
                <w:sz w:val="21"/>
                <w:szCs w:val="21"/>
                <w:highlight w:val="none"/>
              </w:rPr>
            </w:pPr>
          </w:p>
        </w:tc>
        <w:tc>
          <w:tcPr>
            <w:tcW w:w="838" w:type="dxa"/>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t/a</w:t>
            </w:r>
          </w:p>
        </w:tc>
        <w:tc>
          <w:tcPr>
            <w:tcW w:w="1161" w:type="dxa"/>
            <w:tcBorders>
              <w:right w:val="single" w:color="auto" w:sz="4" w:space="0"/>
            </w:tcBorders>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t/a</w:t>
            </w:r>
          </w:p>
        </w:tc>
        <w:tc>
          <w:tcPr>
            <w:tcW w:w="0" w:type="auto"/>
            <w:tcBorders>
              <w:left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mg/m</w:t>
            </w:r>
            <w:r>
              <w:rPr>
                <w:sz w:val="21"/>
                <w:szCs w:val="21"/>
                <w:highlight w:val="none"/>
                <w:vertAlign w:val="superscript"/>
              </w:rPr>
              <w:t>3</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t/a</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mg/m</w:t>
            </w:r>
            <w:r>
              <w:rPr>
                <w:sz w:val="21"/>
                <w:szCs w:val="21"/>
                <w:highlight w:val="none"/>
                <w:vertAlign w:val="superscript"/>
              </w:rPr>
              <w:t>3</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mg/m</w:t>
            </w:r>
            <w:r>
              <w:rPr>
                <w:sz w:val="21"/>
                <w:szCs w:val="21"/>
                <w:highlight w:val="none"/>
                <w:vertAlign w:val="superscript"/>
              </w:rPr>
              <w:t>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破碎</w:t>
            </w:r>
          </w:p>
          <w:p>
            <w:pPr>
              <w:adjustRightInd w:val="0"/>
              <w:snapToGrid w:val="0"/>
              <w:spacing w:line="240" w:lineRule="atLeast"/>
              <w:ind w:firstLine="0" w:firstLineChars="0"/>
              <w:jc w:val="center"/>
              <w:rPr>
                <w:sz w:val="21"/>
                <w:szCs w:val="21"/>
                <w:highlight w:val="none"/>
              </w:rPr>
            </w:pPr>
            <w:r>
              <w:rPr>
                <w:sz w:val="21"/>
                <w:szCs w:val="21"/>
                <w:highlight w:val="none"/>
              </w:rPr>
              <w:t>筛分生产线</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鄂破工序（1台）</w:t>
            </w: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鄂破入料</w:t>
            </w:r>
          </w:p>
        </w:tc>
        <w:tc>
          <w:tcPr>
            <w:tcW w:w="838" w:type="dxa"/>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w:t>
            </w:r>
          </w:p>
        </w:tc>
        <w:tc>
          <w:tcPr>
            <w:tcW w:w="0" w:type="auto"/>
            <w:tcBorders>
              <w:bottom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入料口设置皮质软帘封闭+喷雾抑尘</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1套离线清灰脉冲布袋除尘器+</w:t>
            </w:r>
            <w:r>
              <w:rPr>
                <w:rFonts w:hint="eastAsia"/>
                <w:sz w:val="21"/>
                <w:szCs w:val="21"/>
                <w:highlight w:val="none"/>
              </w:rPr>
              <w:t>20</w:t>
            </w:r>
            <w:r>
              <w:rPr>
                <w:sz w:val="21"/>
                <w:szCs w:val="21"/>
                <w:highlight w:val="none"/>
              </w:rPr>
              <w:t>m高排气筒</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40</w:t>
            </w:r>
            <w:r>
              <w:rPr>
                <w:sz w:val="21"/>
                <w:szCs w:val="21"/>
                <w:highlight w:val="none"/>
              </w:rPr>
              <w:t>000m</w:t>
            </w:r>
            <w:r>
              <w:rPr>
                <w:sz w:val="21"/>
                <w:szCs w:val="21"/>
                <w:highlight w:val="none"/>
                <w:vertAlign w:val="superscript"/>
              </w:rPr>
              <w:t>3</w:t>
            </w:r>
            <w:r>
              <w:rPr>
                <w:sz w:val="21"/>
                <w:szCs w:val="21"/>
                <w:highlight w:val="none"/>
              </w:rPr>
              <w:t>/h，</w:t>
            </w:r>
            <w:r>
              <w:rPr>
                <w:rFonts w:hint="eastAsia"/>
                <w:sz w:val="21"/>
                <w:szCs w:val="21"/>
                <w:highlight w:val="none"/>
              </w:rPr>
              <w:t>99</w:t>
            </w:r>
            <w:r>
              <w:rPr>
                <w:sz w:val="21"/>
                <w:szCs w:val="21"/>
                <w:highlight w:val="none"/>
              </w:rPr>
              <w:t>%</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60</w:t>
            </w:r>
          </w:p>
        </w:tc>
        <w:tc>
          <w:tcPr>
            <w:tcW w:w="1161" w:type="dxa"/>
            <w:vMerge w:val="restart"/>
            <w:tcBorders>
              <w:right w:val="single" w:color="auto" w:sz="4" w:space="0"/>
            </w:tcBorders>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57</w:t>
            </w:r>
          </w:p>
        </w:tc>
        <w:tc>
          <w:tcPr>
            <w:tcW w:w="0" w:type="auto"/>
            <w:vMerge w:val="restart"/>
            <w:tcBorders>
              <w:left w:val="single" w:color="auto" w:sz="4" w:space="0"/>
            </w:tcBorders>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910.4</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2.62</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9.1</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10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破碎过程</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Merge w:val="restart"/>
            <w:tcBorders>
              <w:top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出料口设置集气罩（1.</w:t>
            </w:r>
            <w:r>
              <w:rPr>
                <w:rFonts w:hint="eastAsia"/>
                <w:sz w:val="21"/>
                <w:szCs w:val="21"/>
                <w:highlight w:val="none"/>
              </w:rPr>
              <w:t>0</w:t>
            </w:r>
            <w:r>
              <w:rPr>
                <w:sz w:val="21"/>
                <w:szCs w:val="21"/>
                <w:highlight w:val="none"/>
              </w:rPr>
              <w:t>m×1.</w:t>
            </w:r>
            <w:r>
              <w:rPr>
                <w:rFonts w:hint="eastAsia"/>
                <w:sz w:val="21"/>
                <w:szCs w:val="21"/>
                <w:highlight w:val="none"/>
              </w:rPr>
              <w:t>0</w:t>
            </w:r>
            <w:r>
              <w:rPr>
                <w:sz w:val="21"/>
                <w:szCs w:val="21"/>
                <w:highlight w:val="none"/>
              </w:rPr>
              <w:t>m）+集尘管道</w:t>
            </w: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right w:val="single" w:color="auto" w:sz="4" w:space="0"/>
            </w:tcBorders>
            <w:vAlign w:val="center"/>
          </w:tcPr>
          <w:p>
            <w:pPr>
              <w:adjustRightInd w:val="0"/>
              <w:snapToGrid w:val="0"/>
              <w:spacing w:line="240" w:lineRule="atLeast"/>
              <w:ind w:firstLine="0" w:firstLineChars="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199" w:firstLineChars="95"/>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鄂破出料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Merge w:val="continue"/>
            <w:vAlign w:val="center"/>
          </w:tcPr>
          <w:p>
            <w:pPr>
              <w:adjustRightInd w:val="0"/>
              <w:snapToGrid w:val="0"/>
              <w:spacing w:line="240" w:lineRule="atLeast"/>
              <w:ind w:firstLine="0" w:firstLineChars="0"/>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bottom w:val="single" w:color="auto" w:sz="4" w:space="0"/>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restart"/>
            <w:vAlign w:val="center"/>
          </w:tcPr>
          <w:p>
            <w:pPr>
              <w:adjustRightInd w:val="0"/>
              <w:snapToGrid w:val="0"/>
              <w:spacing w:line="240" w:lineRule="atLeast"/>
              <w:ind w:firstLine="0" w:firstLineChars="0"/>
              <w:rPr>
                <w:sz w:val="21"/>
                <w:szCs w:val="21"/>
                <w:highlight w:val="none"/>
              </w:rPr>
            </w:pPr>
            <w:r>
              <w:rPr>
                <w:rFonts w:hint="eastAsia"/>
                <w:sz w:val="21"/>
                <w:szCs w:val="21"/>
                <w:highlight w:val="none"/>
                <w:lang w:val="en-US" w:eastAsia="zh-CN"/>
              </w:rPr>
              <w:t>锥</w:t>
            </w:r>
            <w:r>
              <w:rPr>
                <w:sz w:val="21"/>
                <w:szCs w:val="21"/>
                <w:highlight w:val="none"/>
              </w:rPr>
              <w:t>破工序（1台）</w:t>
            </w:r>
          </w:p>
        </w:tc>
        <w:tc>
          <w:tcPr>
            <w:tcW w:w="721" w:type="dxa"/>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lang w:val="en-US" w:eastAsia="zh-CN"/>
              </w:rPr>
              <w:t>锥</w:t>
            </w:r>
            <w:r>
              <w:rPr>
                <w:rFonts w:hint="eastAsia"/>
                <w:sz w:val="21"/>
                <w:szCs w:val="21"/>
                <w:highlight w:val="none"/>
              </w:rPr>
              <w:t>破</w:t>
            </w:r>
            <w:r>
              <w:rPr>
                <w:sz w:val="21"/>
                <w:szCs w:val="21"/>
                <w:highlight w:val="none"/>
              </w:rPr>
              <w:t>入料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入料口上方设置集气罩</w:t>
            </w:r>
            <w:r>
              <w:rPr>
                <w:rFonts w:hint="eastAsia"/>
                <w:sz w:val="21"/>
                <w:szCs w:val="21"/>
                <w:highlight w:val="none"/>
              </w:rPr>
              <w:t>（1.0m×1.0m）</w:t>
            </w:r>
            <w:r>
              <w:rPr>
                <w:sz w:val="21"/>
                <w:szCs w:val="21"/>
                <w:highlight w:val="none"/>
              </w:rPr>
              <w:t>+集尘管道</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90</w:t>
            </w:r>
          </w:p>
        </w:tc>
        <w:tc>
          <w:tcPr>
            <w:tcW w:w="1161" w:type="dxa"/>
            <w:vMerge w:val="restart"/>
            <w:tcBorders>
              <w:top w:val="single" w:color="auto" w:sz="4" w:space="0"/>
              <w:right w:val="single" w:color="auto" w:sz="4" w:space="0"/>
            </w:tcBorders>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85.5</w:t>
            </w: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破碎过程</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lang w:val="en-US" w:eastAsia="zh-CN"/>
              </w:rPr>
              <w:t>锥</w:t>
            </w:r>
            <w:r>
              <w:rPr>
                <w:rFonts w:hint="eastAsia"/>
                <w:sz w:val="21"/>
                <w:szCs w:val="21"/>
                <w:highlight w:val="none"/>
              </w:rPr>
              <w:t>破</w:t>
            </w:r>
            <w:r>
              <w:rPr>
                <w:sz w:val="21"/>
                <w:szCs w:val="21"/>
                <w:highlight w:val="none"/>
              </w:rPr>
              <w:t>出料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Align w:val="center"/>
          </w:tcPr>
          <w:p>
            <w:pPr>
              <w:adjustRightInd w:val="0"/>
              <w:snapToGrid w:val="0"/>
              <w:spacing w:line="240" w:lineRule="atLeast"/>
              <w:ind w:firstLine="0" w:firstLineChars="0"/>
              <w:rPr>
                <w:sz w:val="21"/>
                <w:szCs w:val="21"/>
                <w:highlight w:val="none"/>
              </w:rPr>
            </w:pPr>
            <w:r>
              <w:rPr>
                <w:sz w:val="21"/>
                <w:szCs w:val="21"/>
                <w:highlight w:val="none"/>
              </w:rPr>
              <w:t>出料口设置集气罩（1.</w:t>
            </w:r>
            <w:r>
              <w:rPr>
                <w:rFonts w:hint="eastAsia"/>
                <w:sz w:val="21"/>
                <w:szCs w:val="21"/>
                <w:highlight w:val="none"/>
              </w:rPr>
              <w:t>0</w:t>
            </w:r>
            <w:r>
              <w:rPr>
                <w:sz w:val="21"/>
                <w:szCs w:val="21"/>
                <w:highlight w:val="none"/>
              </w:rPr>
              <w:t>m×1.</w:t>
            </w:r>
            <w:r>
              <w:rPr>
                <w:rFonts w:hint="eastAsia"/>
                <w:sz w:val="21"/>
                <w:szCs w:val="21"/>
                <w:highlight w:val="none"/>
              </w:rPr>
              <w:t>0</w:t>
            </w:r>
            <w:r>
              <w:rPr>
                <w:sz w:val="21"/>
                <w:szCs w:val="21"/>
                <w:highlight w:val="none"/>
              </w:rPr>
              <w:t>m）+集尘管道</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bottom w:val="single" w:color="auto" w:sz="4" w:space="0"/>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振动筛</w:t>
            </w:r>
          </w:p>
          <w:p>
            <w:pPr>
              <w:adjustRightInd w:val="0"/>
              <w:snapToGrid w:val="0"/>
              <w:spacing w:line="240" w:lineRule="atLeast"/>
              <w:ind w:firstLine="0" w:firstLineChars="0"/>
              <w:rPr>
                <w:sz w:val="21"/>
                <w:szCs w:val="21"/>
                <w:highlight w:val="none"/>
              </w:rPr>
            </w:pPr>
            <w:r>
              <w:rPr>
                <w:sz w:val="21"/>
                <w:szCs w:val="21"/>
                <w:highlight w:val="none"/>
              </w:rPr>
              <w:t>（</w:t>
            </w:r>
            <w:r>
              <w:rPr>
                <w:rFonts w:hint="eastAsia"/>
                <w:sz w:val="21"/>
                <w:szCs w:val="21"/>
                <w:highlight w:val="none"/>
              </w:rPr>
              <w:t>1</w:t>
            </w:r>
            <w:r>
              <w:rPr>
                <w:sz w:val="21"/>
                <w:szCs w:val="21"/>
                <w:highlight w:val="none"/>
              </w:rPr>
              <w:t>台）</w:t>
            </w:r>
          </w:p>
        </w:tc>
        <w:tc>
          <w:tcPr>
            <w:tcW w:w="721" w:type="dxa"/>
            <w:vAlign w:val="center"/>
          </w:tcPr>
          <w:p>
            <w:pPr>
              <w:adjustRightInd w:val="0"/>
              <w:snapToGrid w:val="0"/>
              <w:spacing w:line="240" w:lineRule="atLeast"/>
              <w:ind w:firstLine="0" w:firstLineChars="0"/>
              <w:rPr>
                <w:sz w:val="21"/>
                <w:szCs w:val="21"/>
                <w:highlight w:val="none"/>
              </w:rPr>
            </w:pPr>
            <w:r>
              <w:rPr>
                <w:sz w:val="21"/>
                <w:szCs w:val="21"/>
                <w:highlight w:val="none"/>
              </w:rPr>
              <w:t>筛分入料</w:t>
            </w:r>
          </w:p>
        </w:tc>
        <w:tc>
          <w:tcPr>
            <w:tcW w:w="838" w:type="dxa"/>
            <w:vAlign w:val="center"/>
          </w:tcPr>
          <w:p>
            <w:pPr>
              <w:adjustRightInd w:val="0"/>
              <w:snapToGrid w:val="0"/>
              <w:spacing w:line="240" w:lineRule="atLeast"/>
              <w:ind w:firstLine="0" w:firstLineChars="0"/>
              <w:rPr>
                <w:sz w:val="21"/>
                <w:szCs w:val="21"/>
                <w:highlight w:val="none"/>
              </w:rPr>
            </w:pPr>
            <w:r>
              <w:rPr>
                <w:sz w:val="21"/>
                <w:szCs w:val="21"/>
                <w:highlight w:val="none"/>
              </w:rPr>
              <w:t>有组织</w:t>
            </w:r>
          </w:p>
        </w:tc>
        <w:tc>
          <w:tcPr>
            <w:tcW w:w="0" w:type="auto"/>
            <w:vMerge w:val="restart"/>
            <w:vAlign w:val="center"/>
          </w:tcPr>
          <w:p>
            <w:pPr>
              <w:adjustRightInd w:val="0"/>
              <w:snapToGrid w:val="0"/>
              <w:spacing w:line="240" w:lineRule="atLeast"/>
              <w:ind w:firstLine="0" w:firstLineChars="0"/>
              <w:rPr>
                <w:sz w:val="21"/>
                <w:szCs w:val="21"/>
                <w:highlight w:val="none"/>
              </w:rPr>
            </w:pPr>
            <w:r>
              <w:rPr>
                <w:sz w:val="21"/>
                <w:szCs w:val="21"/>
                <w:highlight w:val="none"/>
              </w:rPr>
              <w:t>入料口、筛面封闭+集尘管道</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96</w:t>
            </w:r>
          </w:p>
        </w:tc>
        <w:tc>
          <w:tcPr>
            <w:tcW w:w="1161" w:type="dxa"/>
            <w:vMerge w:val="restart"/>
            <w:tcBorders>
              <w:top w:val="single" w:color="auto" w:sz="4" w:space="0"/>
              <w:right w:val="single" w:color="auto" w:sz="4" w:space="0"/>
            </w:tcBorders>
            <w:vAlign w:val="center"/>
          </w:tcPr>
          <w:p>
            <w:pPr>
              <w:adjustRightInd w:val="0"/>
              <w:snapToGrid w:val="0"/>
              <w:spacing w:line="240" w:lineRule="atLeast"/>
              <w:ind w:firstLine="23" w:firstLineChars="11"/>
              <w:jc w:val="center"/>
              <w:rPr>
                <w:sz w:val="21"/>
                <w:szCs w:val="21"/>
                <w:highlight w:val="none"/>
              </w:rPr>
            </w:pPr>
            <w:r>
              <w:rPr>
                <w:rFonts w:hint="eastAsia"/>
                <w:sz w:val="21"/>
                <w:szCs w:val="21"/>
                <w:highlight w:val="none"/>
              </w:rPr>
              <w:t>91.2</w:t>
            </w: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筛分</w:t>
            </w:r>
          </w:p>
        </w:tc>
        <w:tc>
          <w:tcPr>
            <w:tcW w:w="838" w:type="dxa"/>
            <w:vAlign w:val="center"/>
          </w:tcPr>
          <w:p>
            <w:pPr>
              <w:adjustRightInd w:val="0"/>
              <w:snapToGrid w:val="0"/>
              <w:spacing w:line="240" w:lineRule="atLeast"/>
              <w:ind w:firstLine="0" w:firstLineChars="0"/>
              <w:rPr>
                <w:sz w:val="21"/>
                <w:szCs w:val="21"/>
                <w:highlight w:val="none"/>
              </w:rPr>
            </w:pPr>
            <w:r>
              <w:rPr>
                <w:rFonts w:hint="eastAsia"/>
                <w:sz w:val="21"/>
                <w:szCs w:val="21"/>
                <w:highlight w:val="none"/>
              </w:rPr>
              <w:t>有组织</w:t>
            </w:r>
          </w:p>
        </w:tc>
        <w:tc>
          <w:tcPr>
            <w:tcW w:w="0" w:type="auto"/>
            <w:vMerge w:val="continue"/>
            <w:vAlign w:val="center"/>
          </w:tcPr>
          <w:p>
            <w:pPr>
              <w:adjustRightInd w:val="0"/>
              <w:snapToGrid w:val="0"/>
              <w:spacing w:line="240" w:lineRule="atLeast"/>
              <w:ind w:firstLine="420"/>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筛分</w:t>
            </w:r>
            <w:r>
              <w:rPr>
                <w:rFonts w:hint="eastAsia"/>
                <w:sz w:val="21"/>
                <w:szCs w:val="21"/>
                <w:highlight w:val="none"/>
              </w:rPr>
              <w:t>出料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出料口设置集气罩（1.</w:t>
            </w:r>
            <w:r>
              <w:rPr>
                <w:rFonts w:hint="eastAsia"/>
                <w:sz w:val="21"/>
                <w:szCs w:val="21"/>
                <w:highlight w:val="none"/>
              </w:rPr>
              <w:t>0</w:t>
            </w:r>
            <w:r>
              <w:rPr>
                <w:sz w:val="21"/>
                <w:szCs w:val="21"/>
                <w:highlight w:val="none"/>
              </w:rPr>
              <w:t>m×1.</w:t>
            </w:r>
            <w:r>
              <w:rPr>
                <w:rFonts w:hint="eastAsia"/>
                <w:sz w:val="21"/>
                <w:szCs w:val="21"/>
                <w:highlight w:val="none"/>
              </w:rPr>
              <w:t>0</w:t>
            </w:r>
            <w:r>
              <w:rPr>
                <w:sz w:val="21"/>
                <w:szCs w:val="21"/>
                <w:highlight w:val="none"/>
              </w:rPr>
              <w:t>m）+集尘管道</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bottom w:val="single" w:color="auto" w:sz="4" w:space="0"/>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restart"/>
            <w:vAlign w:val="center"/>
          </w:tcPr>
          <w:p>
            <w:pPr>
              <w:adjustRightInd w:val="0"/>
              <w:snapToGrid w:val="0"/>
              <w:spacing w:line="240" w:lineRule="atLeast"/>
              <w:ind w:firstLine="0" w:firstLineChars="0"/>
              <w:rPr>
                <w:sz w:val="21"/>
                <w:szCs w:val="21"/>
                <w:highlight w:val="none"/>
              </w:rPr>
            </w:pPr>
            <w:r>
              <w:rPr>
                <w:rFonts w:hint="eastAsia"/>
                <w:sz w:val="21"/>
                <w:szCs w:val="21"/>
                <w:highlight w:val="none"/>
              </w:rPr>
              <w:t>中转</w:t>
            </w:r>
            <w:r>
              <w:rPr>
                <w:sz w:val="21"/>
                <w:szCs w:val="21"/>
                <w:highlight w:val="none"/>
              </w:rPr>
              <w:t>料仓（1座）</w:t>
            </w: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入料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tcBorders>
              <w:bottom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料仓顶部封闭+集尘管道，留有皮带落料口</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30</w:t>
            </w:r>
          </w:p>
        </w:tc>
        <w:tc>
          <w:tcPr>
            <w:tcW w:w="1161" w:type="dxa"/>
            <w:vMerge w:val="restart"/>
            <w:tcBorders>
              <w:top w:val="single" w:color="auto" w:sz="4" w:space="0"/>
              <w:right w:val="single" w:color="auto" w:sz="4" w:space="0"/>
            </w:tcBorders>
            <w:vAlign w:val="center"/>
          </w:tcPr>
          <w:p>
            <w:pPr>
              <w:adjustRightInd w:val="0"/>
              <w:snapToGrid w:val="0"/>
              <w:spacing w:line="240" w:lineRule="atLeast"/>
              <w:ind w:firstLine="23" w:firstLineChars="11"/>
              <w:jc w:val="center"/>
              <w:rPr>
                <w:sz w:val="21"/>
                <w:szCs w:val="21"/>
                <w:highlight w:val="none"/>
              </w:rPr>
            </w:pPr>
            <w:r>
              <w:rPr>
                <w:rFonts w:hint="eastAsia"/>
                <w:sz w:val="21"/>
                <w:szCs w:val="21"/>
                <w:highlight w:val="none"/>
              </w:rPr>
              <w:t>28.5</w:t>
            </w: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出料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tcBorders>
              <w:top w:val="single" w:color="auto" w:sz="4" w:space="0"/>
            </w:tcBorders>
            <w:vAlign w:val="center"/>
          </w:tcPr>
          <w:p>
            <w:pPr>
              <w:adjustRightInd w:val="0"/>
              <w:snapToGrid w:val="0"/>
              <w:spacing w:line="240" w:lineRule="atLeast"/>
              <w:ind w:firstLine="0" w:firstLineChars="0"/>
              <w:rPr>
                <w:sz w:val="21"/>
                <w:szCs w:val="21"/>
                <w:highlight w:val="none"/>
              </w:rPr>
            </w:pPr>
            <w:r>
              <w:rPr>
                <w:sz w:val="21"/>
                <w:szCs w:val="21"/>
                <w:highlight w:val="none"/>
              </w:rPr>
              <w:t>出料口设置集气罩（</w:t>
            </w:r>
            <w:r>
              <w:rPr>
                <w:rFonts w:hint="eastAsia"/>
                <w:sz w:val="21"/>
                <w:szCs w:val="21"/>
                <w:highlight w:val="none"/>
              </w:rPr>
              <w:t>0.8</w:t>
            </w:r>
            <w:r>
              <w:rPr>
                <w:sz w:val="21"/>
                <w:szCs w:val="21"/>
                <w:highlight w:val="none"/>
              </w:rPr>
              <w:t>m×</w:t>
            </w:r>
            <w:r>
              <w:rPr>
                <w:rFonts w:hint="eastAsia"/>
                <w:sz w:val="21"/>
                <w:szCs w:val="21"/>
                <w:highlight w:val="none"/>
              </w:rPr>
              <w:t>0.8</w:t>
            </w:r>
            <w:r>
              <w:rPr>
                <w:sz w:val="21"/>
                <w:szCs w:val="21"/>
                <w:highlight w:val="none"/>
              </w:rPr>
              <w:t>m）+集尘管道</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1161" w:type="dxa"/>
            <w:vMerge w:val="continue"/>
            <w:tcBorders>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bl>
    <w:p>
      <w:pPr>
        <w:ind w:firstLine="480"/>
        <w:jc w:val="both"/>
        <w:rPr>
          <w:bCs/>
          <w:sz w:val="24"/>
          <w:szCs w:val="24"/>
          <w:highlight w:val="green"/>
        </w:rPr>
      </w:pPr>
    </w:p>
    <w:p>
      <w:pPr>
        <w:ind w:firstLine="480"/>
        <w:jc w:val="both"/>
        <w:rPr>
          <w:bCs/>
          <w:sz w:val="24"/>
          <w:szCs w:val="24"/>
          <w:highlight w:val="green"/>
        </w:rPr>
      </w:pPr>
    </w:p>
    <w:p>
      <w:pPr>
        <w:ind w:firstLine="480"/>
        <w:jc w:val="both"/>
        <w:rPr>
          <w:bCs/>
          <w:sz w:val="24"/>
          <w:szCs w:val="24"/>
          <w:highlight w:val="gree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linePitch="381" w:charSpace="0"/>
        </w:sectPr>
      </w:pPr>
    </w:p>
    <w:p>
      <w:pPr>
        <w:ind w:firstLine="480"/>
        <w:jc w:val="both"/>
        <w:rPr>
          <w:bCs/>
          <w:sz w:val="24"/>
          <w:szCs w:val="24"/>
          <w:highlight w:val="none"/>
        </w:rPr>
      </w:pPr>
      <w:r>
        <w:rPr>
          <w:rFonts w:hint="eastAsia"/>
          <w:bCs/>
          <w:sz w:val="24"/>
          <w:szCs w:val="24"/>
          <w:highlight w:val="none"/>
        </w:rPr>
        <w:t>（2）无组织排放颗粒物</w:t>
      </w:r>
    </w:p>
    <w:p>
      <w:pPr>
        <w:ind w:firstLine="480"/>
        <w:jc w:val="both"/>
        <w:rPr>
          <w:bCs/>
          <w:sz w:val="24"/>
          <w:szCs w:val="24"/>
          <w:highlight w:val="none"/>
        </w:rPr>
      </w:pPr>
      <w:r>
        <w:rPr>
          <w:rFonts w:hint="eastAsia"/>
          <w:bCs/>
          <w:sz w:val="24"/>
          <w:szCs w:val="24"/>
          <w:highlight w:val="none"/>
        </w:rPr>
        <w:t>①</w:t>
      </w:r>
      <w:r>
        <w:rPr>
          <w:bCs/>
          <w:sz w:val="24"/>
          <w:szCs w:val="24"/>
          <w:highlight w:val="none"/>
        </w:rPr>
        <w:t>上料粉尘</w:t>
      </w:r>
    </w:p>
    <w:p>
      <w:pPr>
        <w:ind w:firstLine="480"/>
        <w:jc w:val="both"/>
        <w:rPr>
          <w:bCs/>
          <w:sz w:val="24"/>
          <w:szCs w:val="24"/>
          <w:highlight w:val="none"/>
        </w:rPr>
      </w:pPr>
      <w:r>
        <w:rPr>
          <w:bCs/>
          <w:sz w:val="24"/>
          <w:szCs w:val="24"/>
          <w:highlight w:val="none"/>
        </w:rPr>
        <w:t>本项目</w:t>
      </w:r>
      <w:r>
        <w:rPr>
          <w:rFonts w:hint="eastAsia"/>
          <w:bCs/>
          <w:sz w:val="24"/>
          <w:szCs w:val="24"/>
          <w:highlight w:val="none"/>
          <w:lang w:val="en-US" w:eastAsia="zh-CN"/>
        </w:rPr>
        <w:t>原矿石不在厂区内存储，运输车辆进厂后直接进入进深不小于8米的原料棚内</w:t>
      </w:r>
      <w:r>
        <w:rPr>
          <w:bCs/>
          <w:sz w:val="24"/>
          <w:szCs w:val="24"/>
          <w:highlight w:val="none"/>
        </w:rPr>
        <w:t>，</w:t>
      </w:r>
      <w:r>
        <w:rPr>
          <w:rFonts w:hint="eastAsia"/>
          <w:bCs/>
          <w:sz w:val="24"/>
          <w:szCs w:val="24"/>
          <w:highlight w:val="none"/>
          <w:lang w:val="en-US" w:eastAsia="zh-CN"/>
        </w:rPr>
        <w:t>卸料至受料仓，受料仓顶部</w:t>
      </w:r>
      <w:r>
        <w:rPr>
          <w:bCs/>
          <w:sz w:val="24"/>
          <w:szCs w:val="24"/>
          <w:highlight w:val="none"/>
        </w:rPr>
        <w:t>设置喷淋抑尘装置。根据同类企业实际运行效果，采取以上方式后，上料粉尘产生量很少。</w:t>
      </w:r>
    </w:p>
    <w:p>
      <w:pPr>
        <w:ind w:firstLine="480"/>
        <w:jc w:val="both"/>
        <w:rPr>
          <w:bCs/>
          <w:sz w:val="24"/>
          <w:szCs w:val="24"/>
          <w:highlight w:val="none"/>
        </w:rPr>
      </w:pPr>
      <w:r>
        <w:rPr>
          <w:rFonts w:hint="eastAsia"/>
          <w:bCs/>
          <w:sz w:val="24"/>
          <w:szCs w:val="24"/>
          <w:highlight w:val="none"/>
        </w:rPr>
        <w:t>②</w:t>
      </w:r>
      <w:r>
        <w:rPr>
          <w:bCs/>
          <w:sz w:val="24"/>
          <w:szCs w:val="24"/>
          <w:highlight w:val="none"/>
        </w:rPr>
        <w:t>堆场粉尘</w:t>
      </w:r>
    </w:p>
    <w:p>
      <w:pPr>
        <w:ind w:firstLine="480"/>
        <w:jc w:val="both"/>
        <w:rPr>
          <w:bCs/>
          <w:sz w:val="24"/>
          <w:szCs w:val="24"/>
          <w:highlight w:val="none"/>
        </w:rPr>
      </w:pPr>
      <w:r>
        <w:rPr>
          <w:bCs/>
          <w:sz w:val="24"/>
          <w:szCs w:val="24"/>
          <w:highlight w:val="none"/>
        </w:rPr>
        <w:t>本项目</w:t>
      </w:r>
      <w:r>
        <w:rPr>
          <w:rFonts w:hint="eastAsia"/>
          <w:bCs/>
          <w:sz w:val="24"/>
          <w:szCs w:val="24"/>
          <w:highlight w:val="none"/>
          <w:lang w:val="en-US" w:eastAsia="zh-CN"/>
        </w:rPr>
        <w:t>设置</w:t>
      </w:r>
      <w:r>
        <w:rPr>
          <w:rFonts w:hint="eastAsia"/>
          <w:bCs/>
          <w:sz w:val="24"/>
          <w:szCs w:val="24"/>
          <w:highlight w:val="none"/>
        </w:rPr>
        <w:t>1座</w:t>
      </w:r>
      <w:r>
        <w:rPr>
          <w:rFonts w:hint="eastAsia"/>
          <w:bCs/>
          <w:sz w:val="24"/>
          <w:szCs w:val="24"/>
          <w:highlight w:val="none"/>
          <w:lang w:val="en-US" w:eastAsia="zh-CN"/>
        </w:rPr>
        <w:t>成品库</w:t>
      </w:r>
      <w:r>
        <w:rPr>
          <w:rFonts w:hint="eastAsia"/>
          <w:bCs/>
          <w:sz w:val="24"/>
          <w:szCs w:val="24"/>
          <w:highlight w:val="none"/>
        </w:rPr>
        <w:t>，</w:t>
      </w:r>
      <w:r>
        <w:rPr>
          <w:rFonts w:hint="eastAsia"/>
          <w:bCs/>
          <w:sz w:val="24"/>
          <w:szCs w:val="24"/>
          <w:highlight w:val="none"/>
          <w:lang w:val="en-US" w:eastAsia="zh-CN"/>
        </w:rPr>
        <w:t>用于存储改扩建工程产生的砂石料，其余储运工程依托厂区现有设施，砂石料由湿式作业振动筛、沙船产出，</w:t>
      </w:r>
      <w:r>
        <w:rPr>
          <w:bCs/>
          <w:sz w:val="24"/>
          <w:szCs w:val="24"/>
          <w:highlight w:val="none"/>
        </w:rPr>
        <w:t>含水率较高，平均为10~15%，均堆存在封闭厂房内，同时设有喷淋装置，粉尘产生量很少。</w:t>
      </w:r>
    </w:p>
    <w:p>
      <w:pPr>
        <w:ind w:firstLine="480"/>
        <w:jc w:val="both"/>
        <w:rPr>
          <w:bCs/>
          <w:sz w:val="24"/>
          <w:szCs w:val="24"/>
          <w:highlight w:val="none"/>
        </w:rPr>
      </w:pPr>
      <w:r>
        <w:rPr>
          <w:rFonts w:hint="eastAsia"/>
          <w:bCs/>
          <w:sz w:val="24"/>
          <w:szCs w:val="24"/>
          <w:highlight w:val="none"/>
          <w:lang w:val="en-US" w:eastAsia="zh-CN"/>
        </w:rPr>
        <w:t>物料</w:t>
      </w:r>
      <w:r>
        <w:rPr>
          <w:bCs/>
          <w:sz w:val="24"/>
          <w:szCs w:val="24"/>
          <w:highlight w:val="none"/>
        </w:rPr>
        <w:t>装卸过程颗粒物产生量参照环境保护部发布的《大气可吸入颗粒物一次源排放清单编制技术指南（试行）》等5项技术指南的公告（公告2014年第92 号）中《扬尘源颗粒物排放清单编制技术指南》的堆场扬尘源排放量计算方法进行计算。</w:t>
      </w:r>
    </w:p>
    <w:p>
      <w:pPr>
        <w:ind w:firstLine="480"/>
        <w:jc w:val="both"/>
        <w:rPr>
          <w:bCs/>
          <w:sz w:val="24"/>
          <w:szCs w:val="24"/>
          <w:highlight w:val="none"/>
        </w:rPr>
      </w:pPr>
      <w:r>
        <w:rPr>
          <w:bCs/>
          <w:sz w:val="24"/>
          <w:szCs w:val="24"/>
          <w:highlight w:val="none"/>
        </w:rPr>
        <w:t>计算公式如下：</w:t>
      </w:r>
    </w:p>
    <w:p>
      <w:pPr>
        <w:ind w:firstLine="480"/>
        <w:jc w:val="both"/>
        <w:rPr>
          <w:bCs/>
          <w:sz w:val="24"/>
          <w:szCs w:val="24"/>
          <w:highlight w:val="none"/>
        </w:rPr>
      </w:pPr>
      <w:r>
        <w:rPr>
          <w:bCs/>
          <w:sz w:val="24"/>
          <w:szCs w:val="24"/>
          <w:highlight w:val="none"/>
        </w:rPr>
        <w:t>堆场风蚀扬尘排放系数E</w:t>
      </w:r>
      <w:r>
        <w:rPr>
          <w:bCs/>
          <w:sz w:val="24"/>
          <w:szCs w:val="24"/>
          <w:highlight w:val="none"/>
          <w:vertAlign w:val="subscript"/>
        </w:rPr>
        <w:t>w</w:t>
      </w:r>
      <w:r>
        <w:rPr>
          <w:bCs/>
          <w:sz w:val="24"/>
          <w:szCs w:val="24"/>
          <w:highlight w:val="none"/>
        </w:rPr>
        <w:t>的计算方法用下式计算：</w:t>
      </w:r>
    </w:p>
    <w:p>
      <w:pPr>
        <w:ind w:left="280" w:leftChars="100" w:firstLine="240" w:firstLineChars="100"/>
        <w:jc w:val="both"/>
        <w:rPr>
          <w:bCs/>
          <w:sz w:val="24"/>
          <w:szCs w:val="24"/>
          <w:highlight w:val="none"/>
        </w:rPr>
      </w:pPr>
      <w:r>
        <w:rPr>
          <w:sz w:val="24"/>
          <w:szCs w:val="24"/>
          <w:highlight w:val="none"/>
        </w:rPr>
        <w:drawing>
          <wp:inline distT="0" distB="0" distL="0" distR="0">
            <wp:extent cx="2438400" cy="510540"/>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noChangeArrowheads="1"/>
                    </pic:cNvPicPr>
                  </pic:nvPicPr>
                  <pic:blipFill>
                    <a:blip r:embed="rId27" cstate="print"/>
                    <a:srcRect/>
                    <a:stretch>
                      <a:fillRect/>
                    </a:stretch>
                  </pic:blipFill>
                  <pic:spPr>
                    <a:xfrm>
                      <a:off x="0" y="0"/>
                      <a:ext cx="2438400" cy="510540"/>
                    </a:xfrm>
                    <a:prstGeom prst="rect">
                      <a:avLst/>
                    </a:prstGeom>
                    <a:noFill/>
                    <a:ln w="9525">
                      <a:noFill/>
                      <a:miter lim="800000"/>
                      <a:headEnd/>
                      <a:tailEnd/>
                    </a:ln>
                  </pic:spPr>
                </pic:pic>
              </a:graphicData>
            </a:graphic>
          </wp:inline>
        </w:drawing>
      </w:r>
      <w:r>
        <w:rPr>
          <w:sz w:val="24"/>
          <w:szCs w:val="24"/>
          <w:highlight w:val="none"/>
        </w:rPr>
        <w:t>（1）</w:t>
      </w:r>
    </w:p>
    <w:p>
      <w:pPr>
        <w:ind w:firstLine="480"/>
        <w:jc w:val="both"/>
        <w:rPr>
          <w:bCs/>
          <w:sz w:val="24"/>
          <w:szCs w:val="24"/>
          <w:highlight w:val="none"/>
        </w:rPr>
      </w:pPr>
      <w:r>
        <w:rPr>
          <w:sz w:val="24"/>
          <w:szCs w:val="24"/>
          <w:highlight w:val="none"/>
        </w:rPr>
        <w:drawing>
          <wp:inline distT="0" distB="0" distL="0" distR="0">
            <wp:extent cx="3931920" cy="868680"/>
            <wp:effectExtent l="1905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noChangeArrowheads="1"/>
                    </pic:cNvPicPr>
                  </pic:nvPicPr>
                  <pic:blipFill>
                    <a:blip r:embed="rId28" cstate="print"/>
                    <a:srcRect/>
                    <a:stretch>
                      <a:fillRect/>
                    </a:stretch>
                  </pic:blipFill>
                  <pic:spPr>
                    <a:xfrm>
                      <a:off x="0" y="0"/>
                      <a:ext cx="3931920" cy="868680"/>
                    </a:xfrm>
                    <a:prstGeom prst="rect">
                      <a:avLst/>
                    </a:prstGeom>
                    <a:noFill/>
                    <a:ln w="9525">
                      <a:noFill/>
                      <a:miter lim="800000"/>
                      <a:headEnd/>
                      <a:tailEnd/>
                    </a:ln>
                  </pic:spPr>
                </pic:pic>
              </a:graphicData>
            </a:graphic>
          </wp:inline>
        </w:drawing>
      </w:r>
      <w:r>
        <w:rPr>
          <w:sz w:val="24"/>
          <w:szCs w:val="24"/>
          <w:highlight w:val="none"/>
        </w:rPr>
        <w:t>（2）</w:t>
      </w:r>
    </w:p>
    <w:p>
      <w:pPr>
        <w:ind w:firstLine="480"/>
        <w:jc w:val="both"/>
        <w:rPr>
          <w:bCs/>
          <w:sz w:val="24"/>
          <w:szCs w:val="24"/>
          <w:highlight w:val="none"/>
        </w:rPr>
      </w:pPr>
      <w:r>
        <w:rPr>
          <w:bCs/>
          <w:sz w:val="24"/>
          <w:szCs w:val="24"/>
          <w:highlight w:val="none"/>
        </w:rPr>
        <w:t>式中：</w:t>
      </w:r>
    </w:p>
    <w:p>
      <w:pPr>
        <w:ind w:firstLine="480"/>
        <w:jc w:val="both"/>
        <w:rPr>
          <w:bCs/>
          <w:sz w:val="24"/>
          <w:szCs w:val="24"/>
          <w:highlight w:val="none"/>
        </w:rPr>
      </w:pPr>
      <w:r>
        <w:rPr>
          <w:bCs/>
          <w:sz w:val="24"/>
          <w:szCs w:val="24"/>
          <w:highlight w:val="none"/>
        </w:rPr>
        <w:t>E</w:t>
      </w:r>
      <w:r>
        <w:rPr>
          <w:bCs/>
          <w:sz w:val="24"/>
          <w:szCs w:val="24"/>
          <w:highlight w:val="none"/>
          <w:vertAlign w:val="subscript"/>
        </w:rPr>
        <w:t>w</w:t>
      </w:r>
      <w:r>
        <w:rPr>
          <w:bCs/>
          <w:sz w:val="24"/>
          <w:szCs w:val="24"/>
          <w:highlight w:val="none"/>
        </w:rPr>
        <w:t>——堆场风蚀扬尘的排放系数，kg/m</w:t>
      </w:r>
      <w:r>
        <w:rPr>
          <w:bCs/>
          <w:sz w:val="24"/>
          <w:szCs w:val="24"/>
          <w:highlight w:val="none"/>
          <w:vertAlign w:val="superscript"/>
        </w:rPr>
        <w:t>2</w:t>
      </w:r>
      <w:r>
        <w:rPr>
          <w:bCs/>
          <w:sz w:val="24"/>
          <w:szCs w:val="24"/>
          <w:highlight w:val="none"/>
        </w:rPr>
        <w:t>。</w:t>
      </w:r>
    </w:p>
    <w:p>
      <w:pPr>
        <w:ind w:firstLine="480"/>
        <w:jc w:val="both"/>
        <w:rPr>
          <w:bCs/>
          <w:sz w:val="24"/>
          <w:szCs w:val="24"/>
          <w:highlight w:val="none"/>
        </w:rPr>
      </w:pPr>
      <w:r>
        <w:rPr>
          <w:bCs/>
          <w:sz w:val="24"/>
          <w:szCs w:val="24"/>
          <w:highlight w:val="none"/>
        </w:rPr>
        <w:t>k</w:t>
      </w:r>
      <w:r>
        <w:rPr>
          <w:bCs/>
          <w:sz w:val="24"/>
          <w:szCs w:val="24"/>
          <w:highlight w:val="none"/>
          <w:vertAlign w:val="subscript"/>
        </w:rPr>
        <w:t>i</w:t>
      </w:r>
      <w:r>
        <w:rPr>
          <w:bCs/>
          <w:sz w:val="24"/>
          <w:szCs w:val="24"/>
          <w:highlight w:val="none"/>
        </w:rPr>
        <w:t>——物料的粒度乘数。</w:t>
      </w:r>
    </w:p>
    <w:p>
      <w:pPr>
        <w:ind w:firstLine="480"/>
        <w:jc w:val="both"/>
        <w:rPr>
          <w:bCs/>
          <w:sz w:val="24"/>
          <w:szCs w:val="24"/>
          <w:highlight w:val="none"/>
        </w:rPr>
      </w:pPr>
      <w:r>
        <w:rPr>
          <w:bCs/>
          <w:sz w:val="24"/>
          <w:szCs w:val="24"/>
          <w:highlight w:val="none"/>
        </w:rPr>
        <w:t>n——料堆每年受扰动的次数。</w:t>
      </w:r>
    </w:p>
    <w:p>
      <w:pPr>
        <w:ind w:firstLine="480"/>
        <w:jc w:val="both"/>
        <w:rPr>
          <w:bCs/>
          <w:sz w:val="24"/>
          <w:szCs w:val="24"/>
          <w:highlight w:val="none"/>
        </w:rPr>
      </w:pPr>
      <w:r>
        <w:rPr>
          <w:bCs/>
          <w:sz w:val="24"/>
          <w:szCs w:val="24"/>
          <w:highlight w:val="none"/>
        </w:rPr>
        <w:t>P</w:t>
      </w:r>
      <w:r>
        <w:rPr>
          <w:bCs/>
          <w:sz w:val="24"/>
          <w:szCs w:val="24"/>
          <w:highlight w:val="none"/>
          <w:vertAlign w:val="subscript"/>
        </w:rPr>
        <w:t>i</w:t>
      </w:r>
      <w:r>
        <w:rPr>
          <w:bCs/>
          <w:sz w:val="24"/>
          <w:szCs w:val="24"/>
          <w:highlight w:val="none"/>
        </w:rPr>
        <w:t>——第i 次扰动中观测的最大风速的风蚀潜势，g/m</w:t>
      </w:r>
      <w:r>
        <w:rPr>
          <w:bCs/>
          <w:sz w:val="24"/>
          <w:szCs w:val="24"/>
          <w:highlight w:val="none"/>
          <w:vertAlign w:val="superscript"/>
        </w:rPr>
        <w:t>2</w:t>
      </w:r>
      <w:r>
        <w:rPr>
          <w:bCs/>
          <w:sz w:val="24"/>
          <w:szCs w:val="24"/>
          <w:highlight w:val="none"/>
        </w:rPr>
        <w:t>，通过公式（2）求得。</w:t>
      </w:r>
    </w:p>
    <w:p>
      <w:pPr>
        <w:ind w:firstLine="480"/>
        <w:jc w:val="both"/>
        <w:rPr>
          <w:bCs/>
          <w:sz w:val="24"/>
          <w:szCs w:val="24"/>
          <w:highlight w:val="none"/>
        </w:rPr>
      </w:pPr>
      <w:r>
        <w:rPr>
          <w:bCs/>
          <w:sz w:val="24"/>
          <w:szCs w:val="24"/>
          <w:highlight w:val="none"/>
        </w:rPr>
        <w:t>η——污染控制技术对扬尘的去除效率，%。</w:t>
      </w:r>
    </w:p>
    <w:p>
      <w:pPr>
        <w:ind w:firstLine="480"/>
        <w:jc w:val="both"/>
        <w:rPr>
          <w:bCs/>
          <w:sz w:val="24"/>
          <w:szCs w:val="24"/>
          <w:highlight w:val="none"/>
        </w:rPr>
      </w:pPr>
      <w:r>
        <w:rPr>
          <w:bCs/>
          <w:sz w:val="24"/>
          <w:szCs w:val="24"/>
          <w:highlight w:val="none"/>
        </w:rPr>
        <w:t>u*——摩擦风速，m/s。计算方法见公式(3)。</w:t>
      </w:r>
    </w:p>
    <w:p>
      <w:pPr>
        <w:ind w:firstLine="480"/>
        <w:jc w:val="both"/>
        <w:rPr>
          <w:bCs/>
          <w:sz w:val="24"/>
          <w:szCs w:val="24"/>
          <w:highlight w:val="none"/>
        </w:rPr>
      </w:pPr>
      <w:r>
        <w:rPr>
          <w:bCs/>
          <w:sz w:val="24"/>
          <w:szCs w:val="24"/>
          <w:highlight w:val="none"/>
        </w:rPr>
        <w:t>u</w:t>
      </w:r>
      <w:r>
        <w:rPr>
          <w:bCs/>
          <w:sz w:val="24"/>
          <w:szCs w:val="24"/>
          <w:highlight w:val="none"/>
          <w:vertAlign w:val="subscript"/>
        </w:rPr>
        <w:t>t</w:t>
      </w:r>
      <w:r>
        <w:rPr>
          <w:bCs/>
          <w:sz w:val="24"/>
          <w:szCs w:val="24"/>
          <w:highlight w:val="none"/>
        </w:rPr>
        <w:t>*——阈值摩擦风速，即起尘的临界摩擦风速，m/s，参考《扬尘源颗粒物排放清单编制技术指南》中的表15中铁渣、矿渣的阈值摩擦风速，为1.33m/s。</w:t>
      </w:r>
    </w:p>
    <w:p>
      <w:pPr>
        <w:ind w:firstLine="480"/>
        <w:jc w:val="both"/>
        <w:rPr>
          <w:bCs/>
          <w:sz w:val="24"/>
          <w:szCs w:val="24"/>
          <w:highlight w:val="none"/>
        </w:rPr>
      </w:pPr>
      <w:r>
        <w:rPr>
          <w:sz w:val="24"/>
          <w:szCs w:val="24"/>
          <w:highlight w:val="none"/>
        </w:rPr>
        <w:drawing>
          <wp:inline distT="0" distB="0" distL="0" distR="0">
            <wp:extent cx="2887980" cy="426720"/>
            <wp:effectExtent l="19050" t="0" r="762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29" cstate="print"/>
                    <a:srcRect/>
                    <a:stretch>
                      <a:fillRect/>
                    </a:stretch>
                  </pic:blipFill>
                  <pic:spPr>
                    <a:xfrm>
                      <a:off x="0" y="0"/>
                      <a:ext cx="2887980" cy="426720"/>
                    </a:xfrm>
                    <a:prstGeom prst="rect">
                      <a:avLst/>
                    </a:prstGeom>
                    <a:noFill/>
                    <a:ln w="9525">
                      <a:noFill/>
                      <a:miter lim="800000"/>
                      <a:headEnd/>
                      <a:tailEnd/>
                    </a:ln>
                  </pic:spPr>
                </pic:pic>
              </a:graphicData>
            </a:graphic>
          </wp:inline>
        </w:drawing>
      </w:r>
      <w:r>
        <w:rPr>
          <w:sz w:val="24"/>
          <w:szCs w:val="24"/>
          <w:highlight w:val="none"/>
        </w:rPr>
        <w:t>（3）</w:t>
      </w:r>
    </w:p>
    <w:p>
      <w:pPr>
        <w:ind w:firstLine="480"/>
        <w:jc w:val="both"/>
        <w:rPr>
          <w:bCs/>
          <w:sz w:val="24"/>
          <w:szCs w:val="24"/>
          <w:highlight w:val="none"/>
        </w:rPr>
      </w:pPr>
      <w:r>
        <w:rPr>
          <w:bCs/>
          <w:sz w:val="24"/>
          <w:szCs w:val="24"/>
          <w:highlight w:val="none"/>
        </w:rPr>
        <w:t>式中：</w:t>
      </w:r>
    </w:p>
    <w:p>
      <w:pPr>
        <w:ind w:firstLine="480"/>
        <w:jc w:val="both"/>
        <w:rPr>
          <w:bCs/>
          <w:sz w:val="24"/>
          <w:szCs w:val="24"/>
          <w:highlight w:val="none"/>
        </w:rPr>
      </w:pPr>
      <w:r>
        <w:rPr>
          <w:bCs/>
          <w:sz w:val="24"/>
          <w:szCs w:val="24"/>
          <w:highlight w:val="none"/>
        </w:rPr>
        <w:t>u(z)——地面风速，m/s。</w:t>
      </w:r>
    </w:p>
    <w:p>
      <w:pPr>
        <w:ind w:firstLine="480"/>
        <w:jc w:val="both"/>
        <w:rPr>
          <w:bCs/>
          <w:sz w:val="24"/>
          <w:szCs w:val="24"/>
          <w:highlight w:val="none"/>
        </w:rPr>
      </w:pPr>
      <w:r>
        <w:rPr>
          <w:bCs/>
          <w:sz w:val="24"/>
          <w:szCs w:val="24"/>
          <w:highlight w:val="none"/>
        </w:rPr>
        <w:t>z——地面风速检测高度，m，为10m。</w:t>
      </w:r>
    </w:p>
    <w:p>
      <w:pPr>
        <w:ind w:firstLine="480"/>
        <w:jc w:val="both"/>
        <w:rPr>
          <w:bCs/>
          <w:sz w:val="24"/>
          <w:szCs w:val="24"/>
          <w:highlight w:val="none"/>
        </w:rPr>
      </w:pPr>
      <w:r>
        <w:rPr>
          <w:bCs/>
          <w:sz w:val="24"/>
          <w:szCs w:val="24"/>
          <w:highlight w:val="none"/>
        </w:rPr>
        <w:t>z</w:t>
      </w:r>
      <w:r>
        <w:rPr>
          <w:bCs/>
          <w:sz w:val="24"/>
          <w:szCs w:val="24"/>
          <w:highlight w:val="none"/>
          <w:vertAlign w:val="subscript"/>
        </w:rPr>
        <w:t>0</w:t>
      </w:r>
      <w:r>
        <w:rPr>
          <w:bCs/>
          <w:sz w:val="24"/>
          <w:szCs w:val="24"/>
          <w:highlight w:val="none"/>
        </w:rPr>
        <w:t>——地面粗糙度，m，城市取值0.6，郊区取值0.2。本次计算取0.2。</w:t>
      </w:r>
    </w:p>
    <w:p>
      <w:pPr>
        <w:ind w:firstLine="480"/>
        <w:jc w:val="both"/>
        <w:rPr>
          <w:bCs/>
          <w:sz w:val="24"/>
          <w:szCs w:val="24"/>
          <w:highlight w:val="none"/>
        </w:rPr>
      </w:pPr>
      <w:r>
        <w:rPr>
          <w:bCs/>
          <w:sz w:val="24"/>
          <w:szCs w:val="24"/>
          <w:highlight w:val="none"/>
        </w:rPr>
        <w:t>项目矿石堆存过程颗粒物排放系数E</w:t>
      </w:r>
      <w:r>
        <w:rPr>
          <w:bCs/>
          <w:sz w:val="24"/>
          <w:szCs w:val="24"/>
          <w:highlight w:val="none"/>
          <w:vertAlign w:val="subscript"/>
        </w:rPr>
        <w:t>w</w:t>
      </w:r>
      <w:r>
        <w:rPr>
          <w:bCs/>
          <w:sz w:val="24"/>
          <w:szCs w:val="24"/>
          <w:highlight w:val="none"/>
        </w:rPr>
        <w:t>计算参数及结果见表3.</w:t>
      </w:r>
      <w:r>
        <w:rPr>
          <w:rFonts w:hint="eastAsia"/>
          <w:bCs/>
          <w:sz w:val="24"/>
          <w:szCs w:val="24"/>
          <w:highlight w:val="none"/>
          <w:lang w:val="en-US" w:eastAsia="zh-CN"/>
        </w:rPr>
        <w:t>4</w:t>
      </w:r>
      <w:r>
        <w:rPr>
          <w:bCs/>
          <w:sz w:val="24"/>
          <w:szCs w:val="24"/>
          <w:highlight w:val="none"/>
        </w:rPr>
        <w:t>-</w:t>
      </w:r>
      <w:r>
        <w:rPr>
          <w:rFonts w:hint="eastAsia"/>
          <w:bCs/>
          <w:sz w:val="24"/>
          <w:szCs w:val="24"/>
          <w:highlight w:val="none"/>
          <w:lang w:val="en-US" w:eastAsia="zh-CN"/>
        </w:rPr>
        <w:t>3</w:t>
      </w:r>
      <w:r>
        <w:rPr>
          <w:bCs/>
          <w:sz w:val="24"/>
          <w:szCs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表3.</w:t>
      </w:r>
      <w:r>
        <w:rPr>
          <w:rFonts w:hint="eastAsia" w:eastAsia="黑体"/>
          <w:bCs/>
          <w:kern w:val="2"/>
          <w:sz w:val="21"/>
          <w:szCs w:val="21"/>
          <w:highlight w:val="none"/>
          <w:lang w:val="en-US" w:eastAsia="zh-CN"/>
        </w:rPr>
        <w:t>4</w:t>
      </w:r>
      <w:r>
        <w:rPr>
          <w:rFonts w:eastAsia="黑体"/>
          <w:bCs/>
          <w:kern w:val="2"/>
          <w:sz w:val="21"/>
          <w:szCs w:val="21"/>
          <w:highlight w:val="none"/>
        </w:rPr>
        <w:t>-</w:t>
      </w:r>
      <w:r>
        <w:rPr>
          <w:rFonts w:hint="eastAsia" w:eastAsia="黑体"/>
          <w:bCs/>
          <w:kern w:val="2"/>
          <w:sz w:val="21"/>
          <w:szCs w:val="21"/>
          <w:highlight w:val="none"/>
          <w:lang w:val="en-US" w:eastAsia="zh-CN"/>
        </w:rPr>
        <w:t xml:space="preserve">3 </w:t>
      </w:r>
      <w:r>
        <w:rPr>
          <w:rFonts w:eastAsia="黑体"/>
          <w:bCs/>
          <w:kern w:val="2"/>
          <w:sz w:val="21"/>
          <w:szCs w:val="21"/>
          <w:highlight w:val="none"/>
        </w:rPr>
        <w:t>颗粒物排放系数E</w:t>
      </w:r>
      <w:r>
        <w:rPr>
          <w:rFonts w:eastAsia="黑体"/>
          <w:bCs/>
          <w:kern w:val="2"/>
          <w:sz w:val="21"/>
          <w:szCs w:val="21"/>
          <w:highlight w:val="none"/>
          <w:vertAlign w:val="subscript"/>
        </w:rPr>
        <w:t>w</w:t>
      </w:r>
      <w:r>
        <w:rPr>
          <w:rFonts w:eastAsia="黑体"/>
          <w:bCs/>
          <w:kern w:val="2"/>
          <w:sz w:val="21"/>
          <w:szCs w:val="21"/>
          <w:highlight w:val="none"/>
        </w:rPr>
        <w:t>计算参数及结果</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295"/>
        <w:gridCol w:w="623"/>
        <w:gridCol w:w="722"/>
        <w:gridCol w:w="1123"/>
        <w:gridCol w:w="1176"/>
        <w:gridCol w:w="1082"/>
        <w:gridCol w:w="126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33"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项目</w:t>
            </w:r>
          </w:p>
        </w:tc>
        <w:tc>
          <w:tcPr>
            <w:tcW w:w="1295" w:type="dxa"/>
            <w:vAlign w:val="center"/>
          </w:tcPr>
          <w:p>
            <w:pPr>
              <w:spacing w:line="360" w:lineRule="exact"/>
              <w:ind w:firstLine="0" w:firstLineChars="0"/>
              <w:jc w:val="center"/>
              <w:textAlignment w:val="auto"/>
              <w:rPr>
                <w:kern w:val="2"/>
                <w:sz w:val="21"/>
                <w:szCs w:val="21"/>
                <w:highlight w:val="none"/>
              </w:rPr>
            </w:pPr>
            <w:r>
              <w:rPr>
                <w:bCs/>
                <w:sz w:val="24"/>
                <w:szCs w:val="24"/>
                <w:highlight w:val="none"/>
              </w:rPr>
              <w:t>u(z)(m/s)</w:t>
            </w:r>
          </w:p>
        </w:tc>
        <w:tc>
          <w:tcPr>
            <w:tcW w:w="623" w:type="dxa"/>
            <w:vAlign w:val="center"/>
          </w:tcPr>
          <w:p>
            <w:pPr>
              <w:spacing w:line="360" w:lineRule="exact"/>
              <w:ind w:firstLine="0" w:firstLineChars="0"/>
              <w:jc w:val="center"/>
              <w:textAlignment w:val="auto"/>
              <w:rPr>
                <w:spacing w:val="-20"/>
                <w:kern w:val="2"/>
                <w:sz w:val="21"/>
                <w:szCs w:val="21"/>
                <w:highlight w:val="none"/>
              </w:rPr>
            </w:pPr>
            <w:r>
              <w:rPr>
                <w:spacing w:val="-20"/>
                <w:kern w:val="2"/>
                <w:sz w:val="21"/>
                <w:szCs w:val="21"/>
                <w:highlight w:val="none"/>
              </w:rPr>
              <w:t>z(m)</w:t>
            </w:r>
          </w:p>
        </w:tc>
        <w:tc>
          <w:tcPr>
            <w:tcW w:w="722" w:type="dxa"/>
            <w:vAlign w:val="center"/>
          </w:tcPr>
          <w:p>
            <w:pPr>
              <w:spacing w:line="360" w:lineRule="exact"/>
              <w:ind w:firstLine="0" w:firstLineChars="0"/>
              <w:jc w:val="center"/>
              <w:textAlignment w:val="auto"/>
              <w:rPr>
                <w:kern w:val="2"/>
                <w:sz w:val="21"/>
                <w:szCs w:val="21"/>
                <w:highlight w:val="none"/>
              </w:rPr>
            </w:pPr>
            <w:r>
              <w:rPr>
                <w:spacing w:val="-20"/>
                <w:kern w:val="2"/>
                <w:sz w:val="21"/>
                <w:szCs w:val="21"/>
                <w:highlight w:val="none"/>
              </w:rPr>
              <w:t>Z</w:t>
            </w:r>
            <w:r>
              <w:rPr>
                <w:spacing w:val="-20"/>
                <w:kern w:val="2"/>
                <w:sz w:val="21"/>
                <w:szCs w:val="21"/>
                <w:highlight w:val="none"/>
                <w:vertAlign w:val="subscript"/>
              </w:rPr>
              <w:t>0</w:t>
            </w:r>
            <w:r>
              <w:rPr>
                <w:spacing w:val="-20"/>
                <w:kern w:val="2"/>
                <w:sz w:val="21"/>
                <w:szCs w:val="21"/>
                <w:highlight w:val="none"/>
              </w:rPr>
              <w:t>(m)</w:t>
            </w:r>
          </w:p>
        </w:tc>
        <w:tc>
          <w:tcPr>
            <w:tcW w:w="1123" w:type="dxa"/>
            <w:vAlign w:val="center"/>
          </w:tcPr>
          <w:p>
            <w:pPr>
              <w:spacing w:line="360" w:lineRule="exact"/>
              <w:ind w:firstLine="0" w:firstLineChars="0"/>
              <w:jc w:val="center"/>
              <w:textAlignment w:val="auto"/>
              <w:rPr>
                <w:kern w:val="2"/>
                <w:sz w:val="21"/>
                <w:szCs w:val="21"/>
                <w:highlight w:val="none"/>
              </w:rPr>
            </w:pPr>
            <w:r>
              <w:rPr>
                <w:bCs/>
                <w:sz w:val="24"/>
                <w:szCs w:val="24"/>
                <w:highlight w:val="none"/>
              </w:rPr>
              <w:t>u*(m/s)</w:t>
            </w:r>
          </w:p>
        </w:tc>
        <w:tc>
          <w:tcPr>
            <w:tcW w:w="1176" w:type="dxa"/>
            <w:vAlign w:val="center"/>
          </w:tcPr>
          <w:p>
            <w:pPr>
              <w:spacing w:line="360" w:lineRule="exact"/>
              <w:ind w:firstLine="0" w:firstLineChars="0"/>
              <w:jc w:val="center"/>
              <w:textAlignment w:val="auto"/>
              <w:rPr>
                <w:kern w:val="2"/>
                <w:sz w:val="21"/>
                <w:szCs w:val="21"/>
                <w:highlight w:val="none"/>
              </w:rPr>
            </w:pPr>
            <w:r>
              <w:rPr>
                <w:bCs/>
                <w:sz w:val="24"/>
                <w:szCs w:val="24"/>
                <w:highlight w:val="none"/>
              </w:rPr>
              <w:t>u</w:t>
            </w:r>
            <w:r>
              <w:rPr>
                <w:bCs/>
                <w:sz w:val="24"/>
                <w:szCs w:val="24"/>
                <w:highlight w:val="none"/>
                <w:vertAlign w:val="subscript"/>
              </w:rPr>
              <w:t>t</w:t>
            </w:r>
            <w:r>
              <w:rPr>
                <w:bCs/>
                <w:sz w:val="24"/>
                <w:szCs w:val="24"/>
                <w:highlight w:val="none"/>
              </w:rPr>
              <w:t>*(m/s)</w:t>
            </w:r>
          </w:p>
        </w:tc>
        <w:tc>
          <w:tcPr>
            <w:tcW w:w="1082"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Pi(g/m</w:t>
            </w:r>
            <w:r>
              <w:rPr>
                <w:kern w:val="2"/>
                <w:sz w:val="21"/>
                <w:szCs w:val="21"/>
                <w:highlight w:val="none"/>
                <w:vertAlign w:val="superscript"/>
              </w:rPr>
              <w:t>2</w:t>
            </w:r>
            <w:r>
              <w:rPr>
                <w:kern w:val="2"/>
                <w:sz w:val="21"/>
                <w:szCs w:val="21"/>
                <w:highlight w:val="none"/>
              </w:rPr>
              <w:t>)</w:t>
            </w:r>
          </w:p>
        </w:tc>
        <w:tc>
          <w:tcPr>
            <w:tcW w:w="1268"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E</w:t>
            </w:r>
            <w:r>
              <w:rPr>
                <w:kern w:val="2"/>
                <w:sz w:val="21"/>
                <w:szCs w:val="21"/>
                <w:highlight w:val="none"/>
                <w:vertAlign w:val="subscript"/>
              </w:rPr>
              <w:t>w</w:t>
            </w:r>
            <w:r>
              <w:rPr>
                <w:kern w:val="2"/>
                <w:sz w:val="21"/>
                <w:szCs w:val="21"/>
                <w:highlight w:val="none"/>
              </w:rPr>
              <w:t>(kg/m</w:t>
            </w:r>
            <w:r>
              <w:rPr>
                <w:kern w:val="2"/>
                <w:sz w:val="21"/>
                <w:szCs w:val="21"/>
                <w:highlight w:val="none"/>
                <w:vertAlign w:val="superscript"/>
              </w:rPr>
              <w:t>2</w:t>
            </w: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233" w:type="dxa"/>
            <w:vAlign w:val="center"/>
          </w:tcPr>
          <w:p>
            <w:pPr>
              <w:spacing w:line="360" w:lineRule="exact"/>
              <w:ind w:firstLine="0" w:firstLineChars="0"/>
              <w:jc w:val="center"/>
              <w:textAlignment w:val="auto"/>
              <w:rPr>
                <w:kern w:val="2"/>
                <w:sz w:val="21"/>
                <w:szCs w:val="21"/>
                <w:highlight w:val="none"/>
              </w:rPr>
            </w:pPr>
            <w:r>
              <w:rPr>
                <w:rFonts w:hint="eastAsia"/>
                <w:kern w:val="2"/>
                <w:sz w:val="21"/>
                <w:szCs w:val="21"/>
                <w:highlight w:val="none"/>
                <w:lang w:val="en-US" w:eastAsia="zh-CN"/>
              </w:rPr>
              <w:t>物料</w:t>
            </w:r>
            <w:r>
              <w:rPr>
                <w:kern w:val="2"/>
                <w:sz w:val="21"/>
                <w:szCs w:val="21"/>
                <w:highlight w:val="none"/>
              </w:rPr>
              <w:t>堆存</w:t>
            </w:r>
          </w:p>
        </w:tc>
        <w:tc>
          <w:tcPr>
            <w:tcW w:w="1295"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3.29</w:t>
            </w:r>
          </w:p>
        </w:tc>
        <w:tc>
          <w:tcPr>
            <w:tcW w:w="623"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10</w:t>
            </w:r>
          </w:p>
        </w:tc>
        <w:tc>
          <w:tcPr>
            <w:tcW w:w="722"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0.2</w:t>
            </w:r>
          </w:p>
        </w:tc>
        <w:tc>
          <w:tcPr>
            <w:tcW w:w="1123"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0.34</w:t>
            </w:r>
          </w:p>
        </w:tc>
        <w:tc>
          <w:tcPr>
            <w:tcW w:w="1176"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1.33</w:t>
            </w:r>
          </w:p>
        </w:tc>
        <w:tc>
          <w:tcPr>
            <w:tcW w:w="1082"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0</w:t>
            </w:r>
          </w:p>
        </w:tc>
        <w:tc>
          <w:tcPr>
            <w:tcW w:w="1268"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0</w:t>
            </w:r>
          </w:p>
        </w:tc>
      </w:tr>
    </w:tbl>
    <w:p>
      <w:pPr>
        <w:keepNext w:val="0"/>
        <w:keepLines w:val="0"/>
        <w:pageBreakBefore w:val="0"/>
        <w:widowControl w:val="0"/>
        <w:kinsoku/>
        <w:wordWrap/>
        <w:overflowPunct/>
        <w:topLinePunct w:val="0"/>
        <w:autoSpaceDE/>
        <w:autoSpaceDN/>
        <w:bidi w:val="0"/>
        <w:adjustRightInd/>
        <w:snapToGrid/>
        <w:spacing w:before="157" w:beforeLines="50"/>
        <w:ind w:firstLine="480"/>
        <w:jc w:val="both"/>
        <w:textAlignment w:val="bottom"/>
        <w:rPr>
          <w:bCs/>
          <w:sz w:val="24"/>
          <w:szCs w:val="24"/>
          <w:highlight w:val="none"/>
        </w:rPr>
      </w:pPr>
      <w:r>
        <w:rPr>
          <w:bCs/>
          <w:sz w:val="24"/>
          <w:szCs w:val="24"/>
          <w:highlight w:val="none"/>
        </w:rPr>
        <w:t>u(z)取值为遵化市近</w:t>
      </w:r>
      <w:r>
        <w:rPr>
          <w:rFonts w:hint="eastAsia"/>
          <w:bCs/>
          <w:sz w:val="24"/>
          <w:szCs w:val="24"/>
          <w:highlight w:val="none"/>
        </w:rPr>
        <w:t>二十年内</w:t>
      </w:r>
      <w:r>
        <w:rPr>
          <w:bCs/>
          <w:sz w:val="24"/>
          <w:szCs w:val="24"/>
          <w:highlight w:val="none"/>
        </w:rPr>
        <w:t>气象统计资料中连续一年的最高风速3.29m/s。根据此风速计算原料及产品堆存过程风蚀扬尘排放系数E</w:t>
      </w:r>
      <w:r>
        <w:rPr>
          <w:bCs/>
          <w:sz w:val="24"/>
          <w:szCs w:val="24"/>
          <w:highlight w:val="none"/>
          <w:vertAlign w:val="subscript"/>
        </w:rPr>
        <w:t>w</w:t>
      </w:r>
      <w:r>
        <w:rPr>
          <w:bCs/>
          <w:sz w:val="24"/>
          <w:szCs w:val="24"/>
          <w:highlight w:val="none"/>
        </w:rPr>
        <w:t>为0，则在其他气象条件下的E</w:t>
      </w:r>
      <w:r>
        <w:rPr>
          <w:bCs/>
          <w:sz w:val="24"/>
          <w:szCs w:val="24"/>
          <w:highlight w:val="none"/>
          <w:vertAlign w:val="subscript"/>
        </w:rPr>
        <w:t>w</w:t>
      </w:r>
      <w:r>
        <w:rPr>
          <w:bCs/>
          <w:sz w:val="24"/>
          <w:szCs w:val="24"/>
          <w:highlight w:val="none"/>
        </w:rPr>
        <w:t>也为0。</w:t>
      </w:r>
    </w:p>
    <w:p>
      <w:pPr>
        <w:ind w:firstLine="480"/>
        <w:jc w:val="both"/>
        <w:rPr>
          <w:bCs/>
          <w:sz w:val="24"/>
          <w:szCs w:val="24"/>
          <w:highlight w:val="none"/>
        </w:rPr>
      </w:pPr>
      <w:r>
        <w:rPr>
          <w:bCs/>
          <w:sz w:val="24"/>
          <w:szCs w:val="24"/>
          <w:highlight w:val="none"/>
        </w:rPr>
        <w:t>物料装卸过程扬尘排放系数E</w:t>
      </w:r>
      <w:r>
        <w:rPr>
          <w:bCs/>
          <w:sz w:val="24"/>
          <w:szCs w:val="24"/>
          <w:highlight w:val="none"/>
          <w:vertAlign w:val="subscript"/>
        </w:rPr>
        <w:t>h</w:t>
      </w:r>
      <w:r>
        <w:rPr>
          <w:bCs/>
          <w:sz w:val="24"/>
          <w:szCs w:val="24"/>
          <w:highlight w:val="none"/>
        </w:rPr>
        <w:t>的估算采用公式（4）进行计算。</w:t>
      </w:r>
    </w:p>
    <w:p>
      <w:pPr>
        <w:ind w:firstLine="560"/>
        <w:jc w:val="both"/>
        <w:rPr>
          <w:bCs/>
          <w:sz w:val="24"/>
          <w:szCs w:val="24"/>
          <w:highlight w:val="none"/>
        </w:rPr>
      </w:pPr>
      <w:r>
        <w:rPr>
          <w:highlight w:val="none"/>
        </w:rPr>
        <w:drawing>
          <wp:inline distT="0" distB="0" distL="0" distR="0">
            <wp:extent cx="2705100" cy="929640"/>
            <wp:effectExtent l="1905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30" cstate="print"/>
                    <a:srcRect/>
                    <a:stretch>
                      <a:fillRect/>
                    </a:stretch>
                  </pic:blipFill>
                  <pic:spPr>
                    <a:xfrm>
                      <a:off x="0" y="0"/>
                      <a:ext cx="2705100" cy="929640"/>
                    </a:xfrm>
                    <a:prstGeom prst="rect">
                      <a:avLst/>
                    </a:prstGeom>
                    <a:noFill/>
                    <a:ln w="9525">
                      <a:noFill/>
                      <a:miter lim="800000"/>
                      <a:headEnd/>
                      <a:tailEnd/>
                    </a:ln>
                  </pic:spPr>
                </pic:pic>
              </a:graphicData>
            </a:graphic>
          </wp:inline>
        </w:drawing>
      </w:r>
      <w:r>
        <w:rPr>
          <w:sz w:val="24"/>
          <w:szCs w:val="24"/>
          <w:highlight w:val="none"/>
        </w:rPr>
        <w:t>（4）</w:t>
      </w:r>
    </w:p>
    <w:p>
      <w:pPr>
        <w:ind w:firstLine="480"/>
        <w:jc w:val="both"/>
        <w:rPr>
          <w:bCs/>
          <w:sz w:val="24"/>
          <w:szCs w:val="24"/>
          <w:highlight w:val="none"/>
        </w:rPr>
      </w:pPr>
      <w:r>
        <w:rPr>
          <w:bCs/>
          <w:sz w:val="24"/>
          <w:szCs w:val="24"/>
          <w:highlight w:val="none"/>
        </w:rPr>
        <w:t>式中：</w:t>
      </w:r>
    </w:p>
    <w:p>
      <w:pPr>
        <w:ind w:firstLine="480"/>
        <w:jc w:val="both"/>
        <w:rPr>
          <w:bCs/>
          <w:sz w:val="24"/>
          <w:szCs w:val="24"/>
          <w:highlight w:val="none"/>
        </w:rPr>
      </w:pPr>
      <w:r>
        <w:rPr>
          <w:bCs/>
          <w:sz w:val="24"/>
          <w:szCs w:val="24"/>
          <w:highlight w:val="none"/>
        </w:rPr>
        <w:t>E</w:t>
      </w:r>
      <w:r>
        <w:rPr>
          <w:bCs/>
          <w:sz w:val="24"/>
          <w:szCs w:val="24"/>
          <w:highlight w:val="none"/>
          <w:vertAlign w:val="subscript"/>
        </w:rPr>
        <w:t>h</w:t>
      </w:r>
      <w:r>
        <w:rPr>
          <w:bCs/>
          <w:sz w:val="24"/>
          <w:szCs w:val="24"/>
          <w:highlight w:val="none"/>
        </w:rPr>
        <w:t>——为堆场装卸扬尘的排放系数，kg/t。</w:t>
      </w:r>
    </w:p>
    <w:p>
      <w:pPr>
        <w:ind w:firstLine="480"/>
        <w:jc w:val="both"/>
        <w:rPr>
          <w:bCs/>
          <w:sz w:val="24"/>
          <w:szCs w:val="24"/>
          <w:highlight w:val="none"/>
        </w:rPr>
      </w:pPr>
      <w:r>
        <w:rPr>
          <w:bCs/>
          <w:sz w:val="24"/>
          <w:szCs w:val="24"/>
          <w:highlight w:val="none"/>
        </w:rPr>
        <w:t>k</w:t>
      </w:r>
      <w:r>
        <w:rPr>
          <w:bCs/>
          <w:sz w:val="24"/>
          <w:szCs w:val="24"/>
          <w:highlight w:val="none"/>
          <w:vertAlign w:val="subscript"/>
        </w:rPr>
        <w:t>i</w:t>
      </w:r>
      <w:r>
        <w:rPr>
          <w:bCs/>
          <w:sz w:val="24"/>
          <w:szCs w:val="24"/>
          <w:highlight w:val="none"/>
        </w:rPr>
        <w:t>——物料的粒度乘数，参考《扬程源颗粒物排放清单编制技术指南》表10中TSP 的粒度乘数为0.74。</w:t>
      </w:r>
    </w:p>
    <w:p>
      <w:pPr>
        <w:ind w:firstLine="480"/>
        <w:jc w:val="both"/>
        <w:rPr>
          <w:bCs/>
          <w:sz w:val="24"/>
          <w:szCs w:val="24"/>
          <w:highlight w:val="none"/>
        </w:rPr>
      </w:pPr>
      <w:r>
        <w:rPr>
          <w:bCs/>
          <w:sz w:val="24"/>
          <w:szCs w:val="24"/>
          <w:highlight w:val="none"/>
        </w:rPr>
        <w:t>u——地面平均风速，m/s。</w:t>
      </w:r>
    </w:p>
    <w:p>
      <w:pPr>
        <w:ind w:firstLine="480"/>
        <w:jc w:val="both"/>
        <w:rPr>
          <w:bCs/>
          <w:sz w:val="24"/>
          <w:szCs w:val="24"/>
          <w:highlight w:val="none"/>
        </w:rPr>
      </w:pPr>
      <w:r>
        <w:rPr>
          <w:bCs/>
          <w:sz w:val="24"/>
          <w:szCs w:val="24"/>
          <w:highlight w:val="none"/>
        </w:rPr>
        <w:t>M——物料含水率，%，根据企业提供数据，原料含水率约为</w:t>
      </w:r>
      <w:r>
        <w:rPr>
          <w:rFonts w:hint="eastAsia"/>
          <w:bCs/>
          <w:sz w:val="24"/>
          <w:szCs w:val="24"/>
          <w:highlight w:val="none"/>
        </w:rPr>
        <w:t>7</w:t>
      </w:r>
      <w:r>
        <w:rPr>
          <w:bCs/>
          <w:sz w:val="24"/>
          <w:szCs w:val="24"/>
          <w:highlight w:val="none"/>
        </w:rPr>
        <w:t>%。</w:t>
      </w:r>
    </w:p>
    <w:p>
      <w:pPr>
        <w:ind w:firstLine="480"/>
        <w:jc w:val="both"/>
        <w:rPr>
          <w:bCs/>
          <w:sz w:val="24"/>
          <w:szCs w:val="24"/>
          <w:highlight w:val="none"/>
        </w:rPr>
      </w:pPr>
      <w:r>
        <w:rPr>
          <w:bCs/>
          <w:sz w:val="24"/>
          <w:szCs w:val="24"/>
          <w:highlight w:val="none"/>
        </w:rPr>
        <w:t>η——污染控制技术对扬尘的去除效率，%。</w:t>
      </w:r>
      <w:r>
        <w:rPr>
          <w:rFonts w:hint="eastAsia"/>
          <w:bCs/>
          <w:sz w:val="24"/>
          <w:szCs w:val="24"/>
          <w:highlight w:val="none"/>
          <w:lang w:val="en-US" w:eastAsia="zh-CN"/>
        </w:rPr>
        <w:t>物料</w:t>
      </w:r>
      <w:r>
        <w:rPr>
          <w:bCs/>
          <w:sz w:val="24"/>
          <w:szCs w:val="24"/>
          <w:highlight w:val="none"/>
        </w:rPr>
        <w:t>堆存在封闭库房内，且设置喷雾抑尘装置，参考《扬尘源颗粒物排放清单编制技术指南》TSP 控制效率为95%。</w:t>
      </w:r>
    </w:p>
    <w:p>
      <w:pPr>
        <w:ind w:firstLine="480"/>
        <w:jc w:val="both"/>
        <w:rPr>
          <w:bCs/>
          <w:sz w:val="24"/>
          <w:szCs w:val="24"/>
          <w:highlight w:val="none"/>
        </w:rPr>
      </w:pPr>
      <w:r>
        <w:rPr>
          <w:bCs/>
          <w:sz w:val="24"/>
          <w:szCs w:val="24"/>
          <w:highlight w:val="none"/>
        </w:rPr>
        <w:t>物料装卸过程颗粒物排放系数E</w:t>
      </w:r>
      <w:r>
        <w:rPr>
          <w:bCs/>
          <w:sz w:val="24"/>
          <w:szCs w:val="24"/>
          <w:highlight w:val="none"/>
          <w:vertAlign w:val="subscript"/>
        </w:rPr>
        <w:t>h</w:t>
      </w:r>
      <w:r>
        <w:rPr>
          <w:bCs/>
          <w:sz w:val="24"/>
          <w:szCs w:val="24"/>
          <w:highlight w:val="none"/>
        </w:rPr>
        <w:t>计算参数及结果见表3.</w:t>
      </w:r>
      <w:r>
        <w:rPr>
          <w:rFonts w:hint="eastAsia"/>
          <w:bCs/>
          <w:sz w:val="24"/>
          <w:szCs w:val="24"/>
          <w:highlight w:val="none"/>
          <w:lang w:val="en-US" w:eastAsia="zh-CN"/>
        </w:rPr>
        <w:t>4</w:t>
      </w:r>
      <w:r>
        <w:rPr>
          <w:bCs/>
          <w:sz w:val="24"/>
          <w:szCs w:val="24"/>
          <w:highlight w:val="none"/>
        </w:rPr>
        <w:t>-</w:t>
      </w:r>
      <w:r>
        <w:rPr>
          <w:rFonts w:hint="eastAsia"/>
          <w:bCs/>
          <w:sz w:val="24"/>
          <w:szCs w:val="24"/>
          <w:highlight w:val="none"/>
          <w:lang w:val="en-US" w:eastAsia="zh-CN"/>
        </w:rPr>
        <w:t>4</w:t>
      </w:r>
      <w:r>
        <w:rPr>
          <w:bCs/>
          <w:sz w:val="24"/>
          <w:szCs w:val="24"/>
          <w:highlight w:val="none"/>
        </w:rPr>
        <w:t>。</w:t>
      </w:r>
    </w:p>
    <w:p>
      <w:pPr>
        <w:spacing w:line="240" w:lineRule="auto"/>
        <w:ind w:firstLine="420" w:firstLineChars="0"/>
        <w:jc w:val="center"/>
        <w:textAlignment w:val="baseline"/>
        <w:rPr>
          <w:rFonts w:eastAsia="黑体"/>
          <w:bCs/>
          <w:kern w:val="2"/>
          <w:sz w:val="21"/>
          <w:szCs w:val="21"/>
          <w:highlight w:val="none"/>
        </w:rPr>
      </w:pPr>
    </w:p>
    <w:p>
      <w:pPr>
        <w:pStyle w:val="26"/>
      </w:pPr>
    </w:p>
    <w:p>
      <w:pPr>
        <w:spacing w:line="240" w:lineRule="auto"/>
        <w:ind w:firstLine="420" w:firstLineChars="0"/>
        <w:jc w:val="center"/>
        <w:textAlignment w:val="baseline"/>
        <w:rPr>
          <w:rFonts w:eastAsia="黑体"/>
          <w:bCs/>
          <w:kern w:val="2"/>
          <w:sz w:val="21"/>
          <w:szCs w:val="21"/>
          <w:highlight w:val="none"/>
        </w:rPr>
      </w:pP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表3.</w:t>
      </w:r>
      <w:r>
        <w:rPr>
          <w:rFonts w:hint="eastAsia" w:eastAsia="黑体"/>
          <w:bCs/>
          <w:kern w:val="2"/>
          <w:sz w:val="21"/>
          <w:szCs w:val="21"/>
          <w:highlight w:val="none"/>
          <w:lang w:val="en-US" w:eastAsia="zh-CN"/>
        </w:rPr>
        <w:t>4</w:t>
      </w:r>
      <w:r>
        <w:rPr>
          <w:rFonts w:eastAsia="黑体"/>
          <w:bCs/>
          <w:kern w:val="2"/>
          <w:sz w:val="21"/>
          <w:szCs w:val="21"/>
          <w:highlight w:val="none"/>
        </w:rPr>
        <w:t>-</w:t>
      </w:r>
      <w:r>
        <w:rPr>
          <w:rFonts w:hint="eastAsia" w:eastAsia="黑体"/>
          <w:bCs/>
          <w:kern w:val="2"/>
          <w:sz w:val="21"/>
          <w:szCs w:val="21"/>
          <w:highlight w:val="none"/>
          <w:lang w:val="en-US" w:eastAsia="zh-CN"/>
        </w:rPr>
        <w:t>4</w:t>
      </w:r>
      <w:r>
        <w:rPr>
          <w:rFonts w:eastAsia="黑体"/>
          <w:bCs/>
          <w:kern w:val="2"/>
          <w:sz w:val="21"/>
          <w:szCs w:val="21"/>
          <w:highlight w:val="none"/>
        </w:rPr>
        <w:t>物料装卸过程颗粒物排放系数Eh计算参数及结果</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0"/>
        <w:gridCol w:w="840"/>
        <w:gridCol w:w="1384"/>
        <w:gridCol w:w="1430"/>
        <w:gridCol w:w="1476"/>
        <w:gridCol w:w="154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850"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项目</w:t>
            </w:r>
          </w:p>
        </w:tc>
        <w:tc>
          <w:tcPr>
            <w:tcW w:w="840"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k</w:t>
            </w:r>
            <w:r>
              <w:rPr>
                <w:kern w:val="2"/>
                <w:sz w:val="21"/>
                <w:szCs w:val="21"/>
                <w:highlight w:val="none"/>
                <w:vertAlign w:val="subscript"/>
              </w:rPr>
              <w:t>i</w:t>
            </w:r>
          </w:p>
        </w:tc>
        <w:tc>
          <w:tcPr>
            <w:tcW w:w="1384" w:type="dxa"/>
            <w:vAlign w:val="center"/>
          </w:tcPr>
          <w:p>
            <w:pPr>
              <w:spacing w:line="360" w:lineRule="exact"/>
              <w:ind w:firstLine="0" w:firstLineChars="0"/>
              <w:jc w:val="center"/>
              <w:textAlignment w:val="auto"/>
              <w:rPr>
                <w:kern w:val="2"/>
                <w:sz w:val="21"/>
                <w:szCs w:val="21"/>
                <w:highlight w:val="none"/>
              </w:rPr>
            </w:pPr>
            <w:r>
              <w:rPr>
                <w:bCs/>
                <w:sz w:val="21"/>
                <w:szCs w:val="21"/>
                <w:highlight w:val="none"/>
              </w:rPr>
              <w:t>M(%)</w:t>
            </w:r>
          </w:p>
        </w:tc>
        <w:tc>
          <w:tcPr>
            <w:tcW w:w="1430" w:type="dxa"/>
            <w:vAlign w:val="center"/>
          </w:tcPr>
          <w:p>
            <w:pPr>
              <w:spacing w:line="360" w:lineRule="exact"/>
              <w:ind w:firstLine="0" w:firstLineChars="0"/>
              <w:jc w:val="center"/>
              <w:textAlignment w:val="auto"/>
              <w:rPr>
                <w:kern w:val="2"/>
                <w:sz w:val="21"/>
                <w:szCs w:val="21"/>
                <w:highlight w:val="none"/>
              </w:rPr>
            </w:pPr>
            <w:r>
              <w:rPr>
                <w:bCs/>
                <w:sz w:val="21"/>
                <w:szCs w:val="21"/>
                <w:highlight w:val="none"/>
              </w:rPr>
              <w:t>η(%)</w:t>
            </w:r>
          </w:p>
        </w:tc>
        <w:tc>
          <w:tcPr>
            <w:tcW w:w="1476" w:type="dxa"/>
            <w:vAlign w:val="center"/>
          </w:tcPr>
          <w:p>
            <w:pPr>
              <w:spacing w:line="360" w:lineRule="exact"/>
              <w:ind w:firstLine="0" w:firstLineChars="0"/>
              <w:jc w:val="center"/>
              <w:textAlignment w:val="auto"/>
              <w:rPr>
                <w:kern w:val="2"/>
                <w:sz w:val="21"/>
                <w:szCs w:val="21"/>
                <w:highlight w:val="none"/>
              </w:rPr>
            </w:pPr>
            <w:r>
              <w:rPr>
                <w:bCs/>
                <w:sz w:val="21"/>
                <w:szCs w:val="21"/>
                <w:highlight w:val="none"/>
              </w:rPr>
              <w:t>u(m/s)</w:t>
            </w:r>
          </w:p>
        </w:tc>
        <w:tc>
          <w:tcPr>
            <w:tcW w:w="1542"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E</w:t>
            </w:r>
            <w:r>
              <w:rPr>
                <w:kern w:val="2"/>
                <w:sz w:val="21"/>
                <w:szCs w:val="21"/>
                <w:highlight w:val="none"/>
                <w:vertAlign w:val="subscript"/>
              </w:rPr>
              <w:t>h</w:t>
            </w:r>
            <w:r>
              <w:rPr>
                <w:kern w:val="2"/>
                <w:sz w:val="21"/>
                <w:szCs w:val="21"/>
                <w:highlight w:val="none"/>
              </w:rPr>
              <w:t>(kg/t)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850" w:type="dxa"/>
            <w:vAlign w:val="center"/>
          </w:tcPr>
          <w:p>
            <w:pPr>
              <w:spacing w:line="360" w:lineRule="exact"/>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物料装卸</w:t>
            </w:r>
          </w:p>
        </w:tc>
        <w:tc>
          <w:tcPr>
            <w:tcW w:w="840"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0.74</w:t>
            </w:r>
          </w:p>
        </w:tc>
        <w:tc>
          <w:tcPr>
            <w:tcW w:w="1384" w:type="dxa"/>
            <w:vAlign w:val="center"/>
          </w:tcPr>
          <w:p>
            <w:pPr>
              <w:spacing w:line="360" w:lineRule="exact"/>
              <w:ind w:firstLine="0" w:firstLineChars="0"/>
              <w:jc w:val="center"/>
              <w:textAlignment w:val="auto"/>
              <w:rPr>
                <w:kern w:val="2"/>
                <w:sz w:val="21"/>
                <w:szCs w:val="21"/>
                <w:highlight w:val="none"/>
              </w:rPr>
            </w:pPr>
            <w:r>
              <w:rPr>
                <w:rFonts w:hint="eastAsia"/>
                <w:kern w:val="2"/>
                <w:sz w:val="21"/>
                <w:szCs w:val="21"/>
                <w:highlight w:val="none"/>
              </w:rPr>
              <w:t>7</w:t>
            </w:r>
          </w:p>
        </w:tc>
        <w:tc>
          <w:tcPr>
            <w:tcW w:w="1430"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95</w:t>
            </w:r>
          </w:p>
        </w:tc>
        <w:tc>
          <w:tcPr>
            <w:tcW w:w="1476"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1.62</w:t>
            </w:r>
          </w:p>
        </w:tc>
        <w:tc>
          <w:tcPr>
            <w:tcW w:w="1542"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0.00</w:t>
            </w:r>
            <w:r>
              <w:rPr>
                <w:rFonts w:hint="eastAsia"/>
                <w:kern w:val="2"/>
                <w:sz w:val="21"/>
                <w:szCs w:val="21"/>
                <w:highlight w:val="none"/>
              </w:rPr>
              <w:t>43</w:t>
            </w:r>
          </w:p>
        </w:tc>
      </w:tr>
    </w:tbl>
    <w:p>
      <w:pPr>
        <w:ind w:firstLine="480"/>
        <w:jc w:val="both"/>
        <w:rPr>
          <w:bCs/>
          <w:sz w:val="24"/>
          <w:szCs w:val="24"/>
          <w:highlight w:val="none"/>
        </w:rPr>
      </w:pPr>
      <w:r>
        <w:rPr>
          <w:bCs/>
          <w:sz w:val="24"/>
          <w:szCs w:val="24"/>
          <w:highlight w:val="none"/>
        </w:rPr>
        <w:t>堆场的扬尘源排放量是装卸、运输引起的扬尘与堆积存放期间风蚀扬尘的加和，计算公式如下：</w:t>
      </w:r>
    </w:p>
    <w:p>
      <w:pPr>
        <w:ind w:firstLine="560"/>
        <w:jc w:val="both"/>
        <w:rPr>
          <w:bCs/>
          <w:sz w:val="24"/>
          <w:szCs w:val="24"/>
          <w:highlight w:val="none"/>
        </w:rPr>
      </w:pPr>
      <w:r>
        <w:rPr>
          <w:highlight w:val="none"/>
        </w:rPr>
        <w:drawing>
          <wp:inline distT="0" distB="0" distL="0" distR="0">
            <wp:extent cx="3238500" cy="533400"/>
            <wp:effectExtent l="19050" t="0" r="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noChangeArrowheads="1"/>
                    </pic:cNvPicPr>
                  </pic:nvPicPr>
                  <pic:blipFill>
                    <a:blip r:embed="rId31" cstate="print"/>
                    <a:srcRect/>
                    <a:stretch>
                      <a:fillRect/>
                    </a:stretch>
                  </pic:blipFill>
                  <pic:spPr>
                    <a:xfrm>
                      <a:off x="0" y="0"/>
                      <a:ext cx="3238500" cy="533400"/>
                    </a:xfrm>
                    <a:prstGeom prst="rect">
                      <a:avLst/>
                    </a:prstGeom>
                    <a:noFill/>
                    <a:ln w="9525">
                      <a:noFill/>
                      <a:miter lim="800000"/>
                      <a:headEnd/>
                      <a:tailEnd/>
                    </a:ln>
                  </pic:spPr>
                </pic:pic>
              </a:graphicData>
            </a:graphic>
          </wp:inline>
        </w:drawing>
      </w:r>
      <w:r>
        <w:rPr>
          <w:sz w:val="24"/>
          <w:szCs w:val="24"/>
          <w:highlight w:val="none"/>
        </w:rPr>
        <w:t>（5）</w:t>
      </w:r>
    </w:p>
    <w:p>
      <w:pPr>
        <w:ind w:firstLine="480"/>
        <w:jc w:val="both"/>
        <w:rPr>
          <w:bCs/>
          <w:sz w:val="24"/>
          <w:szCs w:val="24"/>
          <w:highlight w:val="none"/>
        </w:rPr>
      </w:pPr>
      <w:r>
        <w:rPr>
          <w:bCs/>
          <w:sz w:val="24"/>
          <w:szCs w:val="24"/>
          <w:highlight w:val="none"/>
        </w:rPr>
        <w:t>式中：</w:t>
      </w:r>
    </w:p>
    <w:p>
      <w:pPr>
        <w:ind w:firstLine="480"/>
        <w:jc w:val="both"/>
        <w:rPr>
          <w:bCs/>
          <w:sz w:val="24"/>
          <w:szCs w:val="24"/>
          <w:highlight w:val="none"/>
        </w:rPr>
      </w:pPr>
      <w:r>
        <w:rPr>
          <w:bCs/>
          <w:sz w:val="24"/>
          <w:szCs w:val="24"/>
          <w:highlight w:val="none"/>
        </w:rPr>
        <w:t>W</w:t>
      </w:r>
      <w:r>
        <w:rPr>
          <w:bCs/>
          <w:sz w:val="24"/>
          <w:szCs w:val="24"/>
          <w:highlight w:val="none"/>
          <w:vertAlign w:val="subscript"/>
        </w:rPr>
        <w:t>Y</w:t>
      </w:r>
      <w:r>
        <w:rPr>
          <w:bCs/>
          <w:sz w:val="24"/>
          <w:szCs w:val="24"/>
          <w:highlight w:val="none"/>
        </w:rPr>
        <w:t>——堆场扬尘源中颗粒物总排放量，t/a。</w:t>
      </w:r>
    </w:p>
    <w:p>
      <w:pPr>
        <w:ind w:firstLine="480"/>
        <w:jc w:val="both"/>
        <w:rPr>
          <w:bCs/>
          <w:sz w:val="24"/>
          <w:szCs w:val="24"/>
          <w:highlight w:val="none"/>
        </w:rPr>
      </w:pPr>
      <w:r>
        <w:rPr>
          <w:bCs/>
          <w:sz w:val="24"/>
          <w:szCs w:val="24"/>
          <w:highlight w:val="none"/>
        </w:rPr>
        <w:t>E</w:t>
      </w:r>
      <w:r>
        <w:rPr>
          <w:bCs/>
          <w:sz w:val="24"/>
          <w:szCs w:val="24"/>
          <w:highlight w:val="none"/>
          <w:vertAlign w:val="subscript"/>
        </w:rPr>
        <w:t>h</w:t>
      </w:r>
      <w:r>
        <w:rPr>
          <w:bCs/>
          <w:sz w:val="24"/>
          <w:szCs w:val="24"/>
          <w:highlight w:val="none"/>
        </w:rPr>
        <w:t>——堆场装卸过程的扬尘颗粒物排放系数，kg/t，其估算公式见（1）。</w:t>
      </w:r>
    </w:p>
    <w:p>
      <w:pPr>
        <w:ind w:firstLine="480"/>
        <w:jc w:val="both"/>
        <w:rPr>
          <w:bCs/>
          <w:sz w:val="24"/>
          <w:szCs w:val="24"/>
          <w:highlight w:val="none"/>
        </w:rPr>
      </w:pPr>
      <w:r>
        <w:rPr>
          <w:bCs/>
          <w:sz w:val="24"/>
          <w:szCs w:val="24"/>
          <w:highlight w:val="none"/>
        </w:rPr>
        <w:t>m——每年物料装卸总次数。按照</w:t>
      </w:r>
      <w:r>
        <w:rPr>
          <w:rFonts w:hint="eastAsia"/>
          <w:bCs/>
          <w:sz w:val="24"/>
          <w:szCs w:val="24"/>
          <w:highlight w:val="none"/>
          <w:lang w:val="en-US" w:eastAsia="zh-CN"/>
        </w:rPr>
        <w:t>砂石</w:t>
      </w:r>
      <w:r>
        <w:rPr>
          <w:bCs/>
          <w:sz w:val="24"/>
          <w:szCs w:val="24"/>
          <w:highlight w:val="none"/>
        </w:rPr>
        <w:t>料堆存过程年卸料总次数为</w:t>
      </w:r>
      <w:r>
        <w:rPr>
          <w:rFonts w:hint="eastAsia"/>
          <w:bCs/>
          <w:sz w:val="24"/>
          <w:szCs w:val="24"/>
          <w:highlight w:val="none"/>
          <w:lang w:val="en-US" w:eastAsia="zh-CN"/>
        </w:rPr>
        <w:t>2263</w:t>
      </w:r>
      <w:r>
        <w:rPr>
          <w:bCs/>
          <w:sz w:val="24"/>
          <w:szCs w:val="24"/>
          <w:highlight w:val="none"/>
        </w:rPr>
        <w:t>次。</w:t>
      </w:r>
    </w:p>
    <w:p>
      <w:pPr>
        <w:ind w:firstLine="480"/>
        <w:jc w:val="both"/>
        <w:rPr>
          <w:bCs/>
          <w:sz w:val="24"/>
          <w:szCs w:val="24"/>
          <w:highlight w:val="none"/>
        </w:rPr>
      </w:pPr>
      <w:r>
        <w:rPr>
          <w:bCs/>
          <w:sz w:val="24"/>
          <w:szCs w:val="24"/>
          <w:highlight w:val="none"/>
        </w:rPr>
        <w:t>G</w:t>
      </w:r>
      <w:r>
        <w:rPr>
          <w:bCs/>
          <w:sz w:val="24"/>
          <w:szCs w:val="24"/>
          <w:highlight w:val="none"/>
          <w:vertAlign w:val="subscript"/>
        </w:rPr>
        <w:t>Yi</w:t>
      </w:r>
      <w:r>
        <w:rPr>
          <w:bCs/>
          <w:sz w:val="24"/>
          <w:szCs w:val="24"/>
          <w:highlight w:val="none"/>
        </w:rPr>
        <w:t>——第i次装卸过程的物料装卸量，项目运输原矿车辆载重50t。</w:t>
      </w:r>
    </w:p>
    <w:p>
      <w:pPr>
        <w:ind w:firstLine="480"/>
        <w:jc w:val="both"/>
        <w:rPr>
          <w:bCs/>
          <w:sz w:val="24"/>
          <w:szCs w:val="24"/>
          <w:highlight w:val="none"/>
        </w:rPr>
      </w:pPr>
      <w:r>
        <w:rPr>
          <w:bCs/>
          <w:sz w:val="24"/>
          <w:szCs w:val="24"/>
          <w:highlight w:val="none"/>
        </w:rPr>
        <w:t>E</w:t>
      </w:r>
      <w:r>
        <w:rPr>
          <w:bCs/>
          <w:sz w:val="24"/>
          <w:szCs w:val="24"/>
          <w:highlight w:val="none"/>
          <w:vertAlign w:val="subscript"/>
        </w:rPr>
        <w:t>w</w:t>
      </w:r>
      <w:r>
        <w:rPr>
          <w:bCs/>
          <w:sz w:val="24"/>
          <w:szCs w:val="24"/>
          <w:highlight w:val="none"/>
        </w:rPr>
        <w:t>——料堆受到风蚀作用的颗粒物排放系数，kg/m</w:t>
      </w:r>
      <w:r>
        <w:rPr>
          <w:bCs/>
          <w:sz w:val="24"/>
          <w:szCs w:val="24"/>
          <w:highlight w:val="none"/>
          <w:vertAlign w:val="superscript"/>
        </w:rPr>
        <w:t>2</w:t>
      </w:r>
      <w:r>
        <w:rPr>
          <w:bCs/>
          <w:sz w:val="24"/>
          <w:szCs w:val="24"/>
          <w:highlight w:val="none"/>
        </w:rPr>
        <w:t>，其估算公式见（2）。</w:t>
      </w:r>
    </w:p>
    <w:p>
      <w:pPr>
        <w:ind w:firstLine="480"/>
        <w:jc w:val="both"/>
        <w:rPr>
          <w:bCs/>
          <w:sz w:val="24"/>
          <w:szCs w:val="24"/>
          <w:highlight w:val="none"/>
        </w:rPr>
      </w:pPr>
      <w:r>
        <w:rPr>
          <w:bCs/>
          <w:sz w:val="24"/>
          <w:szCs w:val="24"/>
          <w:highlight w:val="none"/>
        </w:rPr>
        <w:t>A</w:t>
      </w:r>
      <w:r>
        <w:rPr>
          <w:bCs/>
          <w:sz w:val="24"/>
          <w:szCs w:val="24"/>
          <w:highlight w:val="none"/>
          <w:vertAlign w:val="subscript"/>
        </w:rPr>
        <w:t>Y</w:t>
      </w:r>
      <w:r>
        <w:rPr>
          <w:bCs/>
          <w:sz w:val="24"/>
          <w:szCs w:val="24"/>
          <w:highlight w:val="none"/>
        </w:rPr>
        <w:t>——料堆表面积，m</w:t>
      </w:r>
      <w:r>
        <w:rPr>
          <w:bCs/>
          <w:sz w:val="24"/>
          <w:szCs w:val="24"/>
          <w:highlight w:val="none"/>
          <w:vertAlign w:val="superscript"/>
        </w:rPr>
        <w:t>2</w:t>
      </w:r>
      <w:r>
        <w:rPr>
          <w:bCs/>
          <w:sz w:val="24"/>
          <w:szCs w:val="24"/>
          <w:highlight w:val="none"/>
        </w:rPr>
        <w:t>。</w:t>
      </w:r>
    </w:p>
    <w:p>
      <w:pPr>
        <w:ind w:firstLine="480"/>
        <w:jc w:val="both"/>
        <w:rPr>
          <w:bCs/>
          <w:sz w:val="24"/>
          <w:szCs w:val="24"/>
          <w:highlight w:val="none"/>
        </w:rPr>
      </w:pPr>
      <w:r>
        <w:rPr>
          <w:bCs/>
          <w:sz w:val="24"/>
          <w:szCs w:val="24"/>
          <w:highlight w:val="none"/>
        </w:rPr>
        <w:t>根据上述公式及相关参数，计算项目原料堆存过程产生的颗粒物。</w:t>
      </w:r>
    </w:p>
    <w:p>
      <w:pPr>
        <w:ind w:firstLine="480"/>
        <w:jc w:val="both"/>
        <w:rPr>
          <w:bCs/>
          <w:sz w:val="24"/>
          <w:szCs w:val="24"/>
          <w:highlight w:val="none"/>
        </w:rPr>
      </w:pPr>
      <w:r>
        <w:rPr>
          <w:rFonts w:hint="eastAsia"/>
          <w:bCs/>
          <w:sz w:val="24"/>
          <w:szCs w:val="24"/>
          <w:highlight w:val="none"/>
          <w:lang w:val="en-US" w:eastAsia="zh-CN"/>
        </w:rPr>
        <w:t>物料</w:t>
      </w:r>
      <w:r>
        <w:rPr>
          <w:bCs/>
          <w:sz w:val="24"/>
          <w:szCs w:val="24"/>
          <w:highlight w:val="none"/>
        </w:rPr>
        <w:t>堆场颗粒物排放量计算参数及结果见表3.</w:t>
      </w:r>
      <w:r>
        <w:rPr>
          <w:rFonts w:hint="eastAsia"/>
          <w:bCs/>
          <w:sz w:val="24"/>
          <w:szCs w:val="24"/>
          <w:highlight w:val="none"/>
          <w:lang w:val="en-US" w:eastAsia="zh-CN"/>
        </w:rPr>
        <w:t>4</w:t>
      </w:r>
      <w:r>
        <w:rPr>
          <w:bCs/>
          <w:sz w:val="24"/>
          <w:szCs w:val="24"/>
          <w:highlight w:val="none"/>
        </w:rPr>
        <w:t>-</w:t>
      </w:r>
      <w:r>
        <w:rPr>
          <w:rFonts w:hint="eastAsia"/>
          <w:bCs/>
          <w:sz w:val="24"/>
          <w:szCs w:val="24"/>
          <w:highlight w:val="none"/>
          <w:lang w:val="en-US" w:eastAsia="zh-CN"/>
        </w:rPr>
        <w:t>5</w:t>
      </w:r>
      <w:r>
        <w:rPr>
          <w:bCs/>
          <w:sz w:val="24"/>
          <w:szCs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表3.</w:t>
      </w:r>
      <w:r>
        <w:rPr>
          <w:rFonts w:hint="eastAsia" w:eastAsia="黑体"/>
          <w:bCs/>
          <w:kern w:val="2"/>
          <w:sz w:val="21"/>
          <w:szCs w:val="21"/>
          <w:highlight w:val="none"/>
          <w:lang w:val="en-US" w:eastAsia="zh-CN"/>
        </w:rPr>
        <w:t>4</w:t>
      </w:r>
      <w:r>
        <w:rPr>
          <w:rFonts w:eastAsia="黑体"/>
          <w:bCs/>
          <w:kern w:val="2"/>
          <w:sz w:val="21"/>
          <w:szCs w:val="21"/>
          <w:highlight w:val="none"/>
        </w:rPr>
        <w:t>-</w:t>
      </w:r>
      <w:r>
        <w:rPr>
          <w:rFonts w:hint="eastAsia" w:eastAsia="黑体"/>
          <w:bCs/>
          <w:kern w:val="2"/>
          <w:sz w:val="21"/>
          <w:szCs w:val="21"/>
          <w:highlight w:val="none"/>
          <w:lang w:val="en-US" w:eastAsia="zh-CN"/>
        </w:rPr>
        <w:t>5</w:t>
      </w:r>
      <w:r>
        <w:rPr>
          <w:rFonts w:hint="eastAsia" w:eastAsia="黑体"/>
          <w:bCs/>
          <w:kern w:val="2"/>
          <w:sz w:val="21"/>
          <w:szCs w:val="21"/>
          <w:highlight w:val="none"/>
        </w:rPr>
        <w:t xml:space="preserve"> </w:t>
      </w:r>
      <w:r>
        <w:rPr>
          <w:rFonts w:eastAsia="黑体"/>
          <w:bCs/>
          <w:kern w:val="2"/>
          <w:sz w:val="21"/>
          <w:szCs w:val="21"/>
          <w:highlight w:val="none"/>
        </w:rPr>
        <w:t>物料堆存过程颗粒物排放量计算参数及结果</w:t>
      </w:r>
    </w:p>
    <w:tbl>
      <w:tblPr>
        <w:tblStyle w:val="48"/>
        <w:tblW w:w="864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1029"/>
        <w:gridCol w:w="1179"/>
        <w:gridCol w:w="977"/>
        <w:gridCol w:w="1270"/>
        <w:gridCol w:w="1089"/>
        <w:gridCol w:w="100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093"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项目</w:t>
            </w:r>
          </w:p>
        </w:tc>
        <w:tc>
          <w:tcPr>
            <w:tcW w:w="1029"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E</w:t>
            </w:r>
            <w:r>
              <w:rPr>
                <w:kern w:val="2"/>
                <w:sz w:val="21"/>
                <w:szCs w:val="21"/>
                <w:highlight w:val="none"/>
                <w:vertAlign w:val="subscript"/>
              </w:rPr>
              <w:t>h</w:t>
            </w:r>
            <w:r>
              <w:rPr>
                <w:kern w:val="2"/>
                <w:sz w:val="21"/>
                <w:szCs w:val="21"/>
                <w:highlight w:val="none"/>
              </w:rPr>
              <w:t>(kg/t)</w:t>
            </w:r>
          </w:p>
        </w:tc>
        <w:tc>
          <w:tcPr>
            <w:tcW w:w="1179"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m（次）</w:t>
            </w:r>
          </w:p>
        </w:tc>
        <w:tc>
          <w:tcPr>
            <w:tcW w:w="977" w:type="dxa"/>
            <w:vAlign w:val="center"/>
          </w:tcPr>
          <w:p>
            <w:pPr>
              <w:spacing w:line="360" w:lineRule="exact"/>
              <w:ind w:firstLine="0" w:firstLineChars="0"/>
              <w:jc w:val="center"/>
              <w:textAlignment w:val="auto"/>
              <w:rPr>
                <w:kern w:val="2"/>
                <w:sz w:val="21"/>
                <w:szCs w:val="21"/>
                <w:highlight w:val="none"/>
              </w:rPr>
            </w:pPr>
            <w:r>
              <w:rPr>
                <w:bCs/>
                <w:sz w:val="24"/>
                <w:szCs w:val="24"/>
                <w:highlight w:val="none"/>
              </w:rPr>
              <w:t>G</w:t>
            </w:r>
            <w:r>
              <w:rPr>
                <w:bCs/>
                <w:sz w:val="24"/>
                <w:szCs w:val="24"/>
                <w:highlight w:val="none"/>
                <w:vertAlign w:val="subscript"/>
              </w:rPr>
              <w:t>Yi</w:t>
            </w:r>
            <w:r>
              <w:rPr>
                <w:bCs/>
                <w:sz w:val="24"/>
                <w:szCs w:val="24"/>
                <w:highlight w:val="none"/>
              </w:rPr>
              <w:t xml:space="preserve"> (t)</w:t>
            </w:r>
          </w:p>
        </w:tc>
        <w:tc>
          <w:tcPr>
            <w:tcW w:w="1270"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E</w:t>
            </w:r>
            <w:r>
              <w:rPr>
                <w:kern w:val="2"/>
                <w:sz w:val="21"/>
                <w:szCs w:val="21"/>
                <w:highlight w:val="none"/>
                <w:vertAlign w:val="subscript"/>
              </w:rPr>
              <w:t>w</w:t>
            </w:r>
            <w:r>
              <w:rPr>
                <w:kern w:val="2"/>
                <w:sz w:val="21"/>
                <w:szCs w:val="21"/>
                <w:highlight w:val="none"/>
              </w:rPr>
              <w:t>(kg/m</w:t>
            </w:r>
            <w:r>
              <w:rPr>
                <w:kern w:val="2"/>
                <w:sz w:val="21"/>
                <w:szCs w:val="21"/>
                <w:highlight w:val="none"/>
                <w:vertAlign w:val="superscript"/>
              </w:rPr>
              <w:t>2</w:t>
            </w:r>
            <w:r>
              <w:rPr>
                <w:kern w:val="2"/>
                <w:sz w:val="21"/>
                <w:szCs w:val="21"/>
                <w:highlight w:val="none"/>
              </w:rPr>
              <w:t>)</w:t>
            </w:r>
          </w:p>
        </w:tc>
        <w:tc>
          <w:tcPr>
            <w:tcW w:w="1089" w:type="dxa"/>
            <w:vAlign w:val="center"/>
          </w:tcPr>
          <w:p>
            <w:pPr>
              <w:spacing w:line="360" w:lineRule="exact"/>
              <w:ind w:firstLine="0" w:firstLineChars="0"/>
              <w:jc w:val="center"/>
              <w:textAlignment w:val="auto"/>
              <w:rPr>
                <w:kern w:val="2"/>
                <w:sz w:val="21"/>
                <w:szCs w:val="21"/>
                <w:highlight w:val="none"/>
              </w:rPr>
            </w:pPr>
            <w:r>
              <w:rPr>
                <w:bCs/>
                <w:sz w:val="24"/>
                <w:szCs w:val="24"/>
                <w:highlight w:val="none"/>
              </w:rPr>
              <w:t>A</w:t>
            </w:r>
            <w:r>
              <w:rPr>
                <w:bCs/>
                <w:sz w:val="24"/>
                <w:szCs w:val="24"/>
                <w:highlight w:val="none"/>
                <w:vertAlign w:val="subscript"/>
              </w:rPr>
              <w:t>Y</w:t>
            </w:r>
            <w:r>
              <w:rPr>
                <w:bCs/>
                <w:sz w:val="24"/>
                <w:szCs w:val="24"/>
                <w:highlight w:val="none"/>
              </w:rPr>
              <w:t>(m</w:t>
            </w:r>
            <w:r>
              <w:rPr>
                <w:bCs/>
                <w:sz w:val="24"/>
                <w:szCs w:val="24"/>
                <w:highlight w:val="none"/>
                <w:vertAlign w:val="superscript"/>
              </w:rPr>
              <w:t>2</w:t>
            </w:r>
            <w:r>
              <w:rPr>
                <w:bCs/>
                <w:sz w:val="24"/>
                <w:szCs w:val="24"/>
                <w:highlight w:val="none"/>
              </w:rPr>
              <w:t>)</w:t>
            </w:r>
          </w:p>
        </w:tc>
        <w:tc>
          <w:tcPr>
            <w:tcW w:w="1009" w:type="dxa"/>
            <w:vAlign w:val="center"/>
          </w:tcPr>
          <w:p>
            <w:pPr>
              <w:spacing w:line="360" w:lineRule="exact"/>
              <w:ind w:firstLine="0" w:firstLineChars="0"/>
              <w:jc w:val="center"/>
              <w:textAlignment w:val="auto"/>
              <w:rPr>
                <w:kern w:val="2"/>
                <w:sz w:val="21"/>
                <w:szCs w:val="21"/>
                <w:highlight w:val="none"/>
              </w:rPr>
            </w:pPr>
            <w:r>
              <w:rPr>
                <w:kern w:val="2"/>
                <w:sz w:val="21"/>
                <w:szCs w:val="21"/>
                <w:highlight w:val="none"/>
              </w:rPr>
              <w:t>W</w:t>
            </w:r>
            <w:r>
              <w:rPr>
                <w:kern w:val="2"/>
                <w:sz w:val="21"/>
                <w:szCs w:val="21"/>
                <w:highlight w:val="none"/>
                <w:vertAlign w:val="subscript"/>
              </w:rPr>
              <w:t>Y</w:t>
            </w:r>
            <w:r>
              <w:rPr>
                <w:kern w:val="2"/>
                <w:sz w:val="21"/>
                <w:szCs w:val="21"/>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093" w:type="dxa"/>
            <w:vAlign w:val="center"/>
          </w:tcPr>
          <w:p>
            <w:pPr>
              <w:spacing w:line="360" w:lineRule="exact"/>
              <w:ind w:firstLine="0" w:firstLineChars="0"/>
              <w:jc w:val="center"/>
              <w:textAlignment w:val="auto"/>
              <w:rPr>
                <w:kern w:val="2"/>
                <w:sz w:val="21"/>
                <w:szCs w:val="21"/>
                <w:highlight w:val="none"/>
              </w:rPr>
            </w:pPr>
            <w:r>
              <w:rPr>
                <w:rFonts w:hint="eastAsia"/>
                <w:kern w:val="2"/>
                <w:sz w:val="21"/>
                <w:szCs w:val="21"/>
                <w:highlight w:val="none"/>
                <w:lang w:val="en-US" w:eastAsia="zh-CN"/>
              </w:rPr>
              <w:t>物料</w:t>
            </w:r>
            <w:r>
              <w:rPr>
                <w:kern w:val="2"/>
                <w:sz w:val="21"/>
                <w:szCs w:val="21"/>
                <w:highlight w:val="none"/>
              </w:rPr>
              <w:t>卸料、堆存</w:t>
            </w:r>
          </w:p>
        </w:tc>
        <w:tc>
          <w:tcPr>
            <w:tcW w:w="1029" w:type="dxa"/>
            <w:vAlign w:val="center"/>
          </w:tcPr>
          <w:p>
            <w:pPr>
              <w:spacing w:line="240" w:lineRule="auto"/>
              <w:ind w:firstLine="0" w:firstLineChars="0"/>
              <w:jc w:val="center"/>
              <w:rPr>
                <w:kern w:val="2"/>
                <w:sz w:val="21"/>
                <w:szCs w:val="21"/>
                <w:highlight w:val="none"/>
              </w:rPr>
            </w:pPr>
            <w:r>
              <w:rPr>
                <w:sz w:val="21"/>
                <w:szCs w:val="21"/>
                <w:highlight w:val="none"/>
              </w:rPr>
              <w:t>0.0043</w:t>
            </w:r>
          </w:p>
        </w:tc>
        <w:tc>
          <w:tcPr>
            <w:tcW w:w="1179" w:type="dxa"/>
            <w:vAlign w:val="center"/>
          </w:tcPr>
          <w:p>
            <w:pPr>
              <w:spacing w:line="240" w:lineRule="auto"/>
              <w:ind w:firstLine="0" w:firstLineChars="0"/>
              <w:jc w:val="center"/>
              <w:rPr>
                <w:rFonts w:hint="default" w:eastAsia="宋体"/>
                <w:kern w:val="2"/>
                <w:sz w:val="21"/>
                <w:szCs w:val="21"/>
                <w:highlight w:val="none"/>
                <w:lang w:val="en-US" w:eastAsia="zh-CN"/>
              </w:rPr>
            </w:pPr>
            <w:r>
              <w:rPr>
                <w:rFonts w:hint="eastAsia"/>
                <w:sz w:val="21"/>
                <w:szCs w:val="21"/>
                <w:highlight w:val="none"/>
                <w:lang w:val="en-US" w:eastAsia="zh-CN"/>
              </w:rPr>
              <w:t>2263</w:t>
            </w:r>
          </w:p>
        </w:tc>
        <w:tc>
          <w:tcPr>
            <w:tcW w:w="977" w:type="dxa"/>
            <w:vAlign w:val="center"/>
          </w:tcPr>
          <w:p>
            <w:pPr>
              <w:spacing w:line="240" w:lineRule="auto"/>
              <w:ind w:firstLine="0" w:firstLineChars="0"/>
              <w:jc w:val="center"/>
              <w:rPr>
                <w:kern w:val="2"/>
                <w:sz w:val="21"/>
                <w:szCs w:val="21"/>
                <w:highlight w:val="none"/>
              </w:rPr>
            </w:pPr>
            <w:r>
              <w:rPr>
                <w:sz w:val="21"/>
                <w:szCs w:val="21"/>
                <w:highlight w:val="none"/>
              </w:rPr>
              <w:t>50</w:t>
            </w:r>
          </w:p>
        </w:tc>
        <w:tc>
          <w:tcPr>
            <w:tcW w:w="1270" w:type="dxa"/>
            <w:vAlign w:val="center"/>
          </w:tcPr>
          <w:p>
            <w:pPr>
              <w:spacing w:line="240" w:lineRule="auto"/>
              <w:ind w:firstLine="0" w:firstLineChars="0"/>
              <w:jc w:val="center"/>
              <w:rPr>
                <w:kern w:val="2"/>
                <w:sz w:val="21"/>
                <w:szCs w:val="21"/>
                <w:highlight w:val="none"/>
              </w:rPr>
            </w:pPr>
            <w:r>
              <w:rPr>
                <w:sz w:val="21"/>
                <w:szCs w:val="21"/>
                <w:highlight w:val="none"/>
              </w:rPr>
              <w:t>0</w:t>
            </w:r>
          </w:p>
        </w:tc>
        <w:tc>
          <w:tcPr>
            <w:tcW w:w="1089" w:type="dxa"/>
            <w:vAlign w:val="center"/>
          </w:tcPr>
          <w:p>
            <w:pPr>
              <w:spacing w:line="240" w:lineRule="auto"/>
              <w:ind w:firstLine="0" w:firstLineChars="0"/>
              <w:jc w:val="center"/>
              <w:rPr>
                <w:kern w:val="2"/>
                <w:sz w:val="21"/>
                <w:szCs w:val="21"/>
                <w:highlight w:val="none"/>
              </w:rPr>
            </w:pPr>
            <w:r>
              <w:rPr>
                <w:sz w:val="21"/>
                <w:szCs w:val="21"/>
                <w:highlight w:val="none"/>
              </w:rPr>
              <w:t>1000</w:t>
            </w:r>
          </w:p>
        </w:tc>
        <w:tc>
          <w:tcPr>
            <w:tcW w:w="1009" w:type="dxa"/>
            <w:vAlign w:val="center"/>
          </w:tcPr>
          <w:p>
            <w:pPr>
              <w:spacing w:line="240" w:lineRule="auto"/>
              <w:ind w:firstLine="0" w:firstLineChars="0"/>
              <w:jc w:val="center"/>
              <w:rPr>
                <w:rFonts w:hint="default" w:eastAsia="宋体"/>
                <w:kern w:val="2"/>
                <w:sz w:val="21"/>
                <w:szCs w:val="21"/>
                <w:highlight w:val="none"/>
                <w:lang w:val="en-US" w:eastAsia="zh-CN"/>
              </w:rPr>
            </w:pPr>
            <w:r>
              <w:rPr>
                <w:rFonts w:hint="eastAsia"/>
                <w:sz w:val="21"/>
                <w:szCs w:val="21"/>
                <w:highlight w:val="none"/>
                <w:lang w:val="en-US" w:eastAsia="zh-CN"/>
              </w:rPr>
              <w:t>1.39</w:t>
            </w:r>
          </w:p>
        </w:tc>
      </w:tr>
    </w:tbl>
    <w:p>
      <w:pPr>
        <w:ind w:firstLine="480"/>
        <w:jc w:val="both"/>
        <w:rPr>
          <w:bCs/>
          <w:sz w:val="24"/>
          <w:szCs w:val="24"/>
          <w:highlight w:val="none"/>
        </w:rPr>
      </w:pPr>
      <w:r>
        <w:rPr>
          <w:bCs/>
          <w:sz w:val="24"/>
          <w:szCs w:val="24"/>
          <w:highlight w:val="none"/>
        </w:rPr>
        <w:t>由上述计算，</w:t>
      </w:r>
      <w:r>
        <w:rPr>
          <w:rFonts w:hint="eastAsia"/>
          <w:bCs/>
          <w:sz w:val="24"/>
          <w:szCs w:val="24"/>
          <w:highlight w:val="none"/>
          <w:lang w:val="en-US" w:eastAsia="zh-CN"/>
        </w:rPr>
        <w:t>物料</w:t>
      </w:r>
      <w:r>
        <w:rPr>
          <w:bCs/>
          <w:sz w:val="24"/>
          <w:szCs w:val="24"/>
          <w:highlight w:val="none"/>
        </w:rPr>
        <w:t>装卸、堆存年排放颗粒物为</w:t>
      </w:r>
      <w:r>
        <w:rPr>
          <w:rFonts w:hint="eastAsia"/>
          <w:bCs/>
          <w:sz w:val="24"/>
          <w:szCs w:val="24"/>
          <w:highlight w:val="none"/>
        </w:rPr>
        <w:t>1.39</w:t>
      </w:r>
      <w:r>
        <w:rPr>
          <w:bCs/>
          <w:sz w:val="24"/>
          <w:szCs w:val="24"/>
          <w:highlight w:val="none"/>
        </w:rPr>
        <w:t>t/a</w:t>
      </w:r>
      <w:r>
        <w:rPr>
          <w:rFonts w:hint="eastAsia"/>
          <w:bCs/>
          <w:sz w:val="24"/>
          <w:szCs w:val="24"/>
          <w:highlight w:val="none"/>
        </w:rPr>
        <w:t>。</w:t>
      </w:r>
    </w:p>
    <w:p>
      <w:pPr>
        <w:ind w:firstLine="480"/>
        <w:jc w:val="both"/>
        <w:rPr>
          <w:bCs/>
          <w:sz w:val="24"/>
          <w:szCs w:val="24"/>
          <w:highlight w:val="none"/>
        </w:rPr>
      </w:pPr>
      <w:r>
        <w:rPr>
          <w:rFonts w:hint="eastAsia"/>
          <w:bCs/>
          <w:sz w:val="24"/>
          <w:szCs w:val="24"/>
          <w:highlight w:val="none"/>
        </w:rPr>
        <w:t>③破碎、筛分环节逸散粉尘</w:t>
      </w:r>
    </w:p>
    <w:p>
      <w:pPr>
        <w:ind w:firstLine="480"/>
        <w:jc w:val="both"/>
        <w:rPr>
          <w:bCs/>
          <w:sz w:val="24"/>
          <w:szCs w:val="24"/>
          <w:highlight w:val="none"/>
        </w:rPr>
      </w:pPr>
      <w:r>
        <w:rPr>
          <w:bCs/>
          <w:sz w:val="24"/>
          <w:szCs w:val="24"/>
          <w:highlight w:val="none"/>
        </w:rPr>
        <w:t>破碎、筛分</w:t>
      </w:r>
      <w:r>
        <w:rPr>
          <w:rFonts w:hint="eastAsia"/>
          <w:bCs/>
          <w:sz w:val="24"/>
          <w:szCs w:val="24"/>
          <w:highlight w:val="none"/>
        </w:rPr>
        <w:t>过程</w:t>
      </w:r>
      <w:r>
        <w:rPr>
          <w:bCs/>
          <w:sz w:val="24"/>
          <w:szCs w:val="24"/>
          <w:highlight w:val="none"/>
        </w:rPr>
        <w:t>未被集气罩收集的粉尘以无组织形式逸散在车间内</w:t>
      </w:r>
      <w:r>
        <w:rPr>
          <w:rFonts w:hint="eastAsia"/>
          <w:bCs/>
          <w:sz w:val="24"/>
          <w:szCs w:val="24"/>
          <w:highlight w:val="none"/>
        </w:rPr>
        <w:t>，集气罩集气效率按照95%计，则有5%逸散到车间内。破碎生产线</w:t>
      </w:r>
      <w:r>
        <w:rPr>
          <w:bCs/>
          <w:sz w:val="24"/>
          <w:szCs w:val="24"/>
          <w:highlight w:val="none"/>
        </w:rPr>
        <w:t>的逸散量为</w:t>
      </w:r>
      <w:r>
        <w:rPr>
          <w:rFonts w:hint="eastAsia"/>
          <w:bCs/>
          <w:sz w:val="24"/>
          <w:szCs w:val="24"/>
          <w:highlight w:val="none"/>
        </w:rPr>
        <w:t>13.8</w:t>
      </w:r>
      <w:r>
        <w:rPr>
          <w:bCs/>
          <w:sz w:val="24"/>
          <w:szCs w:val="24"/>
          <w:highlight w:val="none"/>
        </w:rPr>
        <w:t>t/a，其中约9</w:t>
      </w:r>
      <w:r>
        <w:rPr>
          <w:rFonts w:hint="eastAsia"/>
          <w:bCs/>
          <w:sz w:val="24"/>
          <w:szCs w:val="24"/>
          <w:highlight w:val="none"/>
        </w:rPr>
        <w:t>8</w:t>
      </w:r>
      <w:r>
        <w:rPr>
          <w:bCs/>
          <w:sz w:val="24"/>
          <w:szCs w:val="24"/>
          <w:highlight w:val="none"/>
        </w:rPr>
        <w:t>%的粉尘沉降在车间内，</w:t>
      </w:r>
      <w:r>
        <w:rPr>
          <w:rFonts w:hint="eastAsia"/>
          <w:bCs/>
          <w:sz w:val="24"/>
          <w:szCs w:val="24"/>
          <w:highlight w:val="none"/>
        </w:rPr>
        <w:t>2</w:t>
      </w:r>
      <w:r>
        <w:rPr>
          <w:bCs/>
          <w:sz w:val="24"/>
          <w:szCs w:val="24"/>
          <w:highlight w:val="none"/>
        </w:rPr>
        <w:t>%的粉尘通过车间进出口逸散，则以无组织形式排放至外环境的粉尘量为</w:t>
      </w:r>
      <w:r>
        <w:rPr>
          <w:rFonts w:hint="eastAsia"/>
          <w:bCs/>
          <w:sz w:val="24"/>
          <w:szCs w:val="24"/>
          <w:highlight w:val="none"/>
        </w:rPr>
        <w:t>0.276</w:t>
      </w:r>
      <w:r>
        <w:rPr>
          <w:bCs/>
          <w:sz w:val="24"/>
          <w:szCs w:val="24"/>
          <w:highlight w:val="none"/>
        </w:rPr>
        <w:t>t/a。</w:t>
      </w:r>
    </w:p>
    <w:p>
      <w:pPr>
        <w:widowControl/>
        <w:spacing w:line="240" w:lineRule="auto"/>
        <w:ind w:firstLine="0" w:firstLineChars="0"/>
        <w:textAlignment w:val="auto"/>
        <w:rPr>
          <w:rFonts w:eastAsia="黑体"/>
          <w:bCs/>
          <w:kern w:val="2"/>
          <w:sz w:val="21"/>
          <w:szCs w:val="21"/>
          <w:highlight w:val="none"/>
        </w:rPr>
      </w:pPr>
      <w:r>
        <w:rPr>
          <w:rFonts w:eastAsia="黑体"/>
          <w:bCs/>
          <w:kern w:val="2"/>
          <w:sz w:val="21"/>
          <w:szCs w:val="21"/>
          <w:highlight w:val="none"/>
        </w:rPr>
        <w:br w:type="page"/>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表3.</w:t>
      </w:r>
      <w:r>
        <w:rPr>
          <w:rFonts w:hint="eastAsia" w:eastAsia="黑体"/>
          <w:bCs/>
          <w:kern w:val="2"/>
          <w:sz w:val="21"/>
          <w:szCs w:val="21"/>
          <w:highlight w:val="none"/>
          <w:lang w:val="en-US" w:eastAsia="zh-CN"/>
        </w:rPr>
        <w:t>4</w:t>
      </w:r>
      <w:r>
        <w:rPr>
          <w:rFonts w:eastAsia="黑体"/>
          <w:bCs/>
          <w:kern w:val="2"/>
          <w:sz w:val="21"/>
          <w:szCs w:val="21"/>
          <w:highlight w:val="none"/>
        </w:rPr>
        <w:t>-</w:t>
      </w:r>
      <w:r>
        <w:rPr>
          <w:rFonts w:hint="eastAsia" w:eastAsia="黑体"/>
          <w:bCs/>
          <w:kern w:val="2"/>
          <w:sz w:val="21"/>
          <w:szCs w:val="21"/>
          <w:highlight w:val="none"/>
          <w:lang w:val="en-US" w:eastAsia="zh-CN"/>
        </w:rPr>
        <w:t>6</w:t>
      </w:r>
      <w:r>
        <w:rPr>
          <w:rFonts w:eastAsia="黑体"/>
          <w:bCs/>
          <w:kern w:val="2"/>
          <w:sz w:val="21"/>
          <w:szCs w:val="21"/>
          <w:highlight w:val="none"/>
        </w:rPr>
        <w:t>破碎车间无组织废气排放情况表</w:t>
      </w:r>
    </w:p>
    <w:tbl>
      <w:tblPr>
        <w:tblStyle w:val="48"/>
        <w:tblW w:w="4998" w:type="pct"/>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39"/>
        <w:gridCol w:w="1303"/>
        <w:gridCol w:w="1792"/>
        <w:gridCol w:w="1792"/>
        <w:gridCol w:w="1593"/>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196" w:type="pct"/>
            <w:vAlign w:val="center"/>
          </w:tcPr>
          <w:p>
            <w:pPr>
              <w:spacing w:line="240" w:lineRule="auto"/>
              <w:ind w:firstLine="0" w:firstLineChars="0"/>
              <w:jc w:val="center"/>
              <w:rPr>
                <w:bCs/>
                <w:sz w:val="21"/>
                <w:szCs w:val="21"/>
                <w:highlight w:val="none"/>
              </w:rPr>
            </w:pPr>
            <w:r>
              <w:rPr>
                <w:bCs/>
                <w:sz w:val="21"/>
                <w:szCs w:val="21"/>
                <w:highlight w:val="none"/>
              </w:rPr>
              <w:t>污染源</w:t>
            </w:r>
          </w:p>
        </w:tc>
        <w:tc>
          <w:tcPr>
            <w:tcW w:w="764" w:type="pct"/>
            <w:vAlign w:val="center"/>
          </w:tcPr>
          <w:p>
            <w:pPr>
              <w:spacing w:line="240" w:lineRule="auto"/>
              <w:ind w:firstLine="0" w:firstLineChars="0"/>
              <w:jc w:val="center"/>
              <w:rPr>
                <w:bCs/>
                <w:sz w:val="21"/>
                <w:szCs w:val="21"/>
                <w:highlight w:val="none"/>
              </w:rPr>
            </w:pPr>
            <w:r>
              <w:rPr>
                <w:bCs/>
                <w:sz w:val="21"/>
                <w:szCs w:val="21"/>
                <w:highlight w:val="none"/>
              </w:rPr>
              <w:t>污染物</w:t>
            </w:r>
          </w:p>
        </w:tc>
        <w:tc>
          <w:tcPr>
            <w:tcW w:w="1051" w:type="pct"/>
            <w:vAlign w:val="center"/>
          </w:tcPr>
          <w:p>
            <w:pPr>
              <w:spacing w:line="240" w:lineRule="auto"/>
              <w:ind w:firstLine="0" w:firstLineChars="0"/>
              <w:jc w:val="center"/>
              <w:rPr>
                <w:bCs/>
                <w:sz w:val="21"/>
                <w:szCs w:val="21"/>
                <w:highlight w:val="none"/>
              </w:rPr>
            </w:pPr>
            <w:r>
              <w:rPr>
                <w:bCs/>
                <w:sz w:val="21"/>
                <w:szCs w:val="21"/>
                <w:highlight w:val="none"/>
              </w:rPr>
              <w:t>产生量（t/a）</w:t>
            </w:r>
          </w:p>
        </w:tc>
        <w:tc>
          <w:tcPr>
            <w:tcW w:w="1051" w:type="pct"/>
            <w:vAlign w:val="center"/>
          </w:tcPr>
          <w:p>
            <w:pPr>
              <w:spacing w:line="240" w:lineRule="auto"/>
              <w:ind w:firstLine="0" w:firstLineChars="0"/>
              <w:jc w:val="center"/>
              <w:rPr>
                <w:bCs/>
                <w:sz w:val="21"/>
                <w:szCs w:val="21"/>
                <w:highlight w:val="none"/>
              </w:rPr>
            </w:pPr>
            <w:r>
              <w:rPr>
                <w:bCs/>
                <w:sz w:val="21"/>
                <w:szCs w:val="21"/>
                <w:highlight w:val="none"/>
              </w:rPr>
              <w:t>排放量（t/a）</w:t>
            </w:r>
          </w:p>
        </w:tc>
        <w:tc>
          <w:tcPr>
            <w:tcW w:w="934" w:type="pct"/>
            <w:vAlign w:val="center"/>
          </w:tcPr>
          <w:p>
            <w:pPr>
              <w:spacing w:line="240" w:lineRule="auto"/>
              <w:ind w:firstLine="0" w:firstLineChars="0"/>
              <w:jc w:val="center"/>
              <w:rPr>
                <w:bCs/>
                <w:sz w:val="21"/>
                <w:szCs w:val="21"/>
                <w:highlight w:val="none"/>
              </w:rPr>
            </w:pPr>
            <w:r>
              <w:rPr>
                <w:bCs/>
                <w:sz w:val="21"/>
                <w:szCs w:val="21"/>
                <w:highlight w:val="none"/>
              </w:rPr>
              <w:t>排放速率（kg/h）</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96" w:type="pct"/>
            <w:vAlign w:val="center"/>
          </w:tcPr>
          <w:p>
            <w:pPr>
              <w:spacing w:line="240" w:lineRule="auto"/>
              <w:ind w:firstLine="0" w:firstLineChars="0"/>
              <w:jc w:val="center"/>
              <w:rPr>
                <w:bCs/>
                <w:sz w:val="21"/>
                <w:szCs w:val="21"/>
                <w:highlight w:val="none"/>
              </w:rPr>
            </w:pPr>
            <w:r>
              <w:rPr>
                <w:bCs/>
                <w:sz w:val="21"/>
                <w:szCs w:val="21"/>
                <w:highlight w:val="none"/>
              </w:rPr>
              <w:t>破碎车间</w:t>
            </w:r>
          </w:p>
        </w:tc>
        <w:tc>
          <w:tcPr>
            <w:tcW w:w="764" w:type="pct"/>
            <w:vAlign w:val="center"/>
          </w:tcPr>
          <w:p>
            <w:pPr>
              <w:spacing w:line="240" w:lineRule="auto"/>
              <w:ind w:firstLine="0" w:firstLineChars="0"/>
              <w:jc w:val="center"/>
              <w:rPr>
                <w:bCs/>
                <w:sz w:val="21"/>
                <w:szCs w:val="21"/>
                <w:highlight w:val="none"/>
              </w:rPr>
            </w:pPr>
            <w:r>
              <w:rPr>
                <w:rFonts w:hint="eastAsia"/>
                <w:bCs/>
                <w:sz w:val="21"/>
                <w:szCs w:val="21"/>
                <w:highlight w:val="none"/>
              </w:rPr>
              <w:t>颗粒物</w:t>
            </w:r>
          </w:p>
        </w:tc>
        <w:tc>
          <w:tcPr>
            <w:tcW w:w="1051" w:type="pct"/>
            <w:vAlign w:val="center"/>
          </w:tcPr>
          <w:p>
            <w:pPr>
              <w:spacing w:line="240" w:lineRule="auto"/>
              <w:ind w:firstLine="0" w:firstLineChars="0"/>
              <w:jc w:val="center"/>
              <w:rPr>
                <w:sz w:val="21"/>
                <w:szCs w:val="21"/>
                <w:highlight w:val="none"/>
              </w:rPr>
            </w:pPr>
            <w:r>
              <w:rPr>
                <w:rFonts w:hint="eastAsia"/>
                <w:sz w:val="21"/>
                <w:szCs w:val="21"/>
                <w:highlight w:val="none"/>
              </w:rPr>
              <w:t>13.8</w:t>
            </w:r>
          </w:p>
        </w:tc>
        <w:tc>
          <w:tcPr>
            <w:tcW w:w="1051" w:type="pct"/>
            <w:vAlign w:val="center"/>
          </w:tcPr>
          <w:p>
            <w:pPr>
              <w:spacing w:line="240" w:lineRule="auto"/>
              <w:ind w:firstLine="0" w:firstLineChars="0"/>
              <w:jc w:val="center"/>
              <w:rPr>
                <w:bCs/>
                <w:sz w:val="21"/>
                <w:szCs w:val="21"/>
                <w:highlight w:val="none"/>
              </w:rPr>
            </w:pPr>
            <w:r>
              <w:rPr>
                <w:rFonts w:hint="eastAsia"/>
                <w:bCs/>
                <w:sz w:val="21"/>
                <w:szCs w:val="21"/>
                <w:highlight w:val="none"/>
              </w:rPr>
              <w:t>0.276</w:t>
            </w:r>
          </w:p>
        </w:tc>
        <w:tc>
          <w:tcPr>
            <w:tcW w:w="934" w:type="pct"/>
            <w:vAlign w:val="center"/>
          </w:tcPr>
          <w:p>
            <w:pPr>
              <w:spacing w:line="240" w:lineRule="auto"/>
              <w:ind w:firstLine="0" w:firstLineChars="0"/>
              <w:jc w:val="center"/>
              <w:rPr>
                <w:bCs/>
                <w:sz w:val="21"/>
                <w:szCs w:val="21"/>
                <w:highlight w:val="none"/>
              </w:rPr>
            </w:pPr>
            <w:r>
              <w:rPr>
                <w:bCs/>
                <w:sz w:val="21"/>
                <w:szCs w:val="21"/>
                <w:highlight w:val="none"/>
              </w:rPr>
              <w:t>0.</w:t>
            </w:r>
            <w:r>
              <w:rPr>
                <w:rFonts w:hint="eastAsia"/>
                <w:bCs/>
                <w:sz w:val="21"/>
                <w:szCs w:val="21"/>
                <w:highlight w:val="none"/>
              </w:rPr>
              <w:t>038</w:t>
            </w:r>
          </w:p>
        </w:tc>
      </w:tr>
    </w:tbl>
    <w:p>
      <w:pPr>
        <w:ind w:firstLine="480"/>
        <w:jc w:val="both"/>
        <w:rPr>
          <w:bCs/>
          <w:sz w:val="24"/>
          <w:szCs w:val="24"/>
          <w:highlight w:val="none"/>
        </w:rPr>
      </w:pPr>
      <w:r>
        <w:rPr>
          <w:rFonts w:hint="eastAsia"/>
          <w:bCs/>
          <w:sz w:val="24"/>
          <w:szCs w:val="24"/>
          <w:highlight w:val="none"/>
        </w:rPr>
        <w:t>（3）</w:t>
      </w:r>
      <w:r>
        <w:rPr>
          <w:bCs/>
          <w:sz w:val="24"/>
          <w:szCs w:val="24"/>
          <w:highlight w:val="none"/>
        </w:rPr>
        <w:t>道路运输扬尘</w:t>
      </w:r>
    </w:p>
    <w:p>
      <w:pPr>
        <w:ind w:firstLine="480"/>
        <w:jc w:val="both"/>
        <w:rPr>
          <w:bCs/>
          <w:sz w:val="24"/>
          <w:szCs w:val="24"/>
          <w:highlight w:val="none"/>
        </w:rPr>
      </w:pPr>
      <w:r>
        <w:rPr>
          <w:bCs/>
          <w:sz w:val="24"/>
          <w:szCs w:val="24"/>
          <w:highlight w:val="none"/>
        </w:rPr>
        <w:t>道路扬尘计算公式：</w:t>
      </w:r>
    </w:p>
    <w:p>
      <w:pPr>
        <w:ind w:firstLine="280" w:firstLineChars="100"/>
        <w:jc w:val="center"/>
        <w:rPr>
          <w:bCs/>
          <w:sz w:val="24"/>
          <w:szCs w:val="24"/>
          <w:highlight w:val="none"/>
        </w:rPr>
      </w:pPr>
      <w:r>
        <w:rPr>
          <w:highlight w:val="none"/>
        </w:rPr>
        <w:drawing>
          <wp:inline distT="0" distB="0" distL="0" distR="0">
            <wp:extent cx="3268980" cy="624840"/>
            <wp:effectExtent l="19050" t="0" r="7620" b="0"/>
            <wp:docPr id="1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3"/>
                    <pic:cNvPicPr>
                      <a:picLocks noChangeAspect="1" noChangeArrowheads="1"/>
                    </pic:cNvPicPr>
                  </pic:nvPicPr>
                  <pic:blipFill>
                    <a:blip r:embed="rId32" cstate="print"/>
                    <a:srcRect/>
                    <a:stretch>
                      <a:fillRect/>
                    </a:stretch>
                  </pic:blipFill>
                  <pic:spPr>
                    <a:xfrm>
                      <a:off x="0" y="0"/>
                      <a:ext cx="3268980" cy="624840"/>
                    </a:xfrm>
                    <a:prstGeom prst="rect">
                      <a:avLst/>
                    </a:prstGeom>
                    <a:noFill/>
                    <a:ln w="9525">
                      <a:noFill/>
                      <a:miter lim="800000"/>
                      <a:headEnd/>
                      <a:tailEnd/>
                    </a:ln>
                  </pic:spPr>
                </pic:pic>
              </a:graphicData>
            </a:graphic>
          </wp:inline>
        </w:drawing>
      </w:r>
    </w:p>
    <w:p>
      <w:pPr>
        <w:ind w:firstLine="480"/>
        <w:jc w:val="both"/>
        <w:rPr>
          <w:bCs/>
          <w:sz w:val="24"/>
          <w:szCs w:val="24"/>
          <w:highlight w:val="none"/>
        </w:rPr>
      </w:pPr>
      <w:r>
        <w:rPr>
          <w:bCs/>
          <w:sz w:val="24"/>
          <w:szCs w:val="24"/>
          <w:highlight w:val="none"/>
        </w:rPr>
        <w:t>计算参数：Qp——道路扬尘量，（kg/km·辆）；</w:t>
      </w:r>
    </w:p>
    <w:p>
      <w:pPr>
        <w:ind w:firstLine="480"/>
        <w:jc w:val="both"/>
        <w:rPr>
          <w:bCs/>
          <w:sz w:val="24"/>
          <w:szCs w:val="24"/>
          <w:highlight w:val="none"/>
        </w:rPr>
      </w:pPr>
      <w:r>
        <w:rPr>
          <w:bCs/>
          <w:sz w:val="24"/>
          <w:szCs w:val="24"/>
          <w:highlight w:val="none"/>
        </w:rPr>
        <w:t>Q'</w:t>
      </w:r>
      <w:r>
        <w:rPr>
          <w:bCs/>
          <w:sz w:val="24"/>
          <w:szCs w:val="24"/>
          <w:highlight w:val="none"/>
          <w:vertAlign w:val="subscript"/>
        </w:rPr>
        <w:t>p</w:t>
      </w:r>
      <w:r>
        <w:rPr>
          <w:bCs/>
          <w:sz w:val="24"/>
          <w:szCs w:val="24"/>
          <w:highlight w:val="none"/>
        </w:rPr>
        <w:t>——总扬尘量，（kg/a）；</w:t>
      </w:r>
    </w:p>
    <w:p>
      <w:pPr>
        <w:ind w:firstLine="480"/>
        <w:jc w:val="both"/>
        <w:rPr>
          <w:bCs/>
          <w:sz w:val="24"/>
          <w:szCs w:val="24"/>
          <w:highlight w:val="none"/>
        </w:rPr>
      </w:pPr>
      <w:r>
        <w:rPr>
          <w:bCs/>
          <w:sz w:val="24"/>
          <w:szCs w:val="24"/>
          <w:highlight w:val="none"/>
        </w:rPr>
        <w:t>V——车辆速度，（20km/h）；</w:t>
      </w:r>
    </w:p>
    <w:p>
      <w:pPr>
        <w:ind w:firstLine="480"/>
        <w:jc w:val="both"/>
        <w:rPr>
          <w:bCs/>
          <w:sz w:val="24"/>
          <w:szCs w:val="24"/>
          <w:highlight w:val="none"/>
        </w:rPr>
      </w:pPr>
      <w:r>
        <w:rPr>
          <w:bCs/>
          <w:sz w:val="24"/>
          <w:szCs w:val="24"/>
          <w:highlight w:val="none"/>
        </w:rPr>
        <w:t>M——车辆载重，50t/辆；</w:t>
      </w:r>
    </w:p>
    <w:p>
      <w:pPr>
        <w:ind w:firstLine="480"/>
        <w:jc w:val="both"/>
        <w:rPr>
          <w:bCs/>
          <w:sz w:val="24"/>
          <w:szCs w:val="24"/>
          <w:highlight w:val="none"/>
        </w:rPr>
      </w:pPr>
      <w:r>
        <w:rPr>
          <w:bCs/>
          <w:sz w:val="24"/>
          <w:szCs w:val="24"/>
          <w:highlight w:val="none"/>
        </w:rPr>
        <w:t>P——路面灰尘覆盖率，0.3kg/m</w:t>
      </w:r>
      <w:r>
        <w:rPr>
          <w:bCs/>
          <w:sz w:val="24"/>
          <w:szCs w:val="24"/>
          <w:highlight w:val="none"/>
          <w:vertAlign w:val="superscript"/>
        </w:rPr>
        <w:t>2</w:t>
      </w:r>
      <w:r>
        <w:rPr>
          <w:bCs/>
          <w:sz w:val="24"/>
          <w:szCs w:val="24"/>
          <w:highlight w:val="none"/>
        </w:rPr>
        <w:t>；</w:t>
      </w:r>
    </w:p>
    <w:p>
      <w:pPr>
        <w:ind w:firstLine="480"/>
        <w:jc w:val="both"/>
        <w:rPr>
          <w:bCs/>
          <w:sz w:val="24"/>
          <w:szCs w:val="24"/>
          <w:highlight w:val="none"/>
        </w:rPr>
      </w:pPr>
      <w:r>
        <w:rPr>
          <w:bCs/>
          <w:sz w:val="24"/>
          <w:szCs w:val="24"/>
          <w:highlight w:val="none"/>
        </w:rPr>
        <w:t>L——运距，（约100m）；</w:t>
      </w:r>
    </w:p>
    <w:p>
      <w:pPr>
        <w:ind w:firstLine="480"/>
        <w:jc w:val="both"/>
        <w:rPr>
          <w:bCs/>
          <w:sz w:val="24"/>
          <w:szCs w:val="24"/>
          <w:highlight w:val="none"/>
        </w:rPr>
      </w:pPr>
      <w:r>
        <w:rPr>
          <w:bCs/>
          <w:sz w:val="24"/>
          <w:szCs w:val="24"/>
          <w:highlight w:val="none"/>
        </w:rPr>
        <w:t>Q——运输量。</w:t>
      </w:r>
    </w:p>
    <w:p>
      <w:pPr>
        <w:ind w:firstLine="480"/>
        <w:jc w:val="both"/>
        <w:rPr>
          <w:bCs/>
          <w:sz w:val="24"/>
          <w:szCs w:val="24"/>
          <w:highlight w:val="none"/>
        </w:rPr>
      </w:pPr>
      <w:r>
        <w:rPr>
          <w:rFonts w:hint="eastAsia"/>
          <w:bCs/>
          <w:sz w:val="24"/>
          <w:szCs w:val="24"/>
          <w:highlight w:val="none"/>
        </w:rPr>
        <w:t>经计算，</w:t>
      </w:r>
      <w:r>
        <w:rPr>
          <w:bCs/>
          <w:sz w:val="24"/>
          <w:szCs w:val="24"/>
          <w:highlight w:val="none"/>
        </w:rPr>
        <w:t>物料在厂区内运输过程中的产尘量为</w:t>
      </w:r>
      <w:r>
        <w:rPr>
          <w:rFonts w:hint="eastAsia"/>
          <w:bCs/>
          <w:sz w:val="24"/>
          <w:szCs w:val="24"/>
          <w:highlight w:val="none"/>
        </w:rPr>
        <w:t>1.82</w:t>
      </w:r>
      <w:r>
        <w:rPr>
          <w:bCs/>
          <w:sz w:val="24"/>
          <w:szCs w:val="24"/>
          <w:highlight w:val="none"/>
        </w:rPr>
        <w:t>t/a，在采取厂区地面全部硬化，道路洒水降尘、保洁等措施后，可以抑制扬尘量约80%，采取措施后运输扬尘量为0.</w:t>
      </w:r>
      <w:r>
        <w:rPr>
          <w:rFonts w:hint="eastAsia"/>
          <w:bCs/>
          <w:sz w:val="24"/>
          <w:szCs w:val="24"/>
          <w:highlight w:val="none"/>
        </w:rPr>
        <w:t>364</w:t>
      </w:r>
      <w:r>
        <w:rPr>
          <w:bCs/>
          <w:sz w:val="24"/>
          <w:szCs w:val="24"/>
          <w:highlight w:val="none"/>
        </w:rPr>
        <w:t>t/a。</w:t>
      </w:r>
    </w:p>
    <w:p>
      <w:pPr>
        <w:pStyle w:val="3"/>
        <w:rPr>
          <w:rFonts w:eastAsia="宋体"/>
          <w:b/>
          <w:highlight w:val="none"/>
        </w:rPr>
      </w:pPr>
      <w:r>
        <w:rPr>
          <w:rFonts w:hint="eastAsia" w:eastAsia="宋体"/>
          <w:b/>
          <w:highlight w:val="none"/>
        </w:rPr>
        <w:t>3.</w:t>
      </w:r>
      <w:r>
        <w:rPr>
          <w:rFonts w:hint="eastAsia" w:eastAsia="宋体"/>
          <w:b/>
          <w:highlight w:val="none"/>
          <w:lang w:val="en-US" w:eastAsia="zh-CN"/>
        </w:rPr>
        <w:t>4</w:t>
      </w:r>
      <w:r>
        <w:rPr>
          <w:rFonts w:hint="eastAsia" w:eastAsia="宋体"/>
          <w:b/>
          <w:highlight w:val="none"/>
        </w:rPr>
        <w:t>.2.2</w:t>
      </w:r>
      <w:r>
        <w:rPr>
          <w:rFonts w:eastAsia="宋体"/>
          <w:b/>
          <w:highlight w:val="none"/>
        </w:rPr>
        <w:t>水污染物分析及源强核算</w:t>
      </w:r>
    </w:p>
    <w:p>
      <w:pPr>
        <w:pStyle w:val="19"/>
        <w:spacing w:after="0" w:line="480" w:lineRule="exact"/>
        <w:ind w:firstLine="480"/>
        <w:jc w:val="both"/>
        <w:rPr>
          <w:rFonts w:hint="eastAsia"/>
          <w:sz w:val="24"/>
          <w:szCs w:val="24"/>
          <w:highlight w:val="none"/>
          <w:lang w:val="en-US" w:eastAsia="zh-CN"/>
        </w:rPr>
      </w:pPr>
      <w:r>
        <w:rPr>
          <w:rFonts w:hint="eastAsia"/>
          <w:sz w:val="24"/>
          <w:szCs w:val="24"/>
          <w:highlight w:val="none"/>
          <w:lang w:val="en-US" w:eastAsia="zh-CN"/>
        </w:rPr>
        <w:t>本项目振筛湿式作业产生的废水经管道自流至北厂区干排系统处理，处理后作为球磨磁选用水回用、不外排。</w:t>
      </w:r>
    </w:p>
    <w:p>
      <w:pPr>
        <w:pStyle w:val="3"/>
        <w:keepNext/>
        <w:keepLines/>
        <w:pageBreakBefore w:val="0"/>
        <w:widowControl w:val="0"/>
        <w:kinsoku/>
        <w:wordWrap/>
        <w:overflowPunct/>
        <w:topLinePunct w:val="0"/>
        <w:autoSpaceDE/>
        <w:autoSpaceDN/>
        <w:bidi w:val="0"/>
        <w:adjustRightInd/>
        <w:snapToGrid/>
        <w:spacing w:before="157" w:beforeLines="50"/>
        <w:textAlignment w:val="bottom"/>
        <w:rPr>
          <w:rFonts w:eastAsia="宋体"/>
          <w:b/>
          <w:highlight w:val="none"/>
        </w:rPr>
      </w:pPr>
      <w:r>
        <w:rPr>
          <w:rFonts w:hint="eastAsia" w:eastAsia="宋体"/>
          <w:b/>
          <w:highlight w:val="none"/>
        </w:rPr>
        <w:t>3.</w:t>
      </w:r>
      <w:r>
        <w:rPr>
          <w:rFonts w:hint="eastAsia" w:eastAsia="宋体"/>
          <w:b/>
          <w:highlight w:val="none"/>
          <w:lang w:val="en-US" w:eastAsia="zh-CN"/>
        </w:rPr>
        <w:t>4</w:t>
      </w:r>
      <w:r>
        <w:rPr>
          <w:rFonts w:hint="eastAsia" w:eastAsia="宋体"/>
          <w:b/>
          <w:highlight w:val="none"/>
        </w:rPr>
        <w:t>.2.3</w:t>
      </w:r>
      <w:r>
        <w:rPr>
          <w:rFonts w:eastAsia="宋体"/>
          <w:b/>
          <w:highlight w:val="none"/>
        </w:rPr>
        <w:t>噪声排放情况分析</w:t>
      </w:r>
    </w:p>
    <w:p>
      <w:pPr>
        <w:ind w:firstLine="480"/>
        <w:rPr>
          <w:sz w:val="24"/>
          <w:szCs w:val="24"/>
          <w:highlight w:val="none"/>
        </w:rPr>
      </w:pPr>
      <w:r>
        <w:rPr>
          <w:sz w:val="24"/>
          <w:szCs w:val="24"/>
          <w:highlight w:val="none"/>
        </w:rPr>
        <w:t>本项目</w:t>
      </w:r>
      <w:r>
        <w:rPr>
          <w:rFonts w:hint="eastAsia"/>
          <w:sz w:val="24"/>
          <w:szCs w:val="24"/>
          <w:highlight w:val="none"/>
          <w:lang w:val="en-US" w:eastAsia="zh-CN"/>
        </w:rPr>
        <w:t>新增</w:t>
      </w:r>
      <w:r>
        <w:rPr>
          <w:sz w:val="24"/>
          <w:szCs w:val="24"/>
          <w:highlight w:val="none"/>
        </w:rPr>
        <w:t>噪声污染源主要来自生产过程中各种设备和设施的运行噪声，主要为生产工序的</w:t>
      </w:r>
      <w:r>
        <w:rPr>
          <w:rFonts w:hint="eastAsia"/>
          <w:sz w:val="24"/>
          <w:szCs w:val="24"/>
          <w:highlight w:val="none"/>
        </w:rPr>
        <w:t>破碎机、</w:t>
      </w:r>
      <w:r>
        <w:rPr>
          <w:rFonts w:hint="eastAsia"/>
          <w:sz w:val="24"/>
          <w:szCs w:val="24"/>
          <w:highlight w:val="none"/>
          <w:lang w:val="en-US" w:eastAsia="zh-CN"/>
        </w:rPr>
        <w:t>振动筛</w:t>
      </w:r>
      <w:r>
        <w:rPr>
          <w:sz w:val="24"/>
          <w:szCs w:val="24"/>
          <w:highlight w:val="none"/>
        </w:rPr>
        <w:t>、磁选机</w:t>
      </w:r>
      <w:r>
        <w:rPr>
          <w:rFonts w:hint="eastAsia"/>
          <w:sz w:val="24"/>
          <w:szCs w:val="24"/>
          <w:highlight w:val="none"/>
        </w:rPr>
        <w:t>、风机</w:t>
      </w:r>
      <w:r>
        <w:rPr>
          <w:sz w:val="24"/>
          <w:szCs w:val="24"/>
          <w:highlight w:val="none"/>
        </w:rPr>
        <w:t>等设备，类比同类设备，各噪声源的声级为7</w:t>
      </w:r>
      <w:r>
        <w:rPr>
          <w:rFonts w:hint="eastAsia"/>
          <w:sz w:val="24"/>
          <w:szCs w:val="24"/>
          <w:highlight w:val="none"/>
        </w:rPr>
        <w:t>5</w:t>
      </w:r>
      <w:r>
        <w:rPr>
          <w:sz w:val="24"/>
          <w:szCs w:val="24"/>
          <w:highlight w:val="none"/>
        </w:rPr>
        <w:t>～</w:t>
      </w:r>
      <w:r>
        <w:rPr>
          <w:rFonts w:hint="eastAsia"/>
          <w:sz w:val="24"/>
          <w:szCs w:val="24"/>
          <w:highlight w:val="none"/>
        </w:rPr>
        <w:t>100</w:t>
      </w:r>
      <w:r>
        <w:rPr>
          <w:sz w:val="24"/>
          <w:szCs w:val="24"/>
          <w:highlight w:val="none"/>
        </w:rPr>
        <w:t>dB(A)。</w:t>
      </w:r>
    </w:p>
    <w:p>
      <w:pPr>
        <w:ind w:firstLine="480"/>
        <w:jc w:val="both"/>
        <w:rPr>
          <w:bCs/>
          <w:sz w:val="24"/>
          <w:szCs w:val="24"/>
          <w:highlight w:val="none"/>
        </w:rPr>
      </w:pPr>
      <w:r>
        <w:rPr>
          <w:bCs/>
          <w:sz w:val="24"/>
          <w:szCs w:val="24"/>
          <w:highlight w:val="none"/>
        </w:rPr>
        <w:t>本项目运营期各产噪设备噪声声级见表3.</w:t>
      </w:r>
      <w:r>
        <w:rPr>
          <w:rFonts w:hint="eastAsia"/>
          <w:bCs/>
          <w:sz w:val="24"/>
          <w:szCs w:val="24"/>
          <w:highlight w:val="none"/>
          <w:lang w:val="en-US" w:eastAsia="zh-CN"/>
        </w:rPr>
        <w:t>4</w:t>
      </w:r>
      <w:r>
        <w:rPr>
          <w:bCs/>
          <w:sz w:val="24"/>
          <w:szCs w:val="24"/>
          <w:highlight w:val="none"/>
        </w:rPr>
        <w:t>-</w:t>
      </w:r>
      <w:r>
        <w:rPr>
          <w:rFonts w:hint="eastAsia"/>
          <w:bCs/>
          <w:sz w:val="24"/>
          <w:szCs w:val="24"/>
          <w:highlight w:val="none"/>
          <w:lang w:val="en-US" w:eastAsia="zh-CN"/>
        </w:rPr>
        <w:t>7</w:t>
      </w:r>
      <w:r>
        <w:rPr>
          <w:bCs/>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lang w:val="en-US" w:eastAsia="zh-CN"/>
        </w:rPr>
        <w:t>4</w:t>
      </w:r>
      <w:r>
        <w:rPr>
          <w:rFonts w:eastAsia="黑体"/>
          <w:kern w:val="2"/>
          <w:sz w:val="21"/>
          <w:szCs w:val="21"/>
          <w:highlight w:val="none"/>
        </w:rPr>
        <w:t>-</w:t>
      </w:r>
      <w:r>
        <w:rPr>
          <w:rFonts w:hint="eastAsia" w:eastAsia="黑体"/>
          <w:kern w:val="2"/>
          <w:sz w:val="21"/>
          <w:szCs w:val="21"/>
          <w:highlight w:val="none"/>
          <w:lang w:val="en-US" w:eastAsia="zh-CN"/>
        </w:rPr>
        <w:t>7</w:t>
      </w:r>
      <w:r>
        <w:rPr>
          <w:rFonts w:hint="eastAsia" w:eastAsia="黑体"/>
          <w:kern w:val="2"/>
          <w:sz w:val="21"/>
          <w:szCs w:val="21"/>
          <w:highlight w:val="none"/>
        </w:rPr>
        <w:t xml:space="preserve"> </w:t>
      </w:r>
      <w:r>
        <w:rPr>
          <w:rFonts w:eastAsia="黑体"/>
          <w:kern w:val="2"/>
          <w:sz w:val="21"/>
          <w:szCs w:val="21"/>
          <w:highlight w:val="none"/>
        </w:rPr>
        <w:t>建设项目主要噪声设备产噪情况表</w:t>
      </w:r>
    </w:p>
    <w:tbl>
      <w:tblPr>
        <w:tblStyle w:val="48"/>
        <w:tblW w:w="8406"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477"/>
        <w:gridCol w:w="754"/>
        <w:gridCol w:w="1399"/>
        <w:gridCol w:w="934"/>
        <w:gridCol w:w="777"/>
        <w:gridCol w:w="982"/>
        <w:gridCol w:w="1574"/>
        <w:gridCol w:w="9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序号</w:t>
            </w:r>
          </w:p>
        </w:tc>
        <w:tc>
          <w:tcPr>
            <w:tcW w:w="1231" w:type="dxa"/>
            <w:gridSpan w:val="2"/>
            <w:vAlign w:val="center"/>
          </w:tcPr>
          <w:p>
            <w:pPr>
              <w:pStyle w:val="174"/>
              <w:rPr>
                <w:rFonts w:eastAsia="宋体"/>
                <w:sz w:val="21"/>
                <w:szCs w:val="21"/>
                <w:highlight w:val="none"/>
              </w:rPr>
            </w:pPr>
            <w:r>
              <w:rPr>
                <w:rFonts w:eastAsia="宋体"/>
                <w:sz w:val="21"/>
                <w:szCs w:val="21"/>
                <w:highlight w:val="none"/>
              </w:rPr>
              <w:t>产噪车间</w:t>
            </w:r>
          </w:p>
        </w:tc>
        <w:tc>
          <w:tcPr>
            <w:tcW w:w="1399" w:type="dxa"/>
            <w:vAlign w:val="center"/>
          </w:tcPr>
          <w:p>
            <w:pPr>
              <w:pStyle w:val="174"/>
              <w:rPr>
                <w:rFonts w:eastAsia="宋体"/>
                <w:sz w:val="21"/>
                <w:szCs w:val="21"/>
                <w:highlight w:val="none"/>
              </w:rPr>
            </w:pPr>
            <w:r>
              <w:rPr>
                <w:rFonts w:eastAsia="宋体"/>
                <w:sz w:val="21"/>
                <w:szCs w:val="21"/>
                <w:highlight w:val="none"/>
              </w:rPr>
              <w:t>设备名称</w:t>
            </w:r>
          </w:p>
        </w:tc>
        <w:tc>
          <w:tcPr>
            <w:tcW w:w="934" w:type="dxa"/>
            <w:vAlign w:val="center"/>
          </w:tcPr>
          <w:p>
            <w:pPr>
              <w:pStyle w:val="174"/>
              <w:rPr>
                <w:rFonts w:eastAsia="宋体"/>
                <w:sz w:val="21"/>
                <w:szCs w:val="21"/>
                <w:highlight w:val="none"/>
              </w:rPr>
            </w:pPr>
            <w:r>
              <w:rPr>
                <w:rFonts w:eastAsia="宋体"/>
                <w:sz w:val="21"/>
                <w:szCs w:val="21"/>
                <w:highlight w:val="none"/>
              </w:rPr>
              <w:t>单台设备声级/dB(A)</w:t>
            </w:r>
          </w:p>
        </w:tc>
        <w:tc>
          <w:tcPr>
            <w:tcW w:w="777" w:type="dxa"/>
            <w:vAlign w:val="center"/>
          </w:tcPr>
          <w:p>
            <w:pPr>
              <w:pStyle w:val="174"/>
              <w:rPr>
                <w:rFonts w:eastAsia="宋体"/>
                <w:sz w:val="21"/>
                <w:szCs w:val="21"/>
                <w:highlight w:val="none"/>
              </w:rPr>
            </w:pPr>
            <w:r>
              <w:rPr>
                <w:rFonts w:eastAsia="宋体"/>
                <w:sz w:val="21"/>
                <w:szCs w:val="21"/>
                <w:highlight w:val="none"/>
              </w:rPr>
              <w:t>台(套)数</w:t>
            </w:r>
          </w:p>
        </w:tc>
        <w:tc>
          <w:tcPr>
            <w:tcW w:w="982" w:type="dxa"/>
            <w:vAlign w:val="center"/>
          </w:tcPr>
          <w:p>
            <w:pPr>
              <w:pStyle w:val="174"/>
              <w:rPr>
                <w:rFonts w:eastAsia="宋体"/>
                <w:sz w:val="21"/>
                <w:szCs w:val="21"/>
                <w:highlight w:val="none"/>
              </w:rPr>
            </w:pPr>
            <w:r>
              <w:rPr>
                <w:rFonts w:eastAsia="宋体"/>
                <w:sz w:val="21"/>
                <w:szCs w:val="21"/>
                <w:highlight w:val="none"/>
              </w:rPr>
              <w:t>运行</w:t>
            </w:r>
          </w:p>
          <w:p>
            <w:pPr>
              <w:pStyle w:val="174"/>
              <w:rPr>
                <w:rFonts w:eastAsia="宋体"/>
                <w:sz w:val="21"/>
                <w:szCs w:val="21"/>
                <w:highlight w:val="none"/>
              </w:rPr>
            </w:pPr>
            <w:r>
              <w:rPr>
                <w:rFonts w:eastAsia="宋体"/>
                <w:sz w:val="21"/>
                <w:szCs w:val="21"/>
                <w:highlight w:val="none"/>
              </w:rPr>
              <w:t>特征</w:t>
            </w:r>
          </w:p>
        </w:tc>
        <w:tc>
          <w:tcPr>
            <w:tcW w:w="1574" w:type="dxa"/>
            <w:vAlign w:val="center"/>
          </w:tcPr>
          <w:p>
            <w:pPr>
              <w:pStyle w:val="174"/>
              <w:rPr>
                <w:rFonts w:eastAsia="宋体"/>
                <w:sz w:val="21"/>
                <w:szCs w:val="21"/>
                <w:highlight w:val="none"/>
              </w:rPr>
            </w:pPr>
            <w:r>
              <w:rPr>
                <w:rFonts w:eastAsia="宋体"/>
                <w:sz w:val="21"/>
                <w:szCs w:val="21"/>
                <w:highlight w:val="none"/>
              </w:rPr>
              <w:t>治理措施</w:t>
            </w:r>
          </w:p>
        </w:tc>
        <w:tc>
          <w:tcPr>
            <w:tcW w:w="912" w:type="dxa"/>
            <w:vAlign w:val="center"/>
          </w:tcPr>
          <w:p>
            <w:pPr>
              <w:pStyle w:val="174"/>
              <w:rPr>
                <w:rFonts w:eastAsia="宋体"/>
                <w:sz w:val="21"/>
                <w:szCs w:val="21"/>
                <w:highlight w:val="none"/>
              </w:rPr>
            </w:pPr>
            <w:r>
              <w:rPr>
                <w:rFonts w:eastAsia="宋体"/>
                <w:sz w:val="21"/>
                <w:szCs w:val="21"/>
                <w:highlight w:val="none"/>
              </w:rPr>
              <w:t>单台设备外排噪声/dB(A)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1</w:t>
            </w:r>
          </w:p>
        </w:tc>
        <w:tc>
          <w:tcPr>
            <w:tcW w:w="477" w:type="dxa"/>
            <w:vMerge w:val="restart"/>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rPr>
              <w:t>南厂区</w:t>
            </w:r>
            <w:r>
              <w:rPr>
                <w:rFonts w:hint="eastAsia"/>
                <w:sz w:val="21"/>
                <w:szCs w:val="21"/>
                <w:highlight w:val="none"/>
                <w:lang w:val="en-US" w:eastAsia="zh-CN"/>
              </w:rPr>
              <w:t>新增</w:t>
            </w:r>
          </w:p>
        </w:tc>
        <w:tc>
          <w:tcPr>
            <w:tcW w:w="754" w:type="dxa"/>
            <w:vMerge w:val="restart"/>
            <w:vAlign w:val="center"/>
          </w:tcPr>
          <w:p>
            <w:pPr>
              <w:spacing w:line="240" w:lineRule="auto"/>
              <w:ind w:firstLine="0" w:firstLineChars="0"/>
              <w:jc w:val="center"/>
              <w:rPr>
                <w:sz w:val="21"/>
                <w:szCs w:val="21"/>
                <w:highlight w:val="none"/>
              </w:rPr>
            </w:pPr>
            <w:r>
              <w:rPr>
                <w:sz w:val="21"/>
                <w:szCs w:val="21"/>
                <w:highlight w:val="none"/>
              </w:rPr>
              <w:t>破碎</w:t>
            </w:r>
          </w:p>
          <w:p>
            <w:pPr>
              <w:spacing w:line="240" w:lineRule="auto"/>
              <w:ind w:firstLine="0" w:firstLineChars="0"/>
              <w:jc w:val="center"/>
              <w:rPr>
                <w:sz w:val="21"/>
                <w:szCs w:val="21"/>
                <w:highlight w:val="none"/>
              </w:rPr>
            </w:pPr>
            <w:r>
              <w:rPr>
                <w:sz w:val="21"/>
                <w:szCs w:val="21"/>
                <w:highlight w:val="none"/>
              </w:rPr>
              <w:t>车间</w:t>
            </w:r>
          </w:p>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宋体"/>
                <w:sz w:val="21"/>
                <w:szCs w:val="21"/>
                <w:highlight w:val="none"/>
              </w:rPr>
            </w:pPr>
            <w:r>
              <w:rPr>
                <w:rFonts w:eastAsiaTheme="minorEastAsia"/>
                <w:sz w:val="21"/>
                <w:szCs w:val="21"/>
                <w:highlight w:val="none"/>
              </w:rPr>
              <w:t>颚式破碎机</w:t>
            </w:r>
          </w:p>
        </w:tc>
        <w:tc>
          <w:tcPr>
            <w:tcW w:w="934" w:type="dxa"/>
            <w:vAlign w:val="center"/>
          </w:tcPr>
          <w:p>
            <w:pPr>
              <w:pStyle w:val="174"/>
              <w:rPr>
                <w:rFonts w:eastAsia="宋体"/>
                <w:sz w:val="21"/>
                <w:szCs w:val="21"/>
                <w:highlight w:val="none"/>
              </w:rPr>
            </w:pPr>
            <w:r>
              <w:rPr>
                <w:rFonts w:hint="eastAsia"/>
                <w:sz w:val="21"/>
                <w:szCs w:val="21"/>
                <w:highlight w:val="none"/>
              </w:rPr>
              <w:t>95</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restart"/>
            <w:vAlign w:val="center"/>
          </w:tcPr>
          <w:p>
            <w:pPr>
              <w:pStyle w:val="174"/>
              <w:rPr>
                <w:rFonts w:eastAsia="宋体"/>
                <w:sz w:val="21"/>
                <w:szCs w:val="21"/>
                <w:highlight w:val="none"/>
              </w:rPr>
            </w:pPr>
            <w:r>
              <w:rPr>
                <w:rFonts w:eastAsia="宋体"/>
                <w:sz w:val="21"/>
                <w:szCs w:val="21"/>
                <w:highlight w:val="none"/>
              </w:rPr>
              <w:t>厂房隔声、减震基础、吸声材料</w:t>
            </w:r>
            <w:r>
              <w:rPr>
                <w:rFonts w:hint="eastAsia" w:eastAsia="宋体"/>
                <w:sz w:val="21"/>
                <w:szCs w:val="21"/>
                <w:highlight w:val="none"/>
              </w:rPr>
              <w:t>等</w:t>
            </w:r>
            <w:r>
              <w:rPr>
                <w:rFonts w:eastAsia="宋体"/>
                <w:sz w:val="21"/>
                <w:szCs w:val="21"/>
                <w:highlight w:val="none"/>
              </w:rPr>
              <w:t>，</w:t>
            </w:r>
            <w:r>
              <w:rPr>
                <w:rFonts w:eastAsia="宋体"/>
                <w:snapToGrid w:val="0"/>
                <w:sz w:val="21"/>
                <w:szCs w:val="21"/>
                <w:highlight w:val="none"/>
                <w:lang w:val="zh-CN"/>
              </w:rPr>
              <w:t>降噪</w:t>
            </w:r>
            <w:r>
              <w:rPr>
                <w:rFonts w:hint="eastAsia" w:eastAsia="宋体"/>
                <w:snapToGrid w:val="0"/>
                <w:sz w:val="21"/>
                <w:szCs w:val="21"/>
                <w:highlight w:val="none"/>
                <w:lang w:val="zh-CN"/>
              </w:rPr>
              <w:t>20~</w:t>
            </w:r>
            <w:r>
              <w:rPr>
                <w:rFonts w:hint="eastAsia" w:eastAsia="宋体"/>
                <w:snapToGrid w:val="0"/>
                <w:sz w:val="21"/>
                <w:szCs w:val="21"/>
                <w:highlight w:val="none"/>
                <w:lang w:val="en-US" w:eastAsia="zh-CN"/>
              </w:rPr>
              <w:t>2</w:t>
            </w:r>
            <w:r>
              <w:rPr>
                <w:rFonts w:hint="eastAsia" w:eastAsia="宋体"/>
                <w:snapToGrid w:val="0"/>
                <w:sz w:val="21"/>
                <w:szCs w:val="21"/>
                <w:highlight w:val="none"/>
                <w:lang w:val="zh-CN"/>
              </w:rPr>
              <w:t>5</w:t>
            </w:r>
            <w:r>
              <w:rPr>
                <w:rFonts w:eastAsia="宋体"/>
                <w:snapToGrid w:val="0"/>
                <w:sz w:val="21"/>
                <w:szCs w:val="21"/>
                <w:highlight w:val="none"/>
                <w:lang w:val="zh-CN"/>
              </w:rPr>
              <w:t>dB(A)</w:t>
            </w:r>
          </w:p>
        </w:tc>
        <w:tc>
          <w:tcPr>
            <w:tcW w:w="912" w:type="dxa"/>
            <w:vAlign w:val="center"/>
          </w:tcPr>
          <w:p>
            <w:pPr>
              <w:pStyle w:val="174"/>
              <w:rPr>
                <w:rFonts w:eastAsia="宋体"/>
                <w:sz w:val="21"/>
                <w:szCs w:val="21"/>
                <w:highlight w:val="none"/>
              </w:rPr>
            </w:pPr>
            <w:r>
              <w:rPr>
                <w:rFonts w:hint="eastAsia" w:eastAsia="宋体"/>
                <w:sz w:val="21"/>
                <w:szCs w:val="21"/>
                <w:highlight w:val="none"/>
                <w:lang w:val="en-US" w:eastAsia="zh-CN"/>
              </w:rPr>
              <w:t>7</w:t>
            </w:r>
            <w:r>
              <w:rPr>
                <w:rFonts w:eastAsia="宋体"/>
                <w:sz w:val="21"/>
                <w:szCs w:val="21"/>
                <w:highlight w:val="none"/>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2</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lang w:val="en-US" w:eastAsia="zh-CN"/>
              </w:rPr>
              <w:t>圆锥</w:t>
            </w:r>
            <w:r>
              <w:rPr>
                <w:rFonts w:hint="eastAsia" w:eastAsiaTheme="minorEastAsia"/>
                <w:sz w:val="21"/>
                <w:szCs w:val="21"/>
                <w:highlight w:val="none"/>
              </w:rPr>
              <w:t>破碎</w:t>
            </w:r>
            <w:r>
              <w:rPr>
                <w:rFonts w:eastAsiaTheme="minorEastAsia"/>
                <w:sz w:val="21"/>
                <w:szCs w:val="21"/>
                <w:highlight w:val="none"/>
              </w:rPr>
              <w:t>机</w:t>
            </w:r>
          </w:p>
        </w:tc>
        <w:tc>
          <w:tcPr>
            <w:tcW w:w="934" w:type="dxa"/>
            <w:vAlign w:val="center"/>
          </w:tcPr>
          <w:p>
            <w:pPr>
              <w:pStyle w:val="174"/>
              <w:rPr>
                <w:rFonts w:eastAsia="宋体"/>
                <w:sz w:val="21"/>
                <w:szCs w:val="21"/>
                <w:highlight w:val="none"/>
              </w:rPr>
            </w:pPr>
            <w:r>
              <w:rPr>
                <w:rFonts w:hint="eastAsia" w:eastAsiaTheme="minorEastAsia"/>
                <w:sz w:val="21"/>
                <w:szCs w:val="21"/>
                <w:highlight w:val="none"/>
              </w:rPr>
              <w:t>90</w:t>
            </w:r>
          </w:p>
        </w:tc>
        <w:tc>
          <w:tcPr>
            <w:tcW w:w="777" w:type="dxa"/>
            <w:vAlign w:val="center"/>
          </w:tcPr>
          <w:p>
            <w:pPr>
              <w:pStyle w:val="174"/>
              <w:rPr>
                <w:rFonts w:eastAsia="宋体"/>
                <w:sz w:val="21"/>
                <w:szCs w:val="21"/>
                <w:highlight w:val="none"/>
              </w:rPr>
            </w:pPr>
            <w:r>
              <w:rPr>
                <w:rFonts w:hint="eastAsia" w:eastAsiaTheme="minorEastAsia"/>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3</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rPr>
              <w:t>给料机</w:t>
            </w:r>
          </w:p>
        </w:tc>
        <w:tc>
          <w:tcPr>
            <w:tcW w:w="934" w:type="dxa"/>
            <w:vAlign w:val="center"/>
          </w:tcPr>
          <w:p>
            <w:pPr>
              <w:pStyle w:val="174"/>
              <w:rPr>
                <w:rFonts w:eastAsiaTheme="minorEastAsia"/>
                <w:sz w:val="21"/>
                <w:szCs w:val="21"/>
                <w:highlight w:val="none"/>
              </w:rPr>
            </w:pPr>
            <w:r>
              <w:rPr>
                <w:rFonts w:hint="eastAsia" w:eastAsiaTheme="minorEastAsia"/>
                <w:sz w:val="21"/>
                <w:szCs w:val="21"/>
                <w:highlight w:val="none"/>
              </w:rPr>
              <w:t>80</w:t>
            </w:r>
          </w:p>
        </w:tc>
        <w:tc>
          <w:tcPr>
            <w:tcW w:w="777" w:type="dxa"/>
            <w:vAlign w:val="center"/>
          </w:tcPr>
          <w:p>
            <w:pPr>
              <w:pStyle w:val="174"/>
              <w:rPr>
                <w:rFonts w:hint="eastAsia" w:eastAsia="宋体"/>
                <w:sz w:val="21"/>
                <w:szCs w:val="21"/>
                <w:highlight w:val="none"/>
                <w:lang w:eastAsia="zh-CN"/>
              </w:rPr>
            </w:pPr>
            <w:r>
              <w:rPr>
                <w:rFonts w:hint="eastAsia" w:eastAsiaTheme="minorEastAsia"/>
                <w:sz w:val="21"/>
                <w:szCs w:val="21"/>
                <w:highlight w:val="none"/>
                <w:lang w:val="en-US" w:eastAsia="zh-CN"/>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4</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振动筛</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85</w:t>
            </w:r>
          </w:p>
        </w:tc>
        <w:tc>
          <w:tcPr>
            <w:tcW w:w="777" w:type="dxa"/>
            <w:vAlign w:val="center"/>
          </w:tcPr>
          <w:p>
            <w:pPr>
              <w:pStyle w:val="174"/>
              <w:rPr>
                <w:rFonts w:hint="eastAsia" w:eastAsia="宋体"/>
                <w:sz w:val="21"/>
                <w:szCs w:val="21"/>
                <w:highlight w:val="none"/>
                <w:lang w:eastAsia="zh-CN"/>
              </w:rPr>
            </w:pPr>
            <w:r>
              <w:rPr>
                <w:rFonts w:hint="eastAsia" w:eastAsia="宋体"/>
                <w:sz w:val="21"/>
                <w:szCs w:val="21"/>
                <w:highlight w:val="none"/>
                <w:lang w:val="en-US" w:eastAsia="zh-CN"/>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lang w:val="en-US" w:eastAsia="zh-CN"/>
              </w:rPr>
              <w:t>6</w:t>
            </w:r>
            <w:r>
              <w:rPr>
                <w:rFonts w:hint="eastAsia" w:eastAsia="宋体"/>
                <w:sz w:val="21"/>
                <w:szCs w:val="21"/>
                <w:highlight w:val="none"/>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5</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皮带输送机</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hint="eastAsia" w:eastAsia="宋体"/>
                <w:sz w:val="21"/>
                <w:szCs w:val="21"/>
                <w:highlight w:val="none"/>
                <w:lang w:eastAsia="zh-CN"/>
              </w:rPr>
            </w:pPr>
            <w:r>
              <w:rPr>
                <w:rFonts w:hint="eastAsia" w:eastAsia="宋体"/>
                <w:sz w:val="21"/>
                <w:szCs w:val="21"/>
                <w:highlight w:val="none"/>
                <w:lang w:val="en-US" w:eastAsia="zh-CN"/>
              </w:rPr>
              <w:t>6</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6</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磁选机</w:t>
            </w:r>
          </w:p>
        </w:tc>
        <w:tc>
          <w:tcPr>
            <w:tcW w:w="934"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80</w:t>
            </w:r>
          </w:p>
        </w:tc>
        <w:tc>
          <w:tcPr>
            <w:tcW w:w="777" w:type="dxa"/>
            <w:vAlign w:val="center"/>
          </w:tcPr>
          <w:p>
            <w:pPr>
              <w:pStyle w:val="174"/>
              <w:rPr>
                <w:rFonts w:hint="eastAsia" w:eastAsia="宋体"/>
                <w:sz w:val="21"/>
                <w:szCs w:val="21"/>
                <w:highlight w:val="none"/>
                <w:lang w:eastAsia="zh-CN"/>
              </w:rPr>
            </w:pPr>
            <w:r>
              <w:rPr>
                <w:rFonts w:hint="eastAsia" w:eastAsia="宋体"/>
                <w:sz w:val="21"/>
                <w:szCs w:val="21"/>
                <w:highlight w:val="none"/>
                <w:lang w:val="en-US" w:eastAsia="zh-CN"/>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7</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洗砂船</w:t>
            </w:r>
          </w:p>
        </w:tc>
        <w:tc>
          <w:tcPr>
            <w:tcW w:w="934"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80</w:t>
            </w:r>
          </w:p>
        </w:tc>
        <w:tc>
          <w:tcPr>
            <w:tcW w:w="777" w:type="dxa"/>
            <w:vAlign w:val="center"/>
          </w:tcPr>
          <w:p>
            <w:pPr>
              <w:pStyle w:val="174"/>
              <w:rPr>
                <w:rFonts w:hint="eastAsia" w:eastAsia="宋体"/>
                <w:sz w:val="21"/>
                <w:szCs w:val="21"/>
                <w:highlight w:val="none"/>
                <w:lang w:eastAsia="zh-CN"/>
              </w:rPr>
            </w:pPr>
            <w:r>
              <w:rPr>
                <w:rFonts w:hint="eastAsia" w:eastAsia="宋体"/>
                <w:sz w:val="21"/>
                <w:szCs w:val="21"/>
                <w:highlight w:val="none"/>
                <w:lang w:val="en-US" w:eastAsia="zh-CN"/>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8</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泵类</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eastAsia="宋体"/>
                <w:sz w:val="21"/>
                <w:szCs w:val="21"/>
                <w:highlight w:val="none"/>
              </w:rPr>
            </w:pPr>
            <w:r>
              <w:rPr>
                <w:rFonts w:hint="eastAsia" w:eastAsia="宋体"/>
                <w:sz w:val="21"/>
                <w:szCs w:val="21"/>
                <w:highlight w:val="none"/>
              </w:rPr>
              <w:t>3</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597" w:type="dxa"/>
            <w:vAlign w:val="center"/>
          </w:tcPr>
          <w:p>
            <w:pPr>
              <w:pStyle w:val="174"/>
              <w:rPr>
                <w:rFonts w:hint="eastAsia" w:eastAsia="宋体"/>
                <w:sz w:val="21"/>
                <w:szCs w:val="21"/>
                <w:highlight w:val="none"/>
                <w:lang w:val="en-US" w:eastAsia="zh-CN"/>
              </w:rPr>
            </w:pPr>
            <w:r>
              <w:rPr>
                <w:rFonts w:hint="eastAsia" w:eastAsia="宋体"/>
                <w:sz w:val="21"/>
                <w:szCs w:val="21"/>
                <w:highlight w:val="none"/>
                <w:lang w:val="en-US" w:eastAsia="zh-CN"/>
              </w:rPr>
              <w:t>9</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rFonts w:hint="eastAsia"/>
                <w:sz w:val="21"/>
                <w:szCs w:val="21"/>
                <w:highlight w:val="none"/>
                <w:lang w:val="en-US" w:eastAsia="zh-CN"/>
              </w:rPr>
            </w:pPr>
            <w:r>
              <w:rPr>
                <w:rFonts w:hint="eastAsia"/>
                <w:sz w:val="21"/>
                <w:szCs w:val="21"/>
                <w:highlight w:val="none"/>
              </w:rPr>
              <w:t>风机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90</w:t>
            </w:r>
          </w:p>
        </w:tc>
        <w:tc>
          <w:tcPr>
            <w:tcW w:w="777" w:type="dxa"/>
            <w:vAlign w:val="center"/>
          </w:tcPr>
          <w:p>
            <w:pPr>
              <w:pStyle w:val="174"/>
              <w:rPr>
                <w:rFonts w:hint="eastAsia"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restart"/>
            <w:vAlign w:val="center"/>
          </w:tcPr>
          <w:p>
            <w:pPr>
              <w:pStyle w:val="174"/>
              <w:rPr>
                <w:rFonts w:eastAsia="宋体"/>
                <w:sz w:val="21"/>
                <w:szCs w:val="21"/>
                <w:highlight w:val="none"/>
              </w:rPr>
            </w:pPr>
            <w:r>
              <w:rPr>
                <w:rFonts w:hint="eastAsia" w:eastAsia="宋体"/>
                <w:sz w:val="21"/>
                <w:szCs w:val="21"/>
                <w:highlight w:val="none"/>
              </w:rPr>
              <w:t>安装消声器，</w:t>
            </w:r>
            <w:r>
              <w:rPr>
                <w:rFonts w:eastAsia="宋体"/>
                <w:snapToGrid w:val="0"/>
                <w:sz w:val="21"/>
                <w:szCs w:val="21"/>
                <w:highlight w:val="none"/>
                <w:lang w:val="zh-CN"/>
              </w:rPr>
              <w:t>降噪</w:t>
            </w:r>
            <w:r>
              <w:rPr>
                <w:rFonts w:hint="eastAsia" w:eastAsia="宋体"/>
                <w:snapToGrid w:val="0"/>
                <w:sz w:val="21"/>
                <w:szCs w:val="21"/>
                <w:highlight w:val="none"/>
                <w:lang w:val="zh-CN"/>
              </w:rPr>
              <w:t>30</w:t>
            </w:r>
            <w:r>
              <w:rPr>
                <w:rFonts w:eastAsia="宋体"/>
                <w:snapToGrid w:val="0"/>
                <w:sz w:val="21"/>
                <w:szCs w:val="21"/>
                <w:highlight w:val="none"/>
                <w:lang w:val="zh-CN"/>
              </w:rPr>
              <w:t xml:space="preserve"> dB(A)</w:t>
            </w: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7"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10</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空压机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100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hint="eastAsia" w:eastAsia="宋体"/>
                <w:sz w:val="21"/>
                <w:szCs w:val="21"/>
                <w:highlight w:val="none"/>
              </w:rPr>
              <w:t>间断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70</w:t>
            </w:r>
          </w:p>
        </w:tc>
      </w:tr>
    </w:tbl>
    <w:p>
      <w:pPr>
        <w:pStyle w:val="3"/>
        <w:rPr>
          <w:rFonts w:eastAsia="宋体"/>
          <w:b/>
          <w:highlight w:val="none"/>
        </w:rPr>
      </w:pPr>
      <w:r>
        <w:rPr>
          <w:rFonts w:hint="eastAsia" w:eastAsia="宋体"/>
          <w:b/>
          <w:highlight w:val="none"/>
        </w:rPr>
        <w:t>3.</w:t>
      </w:r>
      <w:r>
        <w:rPr>
          <w:rFonts w:hint="eastAsia" w:eastAsia="宋体"/>
          <w:b/>
          <w:highlight w:val="none"/>
          <w:lang w:val="en-US" w:eastAsia="zh-CN"/>
        </w:rPr>
        <w:t>4</w:t>
      </w:r>
      <w:r>
        <w:rPr>
          <w:rFonts w:hint="eastAsia" w:eastAsia="宋体"/>
          <w:b/>
          <w:highlight w:val="none"/>
        </w:rPr>
        <w:t>.2.4</w:t>
      </w:r>
      <w:r>
        <w:rPr>
          <w:rFonts w:eastAsia="宋体"/>
          <w:b/>
          <w:highlight w:val="none"/>
        </w:rPr>
        <w:t>固体废物分析及源强核算</w:t>
      </w:r>
    </w:p>
    <w:p>
      <w:pPr>
        <w:ind w:firstLine="480"/>
        <w:jc w:val="both"/>
        <w:rPr>
          <w:bCs/>
          <w:sz w:val="24"/>
          <w:szCs w:val="24"/>
          <w:highlight w:val="none"/>
        </w:rPr>
      </w:pPr>
      <w:r>
        <w:rPr>
          <w:rFonts w:hint="eastAsia"/>
          <w:bCs/>
          <w:sz w:val="24"/>
          <w:szCs w:val="24"/>
          <w:highlight w:val="none"/>
          <w:lang w:val="en-US" w:eastAsia="zh-CN"/>
        </w:rPr>
        <w:t>本</w:t>
      </w:r>
      <w:r>
        <w:rPr>
          <w:bCs/>
          <w:sz w:val="24"/>
          <w:szCs w:val="24"/>
          <w:highlight w:val="none"/>
        </w:rPr>
        <w:t>项目投产后产生的固体废物主要为</w:t>
      </w:r>
      <w:r>
        <w:rPr>
          <w:rFonts w:hint="eastAsia"/>
          <w:bCs/>
          <w:sz w:val="24"/>
          <w:szCs w:val="24"/>
          <w:highlight w:val="none"/>
          <w:lang w:val="en-US" w:eastAsia="zh-CN"/>
        </w:rPr>
        <w:t>砂石料</w:t>
      </w:r>
      <w:r>
        <w:rPr>
          <w:bCs/>
          <w:sz w:val="24"/>
          <w:szCs w:val="24"/>
          <w:highlight w:val="none"/>
        </w:rPr>
        <w:t>、除尘器收集的粉尘</w:t>
      </w:r>
      <w:r>
        <w:rPr>
          <w:rFonts w:hint="eastAsia"/>
          <w:bCs/>
          <w:sz w:val="24"/>
          <w:szCs w:val="24"/>
          <w:highlight w:val="none"/>
          <w:lang w:eastAsia="zh-CN"/>
        </w:rPr>
        <w:t>、</w:t>
      </w:r>
      <w:r>
        <w:rPr>
          <w:bCs/>
          <w:sz w:val="24"/>
          <w:szCs w:val="24"/>
          <w:highlight w:val="none"/>
        </w:rPr>
        <w:t>设备保养运行产生的</w:t>
      </w:r>
      <w:r>
        <w:rPr>
          <w:rFonts w:hint="eastAsia"/>
          <w:bCs/>
          <w:sz w:val="24"/>
          <w:szCs w:val="24"/>
          <w:highlight w:val="none"/>
        </w:rPr>
        <w:t>废矿物油</w:t>
      </w:r>
      <w:r>
        <w:rPr>
          <w:bCs/>
          <w:sz w:val="24"/>
          <w:szCs w:val="24"/>
          <w:highlight w:val="none"/>
        </w:rPr>
        <w:t>、废油桶。</w:t>
      </w:r>
    </w:p>
    <w:p>
      <w:pPr>
        <w:ind w:firstLine="480"/>
        <w:jc w:val="both"/>
        <w:rPr>
          <w:rFonts w:hint="eastAsia" w:eastAsia="宋体"/>
          <w:bCs/>
          <w:sz w:val="24"/>
          <w:szCs w:val="24"/>
          <w:highlight w:val="none"/>
          <w:lang w:eastAsia="zh-CN"/>
        </w:rPr>
      </w:pPr>
      <w:r>
        <w:rPr>
          <w:bCs/>
          <w:sz w:val="24"/>
          <w:szCs w:val="24"/>
          <w:highlight w:val="none"/>
        </w:rPr>
        <w:t>（</w:t>
      </w:r>
      <w:r>
        <w:rPr>
          <w:rFonts w:hint="eastAsia"/>
          <w:bCs/>
          <w:sz w:val="24"/>
          <w:szCs w:val="24"/>
          <w:highlight w:val="none"/>
          <w:lang w:val="en-US" w:eastAsia="zh-CN"/>
        </w:rPr>
        <w:t>1</w:t>
      </w:r>
      <w:r>
        <w:rPr>
          <w:bCs/>
          <w:sz w:val="24"/>
          <w:szCs w:val="24"/>
          <w:highlight w:val="none"/>
        </w:rPr>
        <w:t>）</w:t>
      </w:r>
      <w:r>
        <w:rPr>
          <w:rFonts w:hint="eastAsia"/>
          <w:bCs/>
          <w:sz w:val="24"/>
          <w:szCs w:val="24"/>
          <w:highlight w:val="none"/>
          <w:lang w:val="en-US" w:eastAsia="zh-CN"/>
        </w:rPr>
        <w:t>砂石料</w:t>
      </w:r>
    </w:p>
    <w:p>
      <w:pPr>
        <w:ind w:firstLine="480"/>
        <w:jc w:val="both"/>
        <w:rPr>
          <w:bCs/>
          <w:sz w:val="24"/>
          <w:szCs w:val="24"/>
          <w:highlight w:val="none"/>
        </w:rPr>
      </w:pPr>
      <w:r>
        <w:rPr>
          <w:rFonts w:hint="eastAsia"/>
          <w:bCs/>
          <w:sz w:val="24"/>
          <w:szCs w:val="24"/>
          <w:highlight w:val="none"/>
          <w:lang w:val="en-US" w:eastAsia="zh-CN"/>
        </w:rPr>
        <w:t>振动筛分级选出砂石料</w:t>
      </w:r>
      <w:r>
        <w:rPr>
          <w:rFonts w:hint="eastAsia"/>
          <w:sz w:val="24"/>
          <w:szCs w:val="24"/>
          <w:highlight w:val="none"/>
          <w:lang w:val="en-US" w:eastAsia="zh-CN"/>
        </w:rPr>
        <w:t>113125</w:t>
      </w:r>
      <w:r>
        <w:rPr>
          <w:bCs/>
          <w:sz w:val="24"/>
          <w:szCs w:val="24"/>
          <w:highlight w:val="none"/>
        </w:rPr>
        <w:t>t/a</w:t>
      </w:r>
      <w:r>
        <w:rPr>
          <w:rFonts w:hint="eastAsia"/>
          <w:bCs/>
          <w:sz w:val="24"/>
          <w:szCs w:val="24"/>
          <w:highlight w:val="none"/>
        </w:rPr>
        <w:t>，</w:t>
      </w:r>
      <w:r>
        <w:rPr>
          <w:bCs/>
          <w:sz w:val="24"/>
          <w:szCs w:val="24"/>
          <w:highlight w:val="none"/>
        </w:rPr>
        <w:t>全部外售至当地建材厂作为原料综合利用</w:t>
      </w:r>
      <w:r>
        <w:rPr>
          <w:rFonts w:hint="eastAsia"/>
          <w:bCs/>
          <w:sz w:val="24"/>
          <w:szCs w:val="24"/>
          <w:highlight w:val="none"/>
        </w:rPr>
        <w:t>。</w:t>
      </w:r>
    </w:p>
    <w:p>
      <w:pPr>
        <w:ind w:firstLine="480"/>
        <w:jc w:val="both"/>
        <w:rPr>
          <w:bCs/>
          <w:sz w:val="24"/>
          <w:szCs w:val="24"/>
          <w:highlight w:val="none"/>
        </w:rPr>
      </w:pPr>
      <w:r>
        <w:rPr>
          <w:bCs/>
          <w:sz w:val="24"/>
          <w:szCs w:val="24"/>
          <w:highlight w:val="none"/>
        </w:rPr>
        <w:t>（</w:t>
      </w:r>
      <w:r>
        <w:rPr>
          <w:rFonts w:hint="eastAsia"/>
          <w:bCs/>
          <w:sz w:val="24"/>
          <w:szCs w:val="24"/>
          <w:highlight w:val="none"/>
          <w:lang w:val="en-US" w:eastAsia="zh-CN"/>
        </w:rPr>
        <w:t>2</w:t>
      </w:r>
      <w:r>
        <w:rPr>
          <w:bCs/>
          <w:sz w:val="24"/>
          <w:szCs w:val="24"/>
          <w:highlight w:val="none"/>
        </w:rPr>
        <w:t>）除尘器收尘</w:t>
      </w:r>
    </w:p>
    <w:p>
      <w:pPr>
        <w:ind w:firstLine="480"/>
        <w:jc w:val="both"/>
        <w:rPr>
          <w:bCs/>
          <w:sz w:val="24"/>
          <w:szCs w:val="24"/>
          <w:highlight w:val="none"/>
        </w:rPr>
      </w:pPr>
      <w:r>
        <w:rPr>
          <w:bCs/>
          <w:sz w:val="24"/>
          <w:szCs w:val="24"/>
          <w:highlight w:val="none"/>
        </w:rPr>
        <w:t>高效除尘器收集的粉尘量为</w:t>
      </w:r>
      <w:r>
        <w:rPr>
          <w:rFonts w:hint="eastAsia"/>
          <w:bCs/>
          <w:sz w:val="24"/>
          <w:szCs w:val="24"/>
          <w:highlight w:val="none"/>
        </w:rPr>
        <w:t>259.6</w:t>
      </w:r>
      <w:r>
        <w:rPr>
          <w:bCs/>
          <w:sz w:val="24"/>
          <w:szCs w:val="24"/>
          <w:highlight w:val="none"/>
        </w:rPr>
        <w:t>t/a，</w:t>
      </w:r>
      <w:r>
        <w:rPr>
          <w:rFonts w:hint="eastAsia" w:ascii="Times New Roman" w:hAnsi="Times New Roman" w:eastAsia="宋体" w:cs="Times New Roman"/>
          <w:spacing w:val="8"/>
          <w:sz w:val="23"/>
          <w:szCs w:val="23"/>
          <w:lang w:val="en-US" w:eastAsia="zh-CN"/>
        </w:rPr>
        <w:t>灰仓底部设水箱，卸灰至水</w:t>
      </w:r>
      <w:r>
        <w:rPr>
          <w:rFonts w:hint="eastAsia" w:ascii="Times New Roman" w:hAnsi="Times New Roman" w:eastAsia="宋体" w:cs="Times New Roman"/>
          <w:spacing w:val="29"/>
          <w:sz w:val="23"/>
          <w:szCs w:val="23"/>
          <w:lang w:val="en-US" w:eastAsia="zh-CN"/>
        </w:rPr>
        <w:t>箱内，由渣浆泵打入球磨机回用于生产</w:t>
      </w:r>
      <w:r>
        <w:rPr>
          <w:bCs/>
          <w:sz w:val="24"/>
          <w:szCs w:val="24"/>
          <w:highlight w:val="none"/>
        </w:rPr>
        <w:t>。</w:t>
      </w:r>
    </w:p>
    <w:p>
      <w:pPr>
        <w:ind w:firstLine="480"/>
        <w:jc w:val="both"/>
        <w:rPr>
          <w:bCs/>
          <w:sz w:val="24"/>
          <w:szCs w:val="24"/>
        </w:rPr>
      </w:pPr>
      <w:r>
        <w:rPr>
          <w:bCs/>
          <w:sz w:val="24"/>
          <w:szCs w:val="24"/>
        </w:rPr>
        <w:t>（</w:t>
      </w:r>
      <w:r>
        <w:rPr>
          <w:rFonts w:hint="eastAsia"/>
          <w:bCs/>
          <w:sz w:val="24"/>
          <w:szCs w:val="24"/>
          <w:lang w:val="en-US" w:eastAsia="zh-CN"/>
        </w:rPr>
        <w:t>3</w:t>
      </w:r>
      <w:r>
        <w:rPr>
          <w:bCs/>
          <w:sz w:val="24"/>
          <w:szCs w:val="24"/>
        </w:rPr>
        <w:t>）废钢球</w:t>
      </w:r>
    </w:p>
    <w:p>
      <w:pPr>
        <w:ind w:firstLine="480"/>
        <w:jc w:val="both"/>
        <w:rPr>
          <w:bCs/>
          <w:sz w:val="24"/>
          <w:szCs w:val="24"/>
        </w:rPr>
      </w:pPr>
      <w:r>
        <w:rPr>
          <w:bCs/>
          <w:sz w:val="24"/>
          <w:szCs w:val="24"/>
        </w:rPr>
        <w:t>球磨机使用的球磨钢球，随着钢球磨损而废弃。废钢球产生量约为10.5t/a，由厂家回收处理。</w:t>
      </w:r>
    </w:p>
    <w:p>
      <w:pPr>
        <w:ind w:firstLine="480"/>
        <w:jc w:val="both"/>
        <w:rPr>
          <w:bCs/>
          <w:sz w:val="24"/>
          <w:szCs w:val="24"/>
          <w:highlight w:val="none"/>
        </w:rPr>
      </w:pPr>
      <w:r>
        <w:rPr>
          <w:bCs/>
          <w:sz w:val="24"/>
          <w:szCs w:val="24"/>
          <w:highlight w:val="none"/>
        </w:rPr>
        <w:t>（</w:t>
      </w:r>
      <w:r>
        <w:rPr>
          <w:rFonts w:hint="eastAsia"/>
          <w:bCs/>
          <w:sz w:val="24"/>
          <w:szCs w:val="24"/>
          <w:highlight w:val="none"/>
          <w:lang w:val="en-US" w:eastAsia="zh-CN"/>
        </w:rPr>
        <w:t>4</w:t>
      </w:r>
      <w:r>
        <w:rPr>
          <w:bCs/>
          <w:sz w:val="24"/>
          <w:szCs w:val="24"/>
          <w:highlight w:val="none"/>
        </w:rPr>
        <w:t>）</w:t>
      </w:r>
      <w:r>
        <w:rPr>
          <w:rFonts w:hint="eastAsia"/>
          <w:bCs/>
          <w:sz w:val="24"/>
          <w:szCs w:val="24"/>
          <w:highlight w:val="none"/>
        </w:rPr>
        <w:t>废矿物油</w:t>
      </w:r>
      <w:r>
        <w:rPr>
          <w:bCs/>
          <w:sz w:val="24"/>
          <w:szCs w:val="24"/>
          <w:highlight w:val="none"/>
        </w:rPr>
        <w:t>、废油桶</w:t>
      </w:r>
    </w:p>
    <w:p>
      <w:pPr>
        <w:ind w:firstLine="480"/>
        <w:jc w:val="both"/>
        <w:rPr>
          <w:bCs/>
          <w:sz w:val="24"/>
          <w:szCs w:val="24"/>
          <w:highlight w:val="none"/>
        </w:rPr>
      </w:pPr>
      <w:r>
        <w:rPr>
          <w:bCs/>
          <w:sz w:val="24"/>
          <w:szCs w:val="24"/>
          <w:highlight w:val="none"/>
        </w:rPr>
        <w:t>本项目设备的运行维护保养过程中会产生</w:t>
      </w:r>
      <w:r>
        <w:rPr>
          <w:rFonts w:hint="eastAsia"/>
          <w:bCs/>
          <w:sz w:val="24"/>
          <w:szCs w:val="24"/>
          <w:highlight w:val="none"/>
        </w:rPr>
        <w:t>废矿物油</w:t>
      </w:r>
      <w:r>
        <w:rPr>
          <w:bCs/>
          <w:sz w:val="24"/>
          <w:szCs w:val="24"/>
          <w:highlight w:val="none"/>
        </w:rPr>
        <w:t>和废油桶，产生量约为</w:t>
      </w:r>
      <w:r>
        <w:rPr>
          <w:rFonts w:hint="eastAsia"/>
          <w:bCs/>
          <w:sz w:val="24"/>
          <w:szCs w:val="24"/>
          <w:highlight w:val="none"/>
        </w:rPr>
        <w:t>0.3</w:t>
      </w:r>
      <w:r>
        <w:rPr>
          <w:bCs/>
          <w:sz w:val="24"/>
          <w:szCs w:val="24"/>
          <w:highlight w:val="none"/>
        </w:rPr>
        <w:t>t/a，属于《国家危险废物名录》（20</w:t>
      </w:r>
      <w:r>
        <w:rPr>
          <w:rFonts w:hint="eastAsia"/>
          <w:bCs/>
          <w:sz w:val="24"/>
          <w:szCs w:val="24"/>
          <w:highlight w:val="none"/>
        </w:rPr>
        <w:t>21</w:t>
      </w:r>
      <w:r>
        <w:rPr>
          <w:bCs/>
          <w:sz w:val="24"/>
          <w:szCs w:val="24"/>
          <w:highlight w:val="none"/>
        </w:rPr>
        <w:t>版）中</w:t>
      </w:r>
      <w:r>
        <w:rPr>
          <w:rFonts w:hint="eastAsia"/>
          <w:bCs/>
          <w:sz w:val="24"/>
          <w:szCs w:val="24"/>
          <w:highlight w:val="none"/>
          <w:lang w:val="en-US" w:eastAsia="zh-CN"/>
        </w:rPr>
        <w:t>危险废物</w:t>
      </w:r>
      <w:r>
        <w:rPr>
          <w:bCs/>
          <w:sz w:val="24"/>
          <w:szCs w:val="24"/>
          <w:highlight w:val="none"/>
        </w:rPr>
        <w:t>。</w:t>
      </w:r>
    </w:p>
    <w:p>
      <w:pPr>
        <w:pStyle w:val="3"/>
        <w:rPr>
          <w:rFonts w:eastAsia="宋体"/>
          <w:b/>
          <w:highlight w:val="none"/>
        </w:rPr>
      </w:pPr>
      <w:r>
        <w:rPr>
          <w:rFonts w:hint="eastAsia" w:eastAsia="宋体"/>
          <w:b/>
          <w:highlight w:val="none"/>
        </w:rPr>
        <w:t>3.</w:t>
      </w:r>
      <w:r>
        <w:rPr>
          <w:rFonts w:hint="eastAsia" w:eastAsia="宋体"/>
          <w:b/>
          <w:highlight w:val="none"/>
          <w:lang w:val="en-US" w:eastAsia="zh-CN"/>
        </w:rPr>
        <w:t>4</w:t>
      </w:r>
      <w:r>
        <w:rPr>
          <w:rFonts w:hint="eastAsia" w:eastAsia="宋体"/>
          <w:b/>
          <w:highlight w:val="none"/>
        </w:rPr>
        <w:t>.2.5物料运输过程中对周边环境的影响</w:t>
      </w:r>
    </w:p>
    <w:p>
      <w:pPr>
        <w:ind w:firstLine="480"/>
        <w:jc w:val="both"/>
        <w:rPr>
          <w:sz w:val="24"/>
          <w:szCs w:val="24"/>
          <w:highlight w:val="none"/>
        </w:rPr>
      </w:pPr>
      <w:r>
        <w:rPr>
          <w:rFonts w:hint="eastAsia"/>
          <w:sz w:val="24"/>
          <w:szCs w:val="24"/>
          <w:highlight w:val="none"/>
        </w:rPr>
        <w:t>本项目</w:t>
      </w:r>
      <w:r>
        <w:rPr>
          <w:rFonts w:hint="eastAsia"/>
          <w:sz w:val="24"/>
          <w:szCs w:val="24"/>
          <w:highlight w:val="none"/>
          <w:lang w:val="en-US" w:eastAsia="zh-CN"/>
        </w:rPr>
        <w:t>物料</w:t>
      </w:r>
      <w:r>
        <w:rPr>
          <w:rFonts w:hint="eastAsia"/>
          <w:sz w:val="24"/>
          <w:szCs w:val="24"/>
          <w:highlight w:val="none"/>
        </w:rPr>
        <w:t>运输过程中会对道路两侧的大气、声环境造成一定影响。主要为物料扬尘以及车辆噪声对周围环境的影响。</w:t>
      </w:r>
    </w:p>
    <w:p>
      <w:pPr>
        <w:ind w:firstLine="480"/>
        <w:jc w:val="both"/>
        <w:rPr>
          <w:sz w:val="24"/>
          <w:szCs w:val="24"/>
          <w:highlight w:val="none"/>
        </w:rPr>
      </w:pPr>
      <w:r>
        <w:rPr>
          <w:rFonts w:hint="eastAsia"/>
          <w:sz w:val="24"/>
          <w:szCs w:val="24"/>
          <w:highlight w:val="none"/>
        </w:rPr>
        <w:t>项目厂区内及厂区外运输道路需采用混凝土硬化，运输车辆要求全部采用苫布覆盖，厂区内设置自动洗车系统，减少车身粉尘携带量，同时对厂内、厂外（厂区至S</w:t>
      </w:r>
      <w:r>
        <w:rPr>
          <w:sz w:val="24"/>
          <w:szCs w:val="24"/>
          <w:highlight w:val="none"/>
        </w:rPr>
        <w:t>356</w:t>
      </w:r>
      <w:r>
        <w:rPr>
          <w:rFonts w:hint="eastAsia"/>
          <w:sz w:val="24"/>
          <w:szCs w:val="24"/>
          <w:highlight w:val="none"/>
        </w:rPr>
        <w:t>省道）运输道路采取洒水抑尘、定期清扫等措施，减少运输过程产生的无组织颗粒物。本项目由厂区至S</w:t>
      </w:r>
      <w:r>
        <w:rPr>
          <w:sz w:val="24"/>
          <w:szCs w:val="24"/>
          <w:highlight w:val="none"/>
        </w:rPr>
        <w:t>356</w:t>
      </w:r>
      <w:r>
        <w:rPr>
          <w:rFonts w:hint="eastAsia"/>
          <w:sz w:val="24"/>
          <w:szCs w:val="24"/>
          <w:highlight w:val="none"/>
        </w:rPr>
        <w:t>省道（一级公路）之间为村外小路，采用水泥混凝土硬化，可满足各种载重汽车行驶，要求运输车辆在通过沿线村镇时减速行驶，禁止鸣笛，减少对道路周边的空气和噪声影响。</w:t>
      </w:r>
    </w:p>
    <w:p>
      <w:pPr>
        <w:pStyle w:val="3"/>
        <w:rPr>
          <w:rFonts w:eastAsia="宋体"/>
          <w:b/>
          <w:highlight w:val="none"/>
        </w:rPr>
      </w:pPr>
      <w:r>
        <w:rPr>
          <w:rFonts w:hint="eastAsia" w:eastAsia="宋体"/>
          <w:b/>
          <w:highlight w:val="none"/>
        </w:rPr>
        <w:t>3.</w:t>
      </w:r>
      <w:r>
        <w:rPr>
          <w:rFonts w:hint="eastAsia" w:eastAsia="宋体"/>
          <w:b/>
          <w:highlight w:val="none"/>
          <w:lang w:val="en-US" w:eastAsia="zh-CN"/>
        </w:rPr>
        <w:t>4</w:t>
      </w:r>
      <w:r>
        <w:rPr>
          <w:rFonts w:hint="eastAsia" w:eastAsia="宋体"/>
          <w:b/>
          <w:highlight w:val="none"/>
        </w:rPr>
        <w:t>.2.</w:t>
      </w:r>
      <w:r>
        <w:rPr>
          <w:rFonts w:eastAsia="宋体"/>
          <w:b/>
          <w:highlight w:val="none"/>
        </w:rPr>
        <w:t>6</w:t>
      </w:r>
      <w:r>
        <w:rPr>
          <w:rFonts w:hint="eastAsia" w:eastAsia="宋体"/>
          <w:b/>
          <w:highlight w:val="none"/>
        </w:rPr>
        <w:t>非正常工况分析</w:t>
      </w:r>
    </w:p>
    <w:p>
      <w:pPr>
        <w:ind w:firstLine="480"/>
        <w:jc w:val="both"/>
        <w:rPr>
          <w:sz w:val="24"/>
          <w:szCs w:val="24"/>
          <w:highlight w:val="none"/>
        </w:rPr>
      </w:pPr>
      <w:r>
        <w:rPr>
          <w:rFonts w:hint="eastAsia"/>
          <w:sz w:val="24"/>
          <w:szCs w:val="24"/>
          <w:highlight w:val="none"/>
        </w:rPr>
        <w:t>当除尘器布袋损坏故障时，本项目破碎机、筛分机工序存在颗粒物非正常排放的可能性，其排放量最高可达36.4kg/h，每年按最大两次，对周边大气环境将产生一定程度不良影响。为避免上述非正常排放的发生，本项目采用双路供电，并加强日常对除尘器设备及布袋的维护，加强日常检查和管理，及时发现设备故障等事故排放情况，采取措施可将环境影响降到最低。</w:t>
      </w:r>
    </w:p>
    <w:p>
      <w:pPr>
        <w:pStyle w:val="6"/>
        <w:spacing w:before="0" w:after="0"/>
        <w:rPr>
          <w:szCs w:val="28"/>
          <w:highlight w:val="none"/>
        </w:rPr>
      </w:pPr>
      <w:bookmarkStart w:id="300" w:name="_Toc28127"/>
      <w:bookmarkStart w:id="301" w:name="_Toc521591770"/>
      <w:r>
        <w:rPr>
          <w:rFonts w:hint="eastAsia"/>
          <w:szCs w:val="28"/>
          <w:highlight w:val="none"/>
        </w:rPr>
        <w:t>3.</w:t>
      </w:r>
      <w:r>
        <w:rPr>
          <w:rFonts w:hint="eastAsia"/>
          <w:szCs w:val="28"/>
          <w:highlight w:val="none"/>
          <w:lang w:val="en-US" w:eastAsia="zh-CN"/>
        </w:rPr>
        <w:t>4</w:t>
      </w:r>
      <w:r>
        <w:rPr>
          <w:rFonts w:hint="eastAsia"/>
          <w:szCs w:val="28"/>
          <w:highlight w:val="none"/>
        </w:rPr>
        <w:t>.3</w:t>
      </w:r>
      <w:r>
        <w:rPr>
          <w:szCs w:val="28"/>
          <w:highlight w:val="none"/>
        </w:rPr>
        <w:t>项目主要污染物产排放情况汇总</w:t>
      </w:r>
      <w:bookmarkEnd w:id="300"/>
      <w:bookmarkEnd w:id="301"/>
    </w:p>
    <w:p>
      <w:pPr>
        <w:ind w:firstLine="480"/>
        <w:jc w:val="both"/>
        <w:rPr>
          <w:sz w:val="24"/>
          <w:highlight w:val="none"/>
        </w:rPr>
      </w:pPr>
      <w:r>
        <w:rPr>
          <w:sz w:val="24"/>
          <w:highlight w:val="none"/>
        </w:rPr>
        <w:t>本项目主要污染物产排情况汇总见表3.</w:t>
      </w:r>
      <w:r>
        <w:rPr>
          <w:rFonts w:hint="eastAsia"/>
          <w:sz w:val="24"/>
          <w:highlight w:val="none"/>
          <w:lang w:val="en-US" w:eastAsia="zh-CN"/>
        </w:rPr>
        <w:t>4</w:t>
      </w:r>
      <w:r>
        <w:rPr>
          <w:sz w:val="24"/>
          <w:highlight w:val="none"/>
        </w:rPr>
        <w:t>-</w:t>
      </w:r>
      <w:r>
        <w:rPr>
          <w:rFonts w:hint="eastAsia"/>
          <w:sz w:val="24"/>
          <w:highlight w:val="none"/>
          <w:lang w:val="en-US" w:eastAsia="zh-CN"/>
        </w:rPr>
        <w:t>8</w:t>
      </w:r>
      <w:r>
        <w:rPr>
          <w:sz w:val="24"/>
          <w:highlight w:val="none"/>
        </w:rPr>
        <w:t>。</w:t>
      </w:r>
    </w:p>
    <w:p>
      <w:pPr>
        <w:ind w:firstLine="560"/>
        <w:rPr>
          <w:highlight w:val="gree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after="157" w:afterLines="50" w:line="240" w:lineRule="auto"/>
        <w:ind w:firstLine="0" w:firstLineChars="0"/>
        <w:jc w:val="center"/>
        <w:textAlignment w:val="auto"/>
        <w:rPr>
          <w:rFonts w:hint="eastAsia" w:ascii="黑体" w:hAnsi="黑体" w:eastAsia="黑体" w:cs="黑体"/>
          <w:kern w:val="2"/>
          <w:sz w:val="21"/>
          <w:szCs w:val="21"/>
          <w:highlight w:val="none"/>
        </w:rPr>
      </w:pPr>
      <w:r>
        <w:rPr>
          <w:rFonts w:hint="eastAsia" w:ascii="黑体" w:hAnsi="黑体" w:eastAsia="黑体" w:cs="黑体"/>
          <w:kern w:val="2"/>
          <w:sz w:val="21"/>
          <w:szCs w:val="21"/>
          <w:highlight w:val="none"/>
        </w:rPr>
        <w:t>表3.</w:t>
      </w:r>
      <w:r>
        <w:rPr>
          <w:rFonts w:hint="eastAsia" w:ascii="黑体" w:hAnsi="黑体" w:eastAsia="黑体" w:cs="黑体"/>
          <w:kern w:val="2"/>
          <w:sz w:val="21"/>
          <w:szCs w:val="21"/>
          <w:highlight w:val="none"/>
          <w:lang w:val="en-US" w:eastAsia="zh-CN"/>
        </w:rPr>
        <w:t>4</w:t>
      </w:r>
      <w:r>
        <w:rPr>
          <w:rFonts w:hint="eastAsia" w:ascii="黑体" w:hAnsi="黑体" w:eastAsia="黑体" w:cs="黑体"/>
          <w:kern w:val="2"/>
          <w:sz w:val="21"/>
          <w:szCs w:val="21"/>
          <w:highlight w:val="none"/>
        </w:rPr>
        <w:t>-</w:t>
      </w:r>
      <w:r>
        <w:rPr>
          <w:rFonts w:hint="eastAsia" w:ascii="黑体" w:hAnsi="黑体" w:eastAsia="黑体" w:cs="黑体"/>
          <w:kern w:val="2"/>
          <w:sz w:val="21"/>
          <w:szCs w:val="21"/>
          <w:highlight w:val="none"/>
          <w:lang w:val="en-US" w:eastAsia="zh-CN"/>
        </w:rPr>
        <w:t>8</w:t>
      </w:r>
      <w:r>
        <w:rPr>
          <w:rFonts w:hint="eastAsia" w:ascii="黑体" w:hAnsi="黑体" w:eastAsia="黑体" w:cs="黑体"/>
          <w:kern w:val="2"/>
          <w:sz w:val="21"/>
          <w:szCs w:val="21"/>
          <w:highlight w:val="none"/>
        </w:rPr>
        <w:t>主要污染物产排情况汇总</w:t>
      </w:r>
    </w:p>
    <w:tbl>
      <w:tblPr>
        <w:tblStyle w:val="48"/>
        <w:tblW w:w="14024"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95"/>
        <w:gridCol w:w="1701"/>
        <w:gridCol w:w="993"/>
        <w:gridCol w:w="1418"/>
        <w:gridCol w:w="1134"/>
        <w:gridCol w:w="4960"/>
        <w:gridCol w:w="1121"/>
        <w:gridCol w:w="1146"/>
        <w:gridCol w:w="9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Align w:val="center"/>
          </w:tcPr>
          <w:p>
            <w:pPr>
              <w:spacing w:line="240" w:lineRule="auto"/>
              <w:ind w:firstLine="0" w:firstLineChars="0"/>
              <w:jc w:val="center"/>
              <w:rPr>
                <w:b/>
                <w:sz w:val="21"/>
                <w:szCs w:val="21"/>
                <w:highlight w:val="none"/>
              </w:rPr>
            </w:pPr>
            <w:r>
              <w:rPr>
                <w:b/>
                <w:sz w:val="21"/>
                <w:szCs w:val="21"/>
                <w:highlight w:val="none"/>
              </w:rPr>
              <w:t>类别</w:t>
            </w:r>
          </w:p>
        </w:tc>
        <w:tc>
          <w:tcPr>
            <w:tcW w:w="1701" w:type="dxa"/>
            <w:vAlign w:val="center"/>
          </w:tcPr>
          <w:p>
            <w:pPr>
              <w:spacing w:line="240" w:lineRule="auto"/>
              <w:ind w:firstLine="0" w:firstLineChars="0"/>
              <w:jc w:val="center"/>
              <w:rPr>
                <w:b/>
                <w:sz w:val="21"/>
                <w:szCs w:val="21"/>
                <w:highlight w:val="none"/>
              </w:rPr>
            </w:pPr>
            <w:r>
              <w:rPr>
                <w:b/>
                <w:sz w:val="21"/>
                <w:szCs w:val="21"/>
                <w:highlight w:val="none"/>
              </w:rPr>
              <w:t>污染源</w:t>
            </w:r>
          </w:p>
        </w:tc>
        <w:tc>
          <w:tcPr>
            <w:tcW w:w="993" w:type="dxa"/>
            <w:vAlign w:val="center"/>
          </w:tcPr>
          <w:p>
            <w:pPr>
              <w:spacing w:line="240" w:lineRule="auto"/>
              <w:ind w:firstLine="0" w:firstLineChars="0"/>
              <w:jc w:val="center"/>
              <w:rPr>
                <w:b/>
                <w:sz w:val="21"/>
                <w:szCs w:val="21"/>
                <w:highlight w:val="none"/>
              </w:rPr>
            </w:pPr>
            <w:r>
              <w:rPr>
                <w:b/>
                <w:sz w:val="21"/>
                <w:szCs w:val="21"/>
                <w:highlight w:val="none"/>
              </w:rPr>
              <w:t>污染物</w:t>
            </w:r>
          </w:p>
        </w:tc>
        <w:tc>
          <w:tcPr>
            <w:tcW w:w="1418" w:type="dxa"/>
            <w:vAlign w:val="center"/>
          </w:tcPr>
          <w:p>
            <w:pPr>
              <w:spacing w:line="240" w:lineRule="auto"/>
              <w:ind w:firstLine="0" w:firstLineChars="0"/>
              <w:jc w:val="center"/>
              <w:rPr>
                <w:b/>
                <w:sz w:val="21"/>
                <w:szCs w:val="21"/>
                <w:highlight w:val="none"/>
              </w:rPr>
            </w:pPr>
            <w:r>
              <w:rPr>
                <w:b/>
                <w:sz w:val="21"/>
                <w:szCs w:val="21"/>
                <w:highlight w:val="none"/>
              </w:rPr>
              <w:t>产生浓度</w:t>
            </w:r>
          </w:p>
        </w:tc>
        <w:tc>
          <w:tcPr>
            <w:tcW w:w="1134" w:type="dxa"/>
            <w:vAlign w:val="center"/>
          </w:tcPr>
          <w:p>
            <w:pPr>
              <w:spacing w:line="240" w:lineRule="auto"/>
              <w:ind w:firstLine="0" w:firstLineChars="0"/>
              <w:jc w:val="center"/>
              <w:rPr>
                <w:b/>
                <w:sz w:val="21"/>
                <w:szCs w:val="21"/>
                <w:highlight w:val="none"/>
              </w:rPr>
            </w:pPr>
            <w:r>
              <w:rPr>
                <w:b/>
                <w:sz w:val="21"/>
                <w:szCs w:val="21"/>
                <w:highlight w:val="none"/>
              </w:rPr>
              <w:t>产生量</w:t>
            </w:r>
          </w:p>
        </w:tc>
        <w:tc>
          <w:tcPr>
            <w:tcW w:w="4960" w:type="dxa"/>
            <w:vAlign w:val="center"/>
          </w:tcPr>
          <w:p>
            <w:pPr>
              <w:spacing w:line="240" w:lineRule="auto"/>
              <w:ind w:firstLine="0" w:firstLineChars="0"/>
              <w:jc w:val="center"/>
              <w:rPr>
                <w:b/>
                <w:sz w:val="21"/>
                <w:szCs w:val="21"/>
                <w:highlight w:val="none"/>
              </w:rPr>
            </w:pPr>
            <w:r>
              <w:rPr>
                <w:b/>
                <w:sz w:val="21"/>
                <w:szCs w:val="21"/>
                <w:highlight w:val="none"/>
              </w:rPr>
              <w:t>治理措施</w:t>
            </w:r>
          </w:p>
        </w:tc>
        <w:tc>
          <w:tcPr>
            <w:tcW w:w="1121" w:type="dxa"/>
            <w:vAlign w:val="center"/>
          </w:tcPr>
          <w:p>
            <w:pPr>
              <w:spacing w:line="240" w:lineRule="auto"/>
              <w:ind w:firstLine="0" w:firstLineChars="0"/>
              <w:jc w:val="center"/>
              <w:rPr>
                <w:b/>
                <w:sz w:val="21"/>
                <w:szCs w:val="21"/>
                <w:highlight w:val="none"/>
              </w:rPr>
            </w:pPr>
            <w:r>
              <w:rPr>
                <w:b/>
                <w:sz w:val="21"/>
                <w:szCs w:val="21"/>
                <w:highlight w:val="none"/>
              </w:rPr>
              <w:t>排放浓度</w:t>
            </w:r>
          </w:p>
        </w:tc>
        <w:tc>
          <w:tcPr>
            <w:tcW w:w="1146" w:type="dxa"/>
            <w:vAlign w:val="center"/>
          </w:tcPr>
          <w:p>
            <w:pPr>
              <w:spacing w:line="240" w:lineRule="auto"/>
              <w:ind w:firstLine="0" w:firstLineChars="0"/>
              <w:jc w:val="center"/>
              <w:rPr>
                <w:b/>
                <w:sz w:val="21"/>
                <w:szCs w:val="21"/>
                <w:highlight w:val="none"/>
              </w:rPr>
            </w:pPr>
            <w:r>
              <w:rPr>
                <w:b/>
                <w:sz w:val="21"/>
                <w:szCs w:val="21"/>
                <w:highlight w:val="none"/>
              </w:rPr>
              <w:t>排放速率</w:t>
            </w:r>
          </w:p>
        </w:tc>
        <w:tc>
          <w:tcPr>
            <w:tcW w:w="956" w:type="dxa"/>
            <w:vAlign w:val="center"/>
          </w:tcPr>
          <w:p>
            <w:pPr>
              <w:spacing w:line="240" w:lineRule="auto"/>
              <w:ind w:firstLine="0" w:firstLineChars="0"/>
              <w:jc w:val="center"/>
              <w:rPr>
                <w:b/>
                <w:sz w:val="21"/>
                <w:szCs w:val="21"/>
                <w:highlight w:val="none"/>
              </w:rPr>
            </w:pPr>
            <w:r>
              <w:rPr>
                <w:b/>
                <w:sz w:val="21"/>
                <w:szCs w:val="21"/>
                <w:highlight w:val="none"/>
              </w:rPr>
              <w:t>年排放量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restart"/>
            <w:vAlign w:val="center"/>
          </w:tcPr>
          <w:p>
            <w:pPr>
              <w:spacing w:line="240" w:lineRule="auto"/>
              <w:ind w:firstLine="0" w:firstLineChars="0"/>
              <w:jc w:val="center"/>
              <w:rPr>
                <w:sz w:val="21"/>
                <w:szCs w:val="21"/>
                <w:highlight w:val="none"/>
              </w:rPr>
            </w:pPr>
            <w:r>
              <w:rPr>
                <w:sz w:val="21"/>
                <w:szCs w:val="21"/>
                <w:highlight w:val="none"/>
              </w:rPr>
              <w:t>废气</w:t>
            </w:r>
          </w:p>
        </w:tc>
        <w:tc>
          <w:tcPr>
            <w:tcW w:w="1701" w:type="dxa"/>
            <w:vMerge w:val="restart"/>
            <w:vAlign w:val="center"/>
          </w:tcPr>
          <w:p>
            <w:pPr>
              <w:spacing w:line="240" w:lineRule="auto"/>
              <w:ind w:firstLine="0" w:firstLineChars="0"/>
              <w:jc w:val="center"/>
              <w:rPr>
                <w:sz w:val="21"/>
                <w:szCs w:val="21"/>
                <w:highlight w:val="none"/>
              </w:rPr>
            </w:pPr>
            <w:r>
              <w:rPr>
                <w:sz w:val="21"/>
                <w:szCs w:val="21"/>
                <w:highlight w:val="none"/>
              </w:rPr>
              <w:t>破碎筛分生产线</w:t>
            </w:r>
          </w:p>
        </w:tc>
        <w:tc>
          <w:tcPr>
            <w:tcW w:w="993" w:type="dxa"/>
            <w:vMerge w:val="restart"/>
            <w:vAlign w:val="center"/>
          </w:tcPr>
          <w:p>
            <w:pPr>
              <w:spacing w:line="240" w:lineRule="auto"/>
              <w:ind w:firstLine="0" w:firstLineChars="0"/>
              <w:jc w:val="center"/>
              <w:rPr>
                <w:sz w:val="21"/>
                <w:szCs w:val="21"/>
                <w:highlight w:val="none"/>
              </w:rPr>
            </w:pPr>
            <w:r>
              <w:rPr>
                <w:sz w:val="21"/>
                <w:szCs w:val="21"/>
                <w:highlight w:val="none"/>
              </w:rPr>
              <w:t>颗粒物</w:t>
            </w:r>
          </w:p>
        </w:tc>
        <w:tc>
          <w:tcPr>
            <w:tcW w:w="1418" w:type="dxa"/>
            <w:vAlign w:val="center"/>
          </w:tcPr>
          <w:p>
            <w:pPr>
              <w:spacing w:line="240" w:lineRule="auto"/>
              <w:ind w:firstLine="0" w:firstLineChars="0"/>
              <w:jc w:val="center"/>
              <w:rPr>
                <w:sz w:val="21"/>
                <w:szCs w:val="21"/>
                <w:highlight w:val="none"/>
              </w:rPr>
            </w:pPr>
            <w:r>
              <w:rPr>
                <w:rFonts w:hint="eastAsia"/>
                <w:sz w:val="21"/>
                <w:szCs w:val="21"/>
                <w:highlight w:val="none"/>
              </w:rPr>
              <w:t>910.4</w:t>
            </w:r>
            <w:r>
              <w:rPr>
                <w:sz w:val="21"/>
                <w:szCs w:val="21"/>
                <w:highlight w:val="none"/>
              </w:rPr>
              <w:t>mg/m</w:t>
            </w:r>
            <w:r>
              <w:rPr>
                <w:sz w:val="21"/>
                <w:szCs w:val="21"/>
                <w:highlight w:val="none"/>
                <w:vertAlign w:val="superscript"/>
              </w:rPr>
              <w:t>3</w:t>
            </w:r>
          </w:p>
        </w:tc>
        <w:tc>
          <w:tcPr>
            <w:tcW w:w="1134" w:type="dxa"/>
            <w:vAlign w:val="center"/>
          </w:tcPr>
          <w:p>
            <w:pPr>
              <w:spacing w:line="240" w:lineRule="auto"/>
              <w:ind w:firstLine="0" w:firstLineChars="0"/>
              <w:jc w:val="center"/>
              <w:rPr>
                <w:sz w:val="21"/>
                <w:szCs w:val="21"/>
                <w:highlight w:val="none"/>
              </w:rPr>
            </w:pPr>
            <w:r>
              <w:rPr>
                <w:rFonts w:hint="eastAsia"/>
                <w:sz w:val="21"/>
                <w:szCs w:val="21"/>
                <w:highlight w:val="none"/>
              </w:rPr>
              <w:t>262.2</w:t>
            </w:r>
            <w:r>
              <w:rPr>
                <w:sz w:val="21"/>
                <w:szCs w:val="21"/>
                <w:highlight w:val="none"/>
              </w:rPr>
              <w:t>t/a</w:t>
            </w:r>
          </w:p>
        </w:tc>
        <w:tc>
          <w:tcPr>
            <w:tcW w:w="4960" w:type="dxa"/>
            <w:vAlign w:val="center"/>
          </w:tcPr>
          <w:p>
            <w:pPr>
              <w:spacing w:line="240" w:lineRule="auto"/>
              <w:ind w:firstLine="0" w:firstLineChars="0"/>
              <w:jc w:val="center"/>
              <w:rPr>
                <w:sz w:val="21"/>
                <w:szCs w:val="21"/>
                <w:highlight w:val="none"/>
              </w:rPr>
            </w:pPr>
            <w:r>
              <w:rPr>
                <w:sz w:val="21"/>
                <w:szCs w:val="21"/>
                <w:highlight w:val="none"/>
              </w:rPr>
              <w:t>集气罩收集后，经</w:t>
            </w:r>
            <w:r>
              <w:rPr>
                <w:rFonts w:hint="eastAsia"/>
                <w:sz w:val="21"/>
                <w:szCs w:val="21"/>
                <w:highlight w:val="none"/>
              </w:rPr>
              <w:t>离线</w:t>
            </w:r>
            <w:r>
              <w:rPr>
                <w:sz w:val="21"/>
                <w:szCs w:val="21"/>
                <w:highlight w:val="none"/>
              </w:rPr>
              <w:t>脉冲除尘器处理后，由</w:t>
            </w:r>
            <w:r>
              <w:rPr>
                <w:rFonts w:hint="eastAsia"/>
                <w:sz w:val="21"/>
                <w:szCs w:val="21"/>
                <w:highlight w:val="none"/>
              </w:rPr>
              <w:t>20</w:t>
            </w:r>
            <w:r>
              <w:rPr>
                <w:sz w:val="21"/>
                <w:szCs w:val="21"/>
                <w:highlight w:val="none"/>
              </w:rPr>
              <w:t>m高排气筒排放。</w:t>
            </w:r>
          </w:p>
        </w:tc>
        <w:tc>
          <w:tcPr>
            <w:tcW w:w="1121" w:type="dxa"/>
            <w:vAlign w:val="center"/>
          </w:tcPr>
          <w:p>
            <w:pPr>
              <w:spacing w:line="240" w:lineRule="auto"/>
              <w:ind w:firstLine="0" w:firstLineChars="0"/>
              <w:jc w:val="center"/>
              <w:rPr>
                <w:sz w:val="21"/>
                <w:szCs w:val="21"/>
                <w:highlight w:val="none"/>
              </w:rPr>
            </w:pPr>
            <w:r>
              <w:rPr>
                <w:rFonts w:hint="eastAsia"/>
                <w:sz w:val="21"/>
                <w:szCs w:val="21"/>
                <w:highlight w:val="none"/>
              </w:rPr>
              <w:t>9.1</w:t>
            </w:r>
            <w:r>
              <w:rPr>
                <w:sz w:val="21"/>
                <w:szCs w:val="21"/>
                <w:highlight w:val="none"/>
              </w:rPr>
              <w:t>mg/m</w:t>
            </w:r>
            <w:r>
              <w:rPr>
                <w:sz w:val="21"/>
                <w:szCs w:val="21"/>
                <w:highlight w:val="none"/>
                <w:vertAlign w:val="superscript"/>
              </w:rPr>
              <w:t>3</w:t>
            </w:r>
          </w:p>
        </w:tc>
        <w:tc>
          <w:tcPr>
            <w:tcW w:w="1146" w:type="dxa"/>
            <w:vAlign w:val="center"/>
          </w:tcPr>
          <w:p>
            <w:pPr>
              <w:spacing w:line="240" w:lineRule="auto"/>
              <w:ind w:firstLine="0" w:firstLineChars="0"/>
              <w:jc w:val="center"/>
              <w:rPr>
                <w:sz w:val="21"/>
                <w:szCs w:val="21"/>
                <w:highlight w:val="none"/>
              </w:rPr>
            </w:pPr>
            <w:r>
              <w:rPr>
                <w:rFonts w:hint="eastAsia"/>
                <w:sz w:val="21"/>
                <w:szCs w:val="21"/>
                <w:highlight w:val="none"/>
              </w:rPr>
              <w:t>0.36</w:t>
            </w:r>
            <w:r>
              <w:rPr>
                <w:sz w:val="21"/>
                <w:szCs w:val="21"/>
                <w:highlight w:val="none"/>
              </w:rPr>
              <w:t>kg/h</w:t>
            </w:r>
          </w:p>
        </w:tc>
        <w:tc>
          <w:tcPr>
            <w:tcW w:w="956" w:type="dxa"/>
            <w:vAlign w:val="center"/>
          </w:tcPr>
          <w:p>
            <w:pPr>
              <w:spacing w:line="240" w:lineRule="auto"/>
              <w:ind w:firstLine="0" w:firstLineChars="0"/>
              <w:jc w:val="center"/>
              <w:rPr>
                <w:sz w:val="21"/>
                <w:szCs w:val="21"/>
                <w:highlight w:val="none"/>
              </w:rPr>
            </w:pPr>
            <w:r>
              <w:rPr>
                <w:rFonts w:hint="eastAsia"/>
                <w:sz w:val="21"/>
                <w:szCs w:val="21"/>
                <w:highlight w:val="none"/>
              </w:rPr>
              <w:t>2.62</w:t>
            </w:r>
            <w:r>
              <w:rPr>
                <w:sz w:val="21"/>
                <w:szCs w:val="21"/>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Merge w:val="continue"/>
            <w:vAlign w:val="center"/>
          </w:tcPr>
          <w:p>
            <w:pPr>
              <w:spacing w:line="240" w:lineRule="auto"/>
              <w:ind w:firstLine="0" w:firstLineChars="0"/>
              <w:jc w:val="center"/>
              <w:rPr>
                <w:sz w:val="21"/>
                <w:szCs w:val="21"/>
                <w:highlight w:val="none"/>
              </w:rPr>
            </w:pPr>
          </w:p>
        </w:tc>
        <w:tc>
          <w:tcPr>
            <w:tcW w:w="993" w:type="dxa"/>
            <w:vMerge w:val="continue"/>
            <w:vAlign w:val="center"/>
          </w:tcPr>
          <w:p>
            <w:pPr>
              <w:spacing w:line="240" w:lineRule="auto"/>
              <w:ind w:firstLine="0" w:firstLineChars="0"/>
              <w:jc w:val="center"/>
              <w:rPr>
                <w:sz w:val="21"/>
                <w:szCs w:val="21"/>
                <w:highlight w:val="none"/>
              </w:rPr>
            </w:pP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134" w:type="dxa"/>
            <w:vAlign w:val="center"/>
          </w:tcPr>
          <w:p>
            <w:pPr>
              <w:spacing w:line="240" w:lineRule="auto"/>
              <w:ind w:firstLine="0" w:firstLineChars="0"/>
              <w:jc w:val="center"/>
              <w:rPr>
                <w:sz w:val="21"/>
                <w:szCs w:val="21"/>
                <w:highlight w:val="none"/>
              </w:rPr>
            </w:pPr>
            <w:r>
              <w:rPr>
                <w:rFonts w:hint="eastAsia"/>
                <w:sz w:val="21"/>
                <w:szCs w:val="21"/>
                <w:highlight w:val="none"/>
              </w:rPr>
              <w:t>13.8</w:t>
            </w:r>
            <w:r>
              <w:rPr>
                <w:sz w:val="21"/>
                <w:szCs w:val="21"/>
                <w:highlight w:val="none"/>
              </w:rPr>
              <w:t>t/a</w:t>
            </w:r>
          </w:p>
        </w:tc>
        <w:tc>
          <w:tcPr>
            <w:tcW w:w="4960" w:type="dxa"/>
            <w:vAlign w:val="center"/>
          </w:tcPr>
          <w:p>
            <w:pPr>
              <w:spacing w:line="240" w:lineRule="auto"/>
              <w:ind w:firstLine="0" w:firstLineChars="0"/>
              <w:jc w:val="center"/>
              <w:rPr>
                <w:sz w:val="21"/>
                <w:szCs w:val="21"/>
                <w:highlight w:val="none"/>
              </w:rPr>
            </w:pPr>
            <w:r>
              <w:rPr>
                <w:sz w:val="21"/>
                <w:szCs w:val="21"/>
                <w:highlight w:val="none"/>
              </w:rPr>
              <w:t>通过车间进出口无组织排放</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rFonts w:hint="eastAsia"/>
                <w:sz w:val="21"/>
                <w:szCs w:val="21"/>
                <w:highlight w:val="none"/>
              </w:rPr>
              <w:t>0.276</w:t>
            </w:r>
            <w:r>
              <w:rPr>
                <w:sz w:val="21"/>
                <w:szCs w:val="21"/>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89"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物料</w:t>
            </w:r>
            <w:r>
              <w:rPr>
                <w:rFonts w:hint="eastAsia"/>
                <w:sz w:val="21"/>
                <w:szCs w:val="21"/>
                <w:highlight w:val="none"/>
              </w:rPr>
              <w:t>存储</w:t>
            </w:r>
          </w:p>
        </w:tc>
        <w:tc>
          <w:tcPr>
            <w:tcW w:w="993" w:type="dxa"/>
            <w:vAlign w:val="center"/>
          </w:tcPr>
          <w:p>
            <w:pPr>
              <w:spacing w:line="240" w:lineRule="auto"/>
              <w:ind w:firstLine="0" w:firstLineChars="0"/>
              <w:jc w:val="center"/>
              <w:rPr>
                <w:sz w:val="21"/>
                <w:szCs w:val="21"/>
                <w:highlight w:val="none"/>
              </w:rPr>
            </w:pPr>
            <w:r>
              <w:rPr>
                <w:sz w:val="21"/>
                <w:szCs w:val="21"/>
                <w:highlight w:val="none"/>
              </w:rPr>
              <w:t>颗粒物</w:t>
            </w: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134" w:type="dxa"/>
            <w:vAlign w:val="center"/>
          </w:tcPr>
          <w:p>
            <w:pPr>
              <w:spacing w:line="240" w:lineRule="auto"/>
              <w:ind w:firstLine="0" w:firstLineChars="0"/>
              <w:jc w:val="center"/>
              <w:rPr>
                <w:sz w:val="21"/>
                <w:szCs w:val="21"/>
                <w:highlight w:val="none"/>
              </w:rPr>
            </w:pPr>
            <w:r>
              <w:rPr>
                <w:rFonts w:hint="eastAsia"/>
                <w:sz w:val="21"/>
                <w:szCs w:val="21"/>
                <w:highlight w:val="none"/>
              </w:rPr>
              <w:t>1.39</w:t>
            </w:r>
            <w:r>
              <w:rPr>
                <w:sz w:val="21"/>
                <w:szCs w:val="21"/>
                <w:highlight w:val="none"/>
              </w:rPr>
              <w:t>t/a</w:t>
            </w:r>
          </w:p>
        </w:tc>
        <w:tc>
          <w:tcPr>
            <w:tcW w:w="4960" w:type="dxa"/>
            <w:vAlign w:val="center"/>
          </w:tcPr>
          <w:p>
            <w:pPr>
              <w:spacing w:line="240" w:lineRule="auto"/>
              <w:ind w:firstLine="0" w:firstLineChars="0"/>
              <w:jc w:val="center"/>
              <w:rPr>
                <w:sz w:val="21"/>
                <w:szCs w:val="21"/>
                <w:highlight w:val="none"/>
              </w:rPr>
            </w:pPr>
            <w:r>
              <w:rPr>
                <w:sz w:val="21"/>
                <w:szCs w:val="21"/>
                <w:highlight w:val="none"/>
              </w:rPr>
              <w:t>封闭厂房、喷淋系统</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rFonts w:hint="eastAsia"/>
                <w:sz w:val="21"/>
                <w:szCs w:val="21"/>
                <w:highlight w:val="none"/>
              </w:rPr>
              <w:t>1.39</w:t>
            </w:r>
            <w:r>
              <w:rPr>
                <w:sz w:val="21"/>
                <w:szCs w:val="21"/>
                <w:highlight w:val="none"/>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sz w:val="21"/>
                <w:szCs w:val="21"/>
                <w:highlight w:val="none"/>
              </w:rPr>
              <w:t>运输扬尘</w:t>
            </w:r>
          </w:p>
        </w:tc>
        <w:tc>
          <w:tcPr>
            <w:tcW w:w="993" w:type="dxa"/>
            <w:vAlign w:val="center"/>
          </w:tcPr>
          <w:p>
            <w:pPr>
              <w:spacing w:line="240" w:lineRule="auto"/>
              <w:ind w:firstLine="0" w:firstLineChars="0"/>
              <w:jc w:val="center"/>
              <w:rPr>
                <w:sz w:val="21"/>
                <w:szCs w:val="21"/>
                <w:highlight w:val="none"/>
              </w:rPr>
            </w:pPr>
            <w:r>
              <w:rPr>
                <w:sz w:val="21"/>
                <w:szCs w:val="21"/>
                <w:highlight w:val="none"/>
              </w:rPr>
              <w:t>粉尘</w:t>
            </w: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134" w:type="dxa"/>
            <w:vAlign w:val="center"/>
          </w:tcPr>
          <w:p>
            <w:pPr>
              <w:spacing w:line="240" w:lineRule="auto"/>
              <w:ind w:firstLine="0" w:firstLineChars="0"/>
              <w:jc w:val="center"/>
              <w:rPr>
                <w:sz w:val="21"/>
                <w:szCs w:val="21"/>
                <w:highlight w:val="none"/>
              </w:rPr>
            </w:pPr>
            <w:r>
              <w:rPr>
                <w:rFonts w:hint="eastAsia"/>
                <w:sz w:val="21"/>
                <w:szCs w:val="21"/>
                <w:highlight w:val="none"/>
              </w:rPr>
              <w:t>1.82</w:t>
            </w:r>
            <w:r>
              <w:rPr>
                <w:sz w:val="21"/>
                <w:szCs w:val="21"/>
                <w:highlight w:val="none"/>
              </w:rPr>
              <w:t>t/a</w:t>
            </w:r>
          </w:p>
        </w:tc>
        <w:tc>
          <w:tcPr>
            <w:tcW w:w="4960" w:type="dxa"/>
            <w:vAlign w:val="center"/>
          </w:tcPr>
          <w:p>
            <w:pPr>
              <w:spacing w:line="240" w:lineRule="auto"/>
              <w:ind w:firstLine="0" w:firstLineChars="0"/>
              <w:jc w:val="center"/>
              <w:rPr>
                <w:sz w:val="21"/>
                <w:szCs w:val="21"/>
                <w:highlight w:val="none"/>
              </w:rPr>
            </w:pPr>
            <w:r>
              <w:rPr>
                <w:sz w:val="21"/>
                <w:szCs w:val="21"/>
                <w:highlight w:val="none"/>
              </w:rPr>
              <w:t>路面硬化、洒水、篷布、限速等，粉尘去除率80%</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r>
              <w:rPr>
                <w:rFonts w:hint="eastAsia"/>
                <w:sz w:val="21"/>
                <w:szCs w:val="21"/>
                <w:highlight w:val="none"/>
              </w:rPr>
              <w:t>364</w:t>
            </w:r>
            <w:r>
              <w:rPr>
                <w:sz w:val="21"/>
                <w:szCs w:val="21"/>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Align w:val="center"/>
          </w:tcPr>
          <w:p>
            <w:pPr>
              <w:spacing w:line="240" w:lineRule="auto"/>
              <w:ind w:firstLine="0" w:firstLineChars="0"/>
              <w:jc w:val="center"/>
              <w:rPr>
                <w:bCs/>
                <w:sz w:val="21"/>
                <w:szCs w:val="21"/>
                <w:highlight w:val="none"/>
              </w:rPr>
            </w:pPr>
            <w:bookmarkStart w:id="302" w:name="_Hlk338744627"/>
            <w:bookmarkStart w:id="303" w:name="OLE_LINK2"/>
            <w:bookmarkStart w:id="304" w:name="OLE_LINK1"/>
            <w:r>
              <w:rPr>
                <w:bCs/>
                <w:sz w:val="21"/>
                <w:szCs w:val="21"/>
                <w:highlight w:val="none"/>
              </w:rPr>
              <w:t>废水</w:t>
            </w:r>
          </w:p>
        </w:tc>
        <w:tc>
          <w:tcPr>
            <w:tcW w:w="1701"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bCs/>
                <w:sz w:val="21"/>
                <w:szCs w:val="21"/>
                <w:highlight w:val="none"/>
                <w:lang w:val="en-US" w:eastAsia="zh-CN"/>
              </w:rPr>
              <w:t>生产废水</w:t>
            </w:r>
          </w:p>
        </w:tc>
        <w:tc>
          <w:tcPr>
            <w:tcW w:w="993" w:type="dxa"/>
            <w:vAlign w:val="center"/>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SS</w:t>
            </w:r>
          </w:p>
        </w:tc>
        <w:tc>
          <w:tcPr>
            <w:tcW w:w="1418" w:type="dxa"/>
            <w:vAlign w:val="center"/>
          </w:tcPr>
          <w:p>
            <w:pPr>
              <w:spacing w:line="240" w:lineRule="auto"/>
              <w:ind w:firstLine="0" w:firstLineChars="0"/>
              <w:jc w:val="center"/>
              <w:rPr>
                <w:sz w:val="21"/>
                <w:szCs w:val="21"/>
                <w:highlight w:val="none"/>
              </w:rPr>
            </w:pPr>
            <w:r>
              <w:rPr>
                <w:b/>
                <w:sz w:val="21"/>
                <w:szCs w:val="21"/>
                <w:highlight w:val="none"/>
              </w:rPr>
              <w:t>/</w:t>
            </w:r>
          </w:p>
        </w:tc>
        <w:tc>
          <w:tcPr>
            <w:tcW w:w="1134"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65196</w:t>
            </w:r>
            <w:r>
              <w:rPr>
                <w:sz w:val="21"/>
                <w:szCs w:val="21"/>
                <w:highlight w:val="none"/>
              </w:rPr>
              <w:t>t/a</w:t>
            </w:r>
          </w:p>
        </w:tc>
        <w:tc>
          <w:tcPr>
            <w:tcW w:w="4960" w:type="dxa"/>
            <w:vAlign w:val="center"/>
          </w:tcPr>
          <w:p>
            <w:pPr>
              <w:spacing w:line="240" w:lineRule="auto"/>
              <w:ind w:firstLine="0" w:firstLineChars="0"/>
              <w:jc w:val="center"/>
              <w:rPr>
                <w:sz w:val="21"/>
                <w:szCs w:val="21"/>
                <w:highlight w:val="none"/>
              </w:rPr>
            </w:pPr>
            <w:r>
              <w:rPr>
                <w:rFonts w:hint="eastAsia" w:ascii="Times New Roman" w:hAnsi="Times New Roman" w:eastAsia="宋体" w:cs="Times New Roman"/>
                <w:bCs/>
                <w:sz w:val="21"/>
                <w:szCs w:val="21"/>
                <w:highlight w:val="none"/>
                <w:lang w:val="en-US" w:eastAsia="zh-CN"/>
              </w:rPr>
              <w:t>振筛湿式作业废水经管道自流至北厂区干排系统处理，处理后作为球磨磁选用水回用、不外排。</w:t>
            </w:r>
          </w:p>
        </w:tc>
        <w:tc>
          <w:tcPr>
            <w:tcW w:w="3223" w:type="dxa"/>
            <w:gridSpan w:val="3"/>
            <w:vAlign w:val="center"/>
          </w:tcPr>
          <w:p>
            <w:pPr>
              <w:spacing w:line="240" w:lineRule="auto"/>
              <w:ind w:firstLine="0" w:firstLineChars="0"/>
              <w:jc w:val="center"/>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restart"/>
            <w:vAlign w:val="center"/>
          </w:tcPr>
          <w:p>
            <w:pPr>
              <w:spacing w:line="240" w:lineRule="auto"/>
              <w:ind w:firstLine="0" w:firstLineChars="0"/>
              <w:jc w:val="center"/>
              <w:rPr>
                <w:sz w:val="21"/>
                <w:szCs w:val="21"/>
                <w:highlight w:val="none"/>
              </w:rPr>
            </w:pPr>
            <w:r>
              <w:rPr>
                <w:sz w:val="21"/>
                <w:szCs w:val="21"/>
                <w:highlight w:val="none"/>
              </w:rPr>
              <w:t>固废</w:t>
            </w:r>
          </w:p>
        </w:tc>
        <w:tc>
          <w:tcPr>
            <w:tcW w:w="1701"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砂石料</w:t>
            </w:r>
          </w:p>
        </w:tc>
        <w:tc>
          <w:tcPr>
            <w:tcW w:w="993" w:type="dxa"/>
            <w:vAlign w:val="center"/>
          </w:tcPr>
          <w:p>
            <w:pPr>
              <w:spacing w:line="240" w:lineRule="auto"/>
              <w:ind w:firstLine="0" w:firstLineChars="0"/>
              <w:jc w:val="center"/>
              <w:rPr>
                <w:sz w:val="21"/>
                <w:szCs w:val="21"/>
                <w:highlight w:val="none"/>
              </w:rPr>
            </w:pPr>
            <w:r>
              <w:rPr>
                <w:sz w:val="21"/>
                <w:szCs w:val="21"/>
                <w:highlight w:val="none"/>
              </w:rPr>
              <w:t>一般固废</w:t>
            </w:r>
          </w:p>
        </w:tc>
        <w:tc>
          <w:tcPr>
            <w:tcW w:w="1418" w:type="dxa"/>
            <w:vAlign w:val="center"/>
          </w:tcPr>
          <w:p>
            <w:pPr>
              <w:spacing w:line="240" w:lineRule="auto"/>
              <w:ind w:firstLine="0" w:firstLineChars="0"/>
              <w:jc w:val="center"/>
              <w:rPr>
                <w:b/>
                <w:sz w:val="21"/>
                <w:szCs w:val="21"/>
                <w:highlight w:val="none"/>
              </w:rPr>
            </w:pPr>
            <w:r>
              <w:rPr>
                <w:b/>
                <w:sz w:val="21"/>
                <w:szCs w:val="21"/>
                <w:highlight w:val="none"/>
              </w:rPr>
              <w:t>/</w:t>
            </w:r>
          </w:p>
        </w:tc>
        <w:tc>
          <w:tcPr>
            <w:tcW w:w="1134"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113125</w:t>
            </w:r>
            <w:r>
              <w:rPr>
                <w:sz w:val="21"/>
                <w:szCs w:val="21"/>
                <w:highlight w:val="none"/>
              </w:rPr>
              <w:t xml:space="preserve"> t/a</w:t>
            </w:r>
          </w:p>
        </w:tc>
        <w:tc>
          <w:tcPr>
            <w:tcW w:w="4960" w:type="dxa"/>
            <w:vAlign w:val="center"/>
          </w:tcPr>
          <w:p>
            <w:pPr>
              <w:spacing w:line="240" w:lineRule="auto"/>
              <w:ind w:firstLine="0" w:firstLineChars="0"/>
              <w:jc w:val="center"/>
              <w:rPr>
                <w:sz w:val="21"/>
                <w:szCs w:val="21"/>
                <w:highlight w:val="none"/>
              </w:rPr>
            </w:pPr>
            <w:r>
              <w:rPr>
                <w:bCs/>
                <w:sz w:val="21"/>
                <w:szCs w:val="21"/>
                <w:highlight w:val="none"/>
              </w:rPr>
              <w:t>外售当地建材厂作为原料综合利用</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56"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sz w:val="21"/>
                <w:szCs w:val="21"/>
                <w:highlight w:val="none"/>
              </w:rPr>
              <w:t>除尘器收尘</w:t>
            </w:r>
          </w:p>
        </w:tc>
        <w:tc>
          <w:tcPr>
            <w:tcW w:w="993" w:type="dxa"/>
            <w:vAlign w:val="center"/>
          </w:tcPr>
          <w:p>
            <w:pPr>
              <w:spacing w:line="240" w:lineRule="auto"/>
              <w:ind w:firstLine="0" w:firstLineChars="0"/>
              <w:jc w:val="center"/>
              <w:rPr>
                <w:sz w:val="21"/>
                <w:szCs w:val="21"/>
                <w:highlight w:val="none"/>
              </w:rPr>
            </w:pPr>
            <w:r>
              <w:rPr>
                <w:sz w:val="21"/>
                <w:szCs w:val="21"/>
                <w:highlight w:val="none"/>
              </w:rPr>
              <w:t>一般固废</w:t>
            </w: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134" w:type="dxa"/>
            <w:vAlign w:val="center"/>
          </w:tcPr>
          <w:p>
            <w:pPr>
              <w:spacing w:line="240" w:lineRule="auto"/>
              <w:ind w:firstLine="0" w:firstLineChars="0"/>
              <w:jc w:val="center"/>
              <w:rPr>
                <w:bCs/>
                <w:sz w:val="21"/>
                <w:szCs w:val="21"/>
                <w:highlight w:val="none"/>
              </w:rPr>
            </w:pPr>
            <w:r>
              <w:rPr>
                <w:rFonts w:hint="eastAsia"/>
                <w:bCs/>
                <w:sz w:val="21"/>
                <w:szCs w:val="21"/>
                <w:highlight w:val="none"/>
              </w:rPr>
              <w:t>259.6</w:t>
            </w:r>
            <w:r>
              <w:rPr>
                <w:sz w:val="21"/>
                <w:szCs w:val="21"/>
                <w:highlight w:val="none"/>
              </w:rPr>
              <w:t xml:space="preserve"> t/a</w:t>
            </w:r>
          </w:p>
        </w:tc>
        <w:tc>
          <w:tcPr>
            <w:tcW w:w="4960" w:type="dxa"/>
            <w:vAlign w:val="center"/>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rPr>
              <w:t>进入球磨工序</w:t>
            </w:r>
            <w:r>
              <w:rPr>
                <w:rFonts w:hint="eastAsia"/>
                <w:bCs/>
                <w:sz w:val="21"/>
                <w:szCs w:val="21"/>
                <w:highlight w:val="none"/>
                <w:lang w:val="en-US" w:eastAsia="zh-CN"/>
              </w:rPr>
              <w:t>利用</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rFonts w:hint="eastAsia"/>
                <w:sz w:val="21"/>
                <w:szCs w:val="21"/>
                <w:highlight w:val="none"/>
              </w:rPr>
              <w:t>废矿物油</w:t>
            </w:r>
            <w:r>
              <w:rPr>
                <w:sz w:val="21"/>
                <w:szCs w:val="21"/>
                <w:highlight w:val="none"/>
              </w:rPr>
              <w:t>、废油桶</w:t>
            </w:r>
          </w:p>
        </w:tc>
        <w:tc>
          <w:tcPr>
            <w:tcW w:w="993" w:type="dxa"/>
            <w:vAlign w:val="center"/>
          </w:tcPr>
          <w:p>
            <w:pPr>
              <w:spacing w:line="240" w:lineRule="auto"/>
              <w:ind w:firstLine="0" w:firstLineChars="0"/>
              <w:jc w:val="center"/>
              <w:rPr>
                <w:sz w:val="21"/>
                <w:szCs w:val="21"/>
                <w:highlight w:val="none"/>
              </w:rPr>
            </w:pPr>
            <w:r>
              <w:rPr>
                <w:sz w:val="21"/>
                <w:szCs w:val="21"/>
                <w:highlight w:val="none"/>
              </w:rPr>
              <w:t>危险废物</w:t>
            </w: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134" w:type="dxa"/>
            <w:vAlign w:val="center"/>
          </w:tcPr>
          <w:p>
            <w:pPr>
              <w:spacing w:line="240" w:lineRule="auto"/>
              <w:ind w:firstLine="0" w:firstLineChars="0"/>
              <w:jc w:val="center"/>
              <w:rPr>
                <w:bCs/>
                <w:sz w:val="21"/>
                <w:szCs w:val="21"/>
                <w:highlight w:val="none"/>
              </w:rPr>
            </w:pPr>
            <w:r>
              <w:rPr>
                <w:rFonts w:hint="eastAsia"/>
                <w:bCs/>
                <w:sz w:val="21"/>
                <w:szCs w:val="21"/>
                <w:highlight w:val="none"/>
              </w:rPr>
              <w:t>0.3</w:t>
            </w:r>
            <w:r>
              <w:rPr>
                <w:sz w:val="21"/>
                <w:szCs w:val="21"/>
                <w:highlight w:val="none"/>
              </w:rPr>
              <w:t>t/a</w:t>
            </w:r>
          </w:p>
        </w:tc>
        <w:tc>
          <w:tcPr>
            <w:tcW w:w="4960" w:type="dxa"/>
            <w:vAlign w:val="center"/>
          </w:tcPr>
          <w:p>
            <w:pPr>
              <w:spacing w:line="240" w:lineRule="auto"/>
              <w:ind w:firstLine="0" w:firstLineChars="0"/>
              <w:jc w:val="center"/>
              <w:rPr>
                <w:bCs/>
                <w:sz w:val="21"/>
                <w:szCs w:val="21"/>
                <w:highlight w:val="none"/>
              </w:rPr>
            </w:pPr>
            <w:r>
              <w:rPr>
                <w:bCs/>
                <w:sz w:val="21"/>
                <w:szCs w:val="21"/>
                <w:highlight w:val="none"/>
              </w:rPr>
              <w:t>收集于危废暂存间后，交由有资质的单位进行处理</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466" w:hRule="atLeast"/>
          <w:tblHeader/>
        </w:trPr>
        <w:tc>
          <w:tcPr>
            <w:tcW w:w="595" w:type="dxa"/>
            <w:vAlign w:val="center"/>
          </w:tcPr>
          <w:p>
            <w:pPr>
              <w:spacing w:line="240" w:lineRule="auto"/>
              <w:ind w:firstLine="0" w:firstLineChars="0"/>
              <w:jc w:val="center"/>
              <w:rPr>
                <w:sz w:val="21"/>
                <w:szCs w:val="21"/>
                <w:highlight w:val="none"/>
              </w:rPr>
            </w:pPr>
            <w:r>
              <w:rPr>
                <w:sz w:val="21"/>
                <w:szCs w:val="21"/>
                <w:highlight w:val="none"/>
              </w:rPr>
              <w:t>噪声</w:t>
            </w:r>
          </w:p>
        </w:tc>
        <w:tc>
          <w:tcPr>
            <w:tcW w:w="13429" w:type="dxa"/>
            <w:gridSpan w:val="8"/>
            <w:vAlign w:val="center"/>
          </w:tcPr>
          <w:p>
            <w:pPr>
              <w:spacing w:line="240" w:lineRule="auto"/>
              <w:ind w:firstLine="0" w:firstLineChars="0"/>
              <w:rPr>
                <w:sz w:val="21"/>
                <w:szCs w:val="21"/>
                <w:highlight w:val="none"/>
              </w:rPr>
            </w:pPr>
            <w:r>
              <w:rPr>
                <w:bCs/>
                <w:sz w:val="21"/>
                <w:szCs w:val="21"/>
                <w:highlight w:val="none"/>
              </w:rPr>
              <w:t>破碎机、</w:t>
            </w:r>
            <w:r>
              <w:rPr>
                <w:rFonts w:hint="eastAsia"/>
                <w:bCs/>
                <w:sz w:val="21"/>
                <w:szCs w:val="21"/>
                <w:highlight w:val="none"/>
                <w:lang w:val="en-US" w:eastAsia="zh-CN"/>
              </w:rPr>
              <w:t>振动筛</w:t>
            </w:r>
            <w:r>
              <w:rPr>
                <w:bCs/>
                <w:sz w:val="21"/>
                <w:szCs w:val="21"/>
                <w:highlight w:val="none"/>
              </w:rPr>
              <w:t>、磁选机、水泵等设备运行时产生的噪声，采取基础减振、吸声材料等措施后，外排噪声源强为50~75dB（A）</w:t>
            </w:r>
          </w:p>
        </w:tc>
      </w:tr>
      <w:bookmarkEnd w:id="302"/>
      <w:bookmarkEnd w:id="303"/>
      <w:bookmarkEnd w:id="304"/>
    </w:tbl>
    <w:p>
      <w:pPr>
        <w:ind w:firstLine="560"/>
        <w:rPr>
          <w:highlight w:val="green"/>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linePitch="312" w:charSpace="0"/>
        </w:sectPr>
      </w:pPr>
    </w:p>
    <w:p>
      <w:pPr>
        <w:pStyle w:val="6"/>
        <w:spacing w:before="0" w:after="0"/>
        <w:rPr>
          <w:szCs w:val="28"/>
          <w:highlight w:val="none"/>
        </w:rPr>
      </w:pPr>
      <w:bookmarkStart w:id="305" w:name="_Toc4054"/>
      <w:bookmarkStart w:id="306" w:name="_Toc521591771"/>
      <w:r>
        <w:rPr>
          <w:rFonts w:hint="eastAsia"/>
          <w:szCs w:val="28"/>
          <w:highlight w:val="none"/>
        </w:rPr>
        <w:t>3.</w:t>
      </w:r>
      <w:r>
        <w:rPr>
          <w:rFonts w:hint="eastAsia"/>
          <w:szCs w:val="28"/>
          <w:highlight w:val="none"/>
          <w:lang w:val="en-US" w:eastAsia="zh-CN"/>
        </w:rPr>
        <w:t>4</w:t>
      </w:r>
      <w:r>
        <w:rPr>
          <w:rFonts w:hint="eastAsia"/>
          <w:szCs w:val="28"/>
          <w:highlight w:val="none"/>
        </w:rPr>
        <w:t>.4</w:t>
      </w:r>
      <w:r>
        <w:rPr>
          <w:szCs w:val="28"/>
          <w:highlight w:val="none"/>
        </w:rPr>
        <w:t>污染物总量核算</w:t>
      </w:r>
      <w:bookmarkEnd w:id="305"/>
      <w:bookmarkEnd w:id="306"/>
    </w:p>
    <w:p>
      <w:pPr>
        <w:ind w:firstLine="480"/>
        <w:rPr>
          <w:sz w:val="24"/>
          <w:szCs w:val="24"/>
          <w:highlight w:val="none"/>
        </w:rPr>
      </w:pPr>
      <w:r>
        <w:rPr>
          <w:sz w:val="24"/>
          <w:szCs w:val="24"/>
          <w:highlight w:val="none"/>
        </w:rPr>
        <w:t>总量控制是一项控制区域污染，保护环境质量的重要举措，也是实现区域经济可持续发展的主要措施。</w:t>
      </w:r>
    </w:p>
    <w:p>
      <w:pPr>
        <w:ind w:firstLine="480"/>
        <w:rPr>
          <w:bCs/>
          <w:sz w:val="24"/>
          <w:szCs w:val="24"/>
          <w:highlight w:val="none"/>
        </w:rPr>
      </w:pPr>
      <w:r>
        <w:rPr>
          <w:sz w:val="24"/>
          <w:szCs w:val="24"/>
          <w:highlight w:val="none"/>
        </w:rPr>
        <w:t>根据《建设项目主要污染物排放总量指标审核及管理暂行办法》（环发[2014]197号文）、</w:t>
      </w:r>
      <w:r>
        <w:rPr>
          <w:bCs/>
          <w:sz w:val="24"/>
          <w:szCs w:val="24"/>
          <w:highlight w:val="none"/>
        </w:rPr>
        <w:t>《关于进一步改革和优化建设项目主要污染物排放总量核定工作的通知》</w:t>
      </w:r>
      <w:r>
        <w:rPr>
          <w:sz w:val="24"/>
          <w:szCs w:val="24"/>
          <w:highlight w:val="none"/>
        </w:rPr>
        <w:t>（</w:t>
      </w:r>
      <w:r>
        <w:rPr>
          <w:bCs/>
          <w:sz w:val="24"/>
          <w:szCs w:val="24"/>
          <w:highlight w:val="none"/>
        </w:rPr>
        <w:t>河北省环境保护厅文件冀环总〔2014〕283号文，2014.9.25</w:t>
      </w:r>
      <w:r>
        <w:rPr>
          <w:sz w:val="24"/>
          <w:szCs w:val="24"/>
          <w:highlight w:val="none"/>
        </w:rPr>
        <w:t>）和《国务院关于印发</w:t>
      </w:r>
      <w:r>
        <w:rPr>
          <w:sz w:val="24"/>
          <w:szCs w:val="24"/>
          <w:highlight w:val="none"/>
          <w:lang w:val="zh-CN"/>
        </w:rPr>
        <w:t>“</w:t>
      </w:r>
      <w:r>
        <w:rPr>
          <w:sz w:val="24"/>
          <w:szCs w:val="24"/>
          <w:highlight w:val="none"/>
        </w:rPr>
        <w:t>十三五</w:t>
      </w:r>
      <w:r>
        <w:rPr>
          <w:sz w:val="24"/>
          <w:szCs w:val="24"/>
          <w:highlight w:val="none"/>
          <w:lang w:val="zh-CN"/>
        </w:rPr>
        <w:t>”</w:t>
      </w:r>
      <w:r>
        <w:rPr>
          <w:sz w:val="24"/>
          <w:szCs w:val="24"/>
          <w:highlight w:val="none"/>
        </w:rPr>
        <w:t>节能减排综合工作方案的通知》（国发[2016]74号，2016.12.20），</w:t>
      </w:r>
      <w:r>
        <w:rPr>
          <w:bCs/>
          <w:sz w:val="24"/>
          <w:szCs w:val="24"/>
          <w:highlight w:val="none"/>
        </w:rPr>
        <w:t>本项目属于环境统计重点工业源调查行业范围内（《国民经济行业分类》（GB/T4754）中采矿业、制造业，电力、燃气及水的生产和供应业，3个门类39个行业）的建设项目，</w:t>
      </w:r>
      <w:r>
        <w:rPr>
          <w:sz w:val="24"/>
          <w:szCs w:val="24"/>
          <w:highlight w:val="none"/>
        </w:rPr>
        <w:t>需要核定主要污染物排放总量指标，</w:t>
      </w:r>
      <w:r>
        <w:rPr>
          <w:bCs/>
          <w:sz w:val="24"/>
          <w:szCs w:val="24"/>
          <w:highlight w:val="none"/>
        </w:rPr>
        <w:t>主要污染因子是：废气中的SO</w:t>
      </w:r>
      <w:r>
        <w:rPr>
          <w:bCs/>
          <w:sz w:val="24"/>
          <w:szCs w:val="24"/>
          <w:highlight w:val="none"/>
          <w:vertAlign w:val="subscript"/>
        </w:rPr>
        <w:t>2</w:t>
      </w:r>
      <w:r>
        <w:rPr>
          <w:bCs/>
          <w:sz w:val="24"/>
          <w:szCs w:val="24"/>
          <w:highlight w:val="none"/>
        </w:rPr>
        <w:t>、NOx、烟尘、工业粉尘；废水中的COD、NH</w:t>
      </w:r>
      <w:r>
        <w:rPr>
          <w:bCs/>
          <w:sz w:val="24"/>
          <w:szCs w:val="24"/>
          <w:highlight w:val="none"/>
          <w:vertAlign w:val="subscript"/>
        </w:rPr>
        <w:t>3</w:t>
      </w:r>
      <w:r>
        <w:rPr>
          <w:bCs/>
          <w:sz w:val="24"/>
          <w:szCs w:val="24"/>
          <w:highlight w:val="none"/>
        </w:rPr>
        <w:t>-N。结合本次建设项目污染物排放情况，确定本项目参与总量控制的污染物为：工业粉尘。</w:t>
      </w:r>
    </w:p>
    <w:p>
      <w:pPr>
        <w:ind w:firstLine="480"/>
        <w:jc w:val="both"/>
        <w:rPr>
          <w:bCs/>
          <w:sz w:val="24"/>
          <w:szCs w:val="24"/>
          <w:highlight w:val="none"/>
        </w:rPr>
      </w:pPr>
      <w:r>
        <w:rPr>
          <w:bCs/>
          <w:sz w:val="24"/>
          <w:szCs w:val="24"/>
          <w:highlight w:val="none"/>
        </w:rPr>
        <w:t>根据《建设项目主要污染物排放总量指标审核及管理暂行办法》的相关要求，总量核算以污染物排放标准中的排放浓度限值为基准，计算总量指标。计算结果和计算依据如下：</w:t>
      </w:r>
    </w:p>
    <w:p>
      <w:pPr>
        <w:ind w:firstLine="480"/>
        <w:jc w:val="both"/>
        <w:rPr>
          <w:bCs/>
          <w:sz w:val="24"/>
          <w:szCs w:val="24"/>
          <w:highlight w:val="none"/>
        </w:rPr>
      </w:pPr>
      <w:r>
        <w:rPr>
          <w:bCs/>
          <w:sz w:val="24"/>
          <w:szCs w:val="24"/>
          <w:highlight w:val="none"/>
        </w:rPr>
        <w:t>（1）计算依据</w:t>
      </w:r>
    </w:p>
    <w:p>
      <w:pPr>
        <w:ind w:firstLine="480"/>
        <w:jc w:val="both"/>
        <w:rPr>
          <w:bCs/>
          <w:sz w:val="24"/>
          <w:szCs w:val="24"/>
          <w:highlight w:val="none"/>
        </w:rPr>
      </w:pPr>
      <w:r>
        <w:rPr>
          <w:bCs/>
          <w:sz w:val="24"/>
          <w:szCs w:val="24"/>
          <w:highlight w:val="none"/>
        </w:rPr>
        <w:t>颗粒物排放标准执行《铁矿采选工业污染物排放标准》（GB28661-2012）表6中的标准限值：10mg/m</w:t>
      </w:r>
      <w:r>
        <w:rPr>
          <w:bCs/>
          <w:sz w:val="24"/>
          <w:szCs w:val="24"/>
          <w:highlight w:val="none"/>
          <w:vertAlign w:val="superscript"/>
        </w:rPr>
        <w:t>3</w:t>
      </w:r>
      <w:r>
        <w:rPr>
          <w:bCs/>
          <w:sz w:val="24"/>
          <w:szCs w:val="24"/>
          <w:highlight w:val="none"/>
        </w:rPr>
        <w:t>。</w:t>
      </w:r>
    </w:p>
    <w:p>
      <w:pPr>
        <w:ind w:firstLine="480"/>
        <w:jc w:val="both"/>
        <w:rPr>
          <w:bCs/>
          <w:sz w:val="24"/>
          <w:szCs w:val="24"/>
          <w:highlight w:val="none"/>
        </w:rPr>
      </w:pPr>
      <w:r>
        <w:rPr>
          <w:bCs/>
          <w:sz w:val="24"/>
          <w:szCs w:val="24"/>
          <w:highlight w:val="none"/>
        </w:rPr>
        <w:t>（2）计算过程</w:t>
      </w:r>
    </w:p>
    <w:p>
      <w:pPr>
        <w:ind w:firstLine="480"/>
        <w:jc w:val="both"/>
        <w:rPr>
          <w:bCs/>
          <w:sz w:val="24"/>
          <w:szCs w:val="24"/>
          <w:highlight w:val="none"/>
        </w:rPr>
      </w:pPr>
      <w:r>
        <w:rPr>
          <w:bCs/>
          <w:sz w:val="24"/>
          <w:szCs w:val="24"/>
          <w:highlight w:val="none"/>
        </w:rPr>
        <w:t>破碎筛分生产线颗粒物排放量=10mg/m</w:t>
      </w:r>
      <w:r>
        <w:rPr>
          <w:bCs/>
          <w:sz w:val="24"/>
          <w:szCs w:val="24"/>
          <w:highlight w:val="none"/>
          <w:vertAlign w:val="superscript"/>
        </w:rPr>
        <w:t>3</w:t>
      </w:r>
      <w:r>
        <w:rPr>
          <w:bCs/>
          <w:sz w:val="24"/>
          <w:szCs w:val="24"/>
          <w:highlight w:val="none"/>
        </w:rPr>
        <w:t>×</w:t>
      </w:r>
      <w:r>
        <w:rPr>
          <w:rFonts w:hint="eastAsia"/>
          <w:bCs/>
          <w:sz w:val="24"/>
          <w:szCs w:val="24"/>
          <w:highlight w:val="none"/>
        </w:rPr>
        <w:t>40</w:t>
      </w:r>
      <w:r>
        <w:rPr>
          <w:bCs/>
          <w:sz w:val="24"/>
          <w:szCs w:val="24"/>
          <w:highlight w:val="none"/>
        </w:rPr>
        <w:t>000m</w:t>
      </w:r>
      <w:r>
        <w:rPr>
          <w:bCs/>
          <w:sz w:val="24"/>
          <w:szCs w:val="24"/>
          <w:highlight w:val="none"/>
          <w:vertAlign w:val="superscript"/>
        </w:rPr>
        <w:t>3</w:t>
      </w:r>
      <w:r>
        <w:rPr>
          <w:bCs/>
          <w:sz w:val="24"/>
          <w:szCs w:val="24"/>
          <w:highlight w:val="none"/>
        </w:rPr>
        <w:t>/h×7200h×10</w:t>
      </w:r>
      <w:r>
        <w:rPr>
          <w:bCs/>
          <w:sz w:val="24"/>
          <w:szCs w:val="24"/>
          <w:highlight w:val="none"/>
          <w:vertAlign w:val="superscript"/>
        </w:rPr>
        <w:t>-9</w:t>
      </w:r>
      <w:r>
        <w:rPr>
          <w:bCs/>
          <w:sz w:val="24"/>
          <w:szCs w:val="24"/>
          <w:highlight w:val="none"/>
        </w:rPr>
        <w:t>mg/t =</w:t>
      </w:r>
      <w:r>
        <w:rPr>
          <w:rFonts w:hint="eastAsia"/>
          <w:bCs/>
          <w:sz w:val="24"/>
          <w:szCs w:val="24"/>
          <w:highlight w:val="none"/>
        </w:rPr>
        <w:t>2.88t</w:t>
      </w:r>
      <w:r>
        <w:rPr>
          <w:bCs/>
          <w:sz w:val="24"/>
          <w:szCs w:val="24"/>
          <w:highlight w:val="none"/>
        </w:rPr>
        <w:t>/a</w:t>
      </w:r>
    </w:p>
    <w:p>
      <w:pPr>
        <w:ind w:firstLine="480"/>
        <w:jc w:val="both"/>
        <w:rPr>
          <w:bCs/>
          <w:sz w:val="24"/>
          <w:szCs w:val="24"/>
          <w:highlight w:val="none"/>
        </w:rPr>
      </w:pPr>
      <w:r>
        <w:rPr>
          <w:rFonts w:hint="eastAsia"/>
          <w:bCs/>
          <w:sz w:val="24"/>
          <w:szCs w:val="24"/>
          <w:highlight w:val="none"/>
          <w:lang w:val="en-US" w:eastAsia="zh-CN"/>
        </w:rPr>
        <w:t>本</w:t>
      </w:r>
      <w:r>
        <w:rPr>
          <w:rFonts w:hint="eastAsia"/>
          <w:bCs/>
          <w:sz w:val="24"/>
          <w:szCs w:val="24"/>
          <w:highlight w:val="none"/>
        </w:rPr>
        <w:t>项目总量控制指标</w:t>
      </w:r>
      <w:r>
        <w:rPr>
          <w:bCs/>
          <w:sz w:val="24"/>
          <w:szCs w:val="24"/>
          <w:highlight w:val="none"/>
        </w:rPr>
        <w:t>见</w:t>
      </w:r>
      <w:r>
        <w:rPr>
          <w:rFonts w:hint="eastAsia"/>
          <w:bCs/>
          <w:sz w:val="24"/>
          <w:szCs w:val="24"/>
          <w:highlight w:val="none"/>
        </w:rPr>
        <w:t>表3.</w:t>
      </w:r>
      <w:r>
        <w:rPr>
          <w:rFonts w:hint="eastAsia"/>
          <w:bCs/>
          <w:sz w:val="24"/>
          <w:szCs w:val="24"/>
          <w:highlight w:val="none"/>
          <w:lang w:val="en-US" w:eastAsia="zh-CN"/>
        </w:rPr>
        <w:t>4</w:t>
      </w:r>
      <w:r>
        <w:rPr>
          <w:rFonts w:hint="eastAsia"/>
          <w:bCs/>
          <w:sz w:val="24"/>
          <w:szCs w:val="24"/>
          <w:highlight w:val="none"/>
        </w:rPr>
        <w:t>-9</w:t>
      </w:r>
      <w:r>
        <w:rPr>
          <w:bCs/>
          <w:sz w:val="24"/>
          <w:szCs w:val="24"/>
          <w:highlight w:val="none"/>
        </w:rPr>
        <w:t>。</w:t>
      </w:r>
    </w:p>
    <w:p>
      <w:pPr>
        <w:spacing w:line="240" w:lineRule="auto"/>
        <w:ind w:firstLine="0" w:firstLineChars="0"/>
        <w:jc w:val="center"/>
        <w:textAlignment w:val="auto"/>
        <w:rPr>
          <w:rFonts w:eastAsia="黑体"/>
          <w:kern w:val="2"/>
          <w:sz w:val="21"/>
          <w:szCs w:val="21"/>
          <w:highlight w:val="none"/>
        </w:rPr>
      </w:pPr>
      <w:bookmarkStart w:id="307" w:name="_Ref9208098"/>
      <w:r>
        <w:rPr>
          <w:rFonts w:hint="eastAsia" w:eastAsia="黑体"/>
          <w:kern w:val="2"/>
          <w:sz w:val="21"/>
          <w:szCs w:val="21"/>
          <w:highlight w:val="none"/>
        </w:rPr>
        <w:t>表3.</w:t>
      </w:r>
      <w:r>
        <w:rPr>
          <w:rFonts w:hint="eastAsia" w:eastAsia="黑体"/>
          <w:kern w:val="2"/>
          <w:sz w:val="21"/>
          <w:szCs w:val="21"/>
          <w:highlight w:val="none"/>
          <w:lang w:val="en-US" w:eastAsia="zh-CN"/>
        </w:rPr>
        <w:t>4</w:t>
      </w:r>
      <w:r>
        <w:rPr>
          <w:rFonts w:hint="eastAsia" w:eastAsia="黑体"/>
          <w:kern w:val="2"/>
          <w:sz w:val="21"/>
          <w:szCs w:val="21"/>
          <w:highlight w:val="none"/>
        </w:rPr>
        <w:t xml:space="preserve">-9 </w:t>
      </w:r>
      <w:bookmarkEnd w:id="307"/>
      <w:r>
        <w:rPr>
          <w:rFonts w:eastAsia="黑体"/>
          <w:kern w:val="2"/>
          <w:sz w:val="21"/>
          <w:szCs w:val="21"/>
          <w:highlight w:val="none"/>
        </w:rPr>
        <w:t xml:space="preserve">  </w:t>
      </w:r>
      <w:r>
        <w:rPr>
          <w:rFonts w:hint="eastAsia" w:eastAsia="黑体"/>
          <w:kern w:val="2"/>
          <w:sz w:val="21"/>
          <w:szCs w:val="21"/>
          <w:highlight w:val="none"/>
        </w:rPr>
        <w:t>项目总量控制指表 单位 t/a</w:t>
      </w:r>
    </w:p>
    <w:tbl>
      <w:tblPr>
        <w:tblStyle w:val="48"/>
        <w:tblW w:w="87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1744"/>
        <w:gridCol w:w="1744"/>
        <w:gridCol w:w="1397"/>
        <w:gridCol w:w="992"/>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shd w:val="clear" w:color="auto" w:fill="auto"/>
          </w:tcPr>
          <w:p>
            <w:pPr>
              <w:pStyle w:val="313"/>
              <w:spacing w:line="240" w:lineRule="auto"/>
              <w:rPr>
                <w:highlight w:val="none"/>
                <w:lang w:bidi="zh-CN"/>
              </w:rPr>
            </w:pPr>
            <w:r>
              <w:rPr>
                <w:rFonts w:hint="eastAsia"/>
                <w:highlight w:val="none"/>
                <w:lang w:bidi="zh-CN"/>
              </w:rPr>
              <w:t>项目</w:t>
            </w:r>
          </w:p>
        </w:tc>
        <w:tc>
          <w:tcPr>
            <w:tcW w:w="3488" w:type="dxa"/>
            <w:gridSpan w:val="2"/>
            <w:shd w:val="clear" w:color="auto" w:fill="auto"/>
          </w:tcPr>
          <w:p>
            <w:pPr>
              <w:pStyle w:val="313"/>
              <w:spacing w:line="240" w:lineRule="auto"/>
              <w:rPr>
                <w:highlight w:val="none"/>
                <w:lang w:bidi="zh-CN"/>
              </w:rPr>
            </w:pPr>
            <w:r>
              <w:rPr>
                <w:rFonts w:hint="eastAsia"/>
                <w:highlight w:val="none"/>
                <w:lang w:bidi="zh-CN"/>
              </w:rPr>
              <w:t>废水污染物</w:t>
            </w:r>
          </w:p>
        </w:tc>
        <w:tc>
          <w:tcPr>
            <w:tcW w:w="3489" w:type="dxa"/>
            <w:gridSpan w:val="3"/>
            <w:shd w:val="clear" w:color="auto" w:fill="auto"/>
          </w:tcPr>
          <w:p>
            <w:pPr>
              <w:pStyle w:val="313"/>
              <w:spacing w:line="240" w:lineRule="auto"/>
              <w:rPr>
                <w:highlight w:val="none"/>
                <w:lang w:bidi="zh-CN"/>
              </w:rPr>
            </w:pPr>
            <w:r>
              <w:rPr>
                <w:rFonts w:hint="eastAsia"/>
                <w:highlight w:val="none"/>
                <w:lang w:bidi="zh-CN"/>
              </w:rPr>
              <w:t>大气污染物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vMerge w:val="restart"/>
            <w:shd w:val="clear" w:color="auto" w:fill="auto"/>
            <w:vAlign w:val="center"/>
          </w:tcPr>
          <w:p>
            <w:pPr>
              <w:pStyle w:val="313"/>
              <w:spacing w:line="240" w:lineRule="auto"/>
              <w:rPr>
                <w:highlight w:val="none"/>
                <w:lang w:bidi="zh-CN"/>
              </w:rPr>
            </w:pPr>
            <w:r>
              <w:rPr>
                <w:rFonts w:hint="eastAsia"/>
                <w:highlight w:val="none"/>
                <w:lang w:bidi="zh-CN"/>
              </w:rPr>
              <w:t>总量控制指标</w:t>
            </w:r>
          </w:p>
        </w:tc>
        <w:tc>
          <w:tcPr>
            <w:tcW w:w="1744" w:type="dxa"/>
            <w:shd w:val="clear" w:color="auto" w:fill="auto"/>
          </w:tcPr>
          <w:p>
            <w:pPr>
              <w:pStyle w:val="313"/>
              <w:spacing w:line="240" w:lineRule="auto"/>
              <w:rPr>
                <w:highlight w:val="none"/>
                <w:lang w:bidi="zh-CN"/>
              </w:rPr>
            </w:pPr>
            <w:r>
              <w:rPr>
                <w:rFonts w:hint="eastAsia"/>
                <w:highlight w:val="none"/>
                <w:lang w:bidi="zh-CN"/>
              </w:rPr>
              <w:t>COD</w:t>
            </w:r>
          </w:p>
        </w:tc>
        <w:tc>
          <w:tcPr>
            <w:tcW w:w="1744" w:type="dxa"/>
            <w:shd w:val="clear" w:color="auto" w:fill="auto"/>
          </w:tcPr>
          <w:p>
            <w:pPr>
              <w:pStyle w:val="313"/>
              <w:spacing w:line="240" w:lineRule="auto"/>
              <w:rPr>
                <w:highlight w:val="none"/>
                <w:lang w:bidi="zh-CN"/>
              </w:rPr>
            </w:pPr>
            <w:r>
              <w:rPr>
                <w:rFonts w:hint="eastAsia"/>
                <w:highlight w:val="none"/>
                <w:lang w:bidi="zh-CN"/>
              </w:rPr>
              <w:t>氨氮</w:t>
            </w:r>
          </w:p>
        </w:tc>
        <w:tc>
          <w:tcPr>
            <w:tcW w:w="1397" w:type="dxa"/>
            <w:shd w:val="clear" w:color="auto" w:fill="auto"/>
          </w:tcPr>
          <w:p>
            <w:pPr>
              <w:pStyle w:val="313"/>
              <w:spacing w:line="240" w:lineRule="auto"/>
              <w:rPr>
                <w:highlight w:val="none"/>
                <w:lang w:bidi="zh-CN"/>
              </w:rPr>
            </w:pPr>
            <w:r>
              <w:rPr>
                <w:rFonts w:hint="eastAsia"/>
                <w:highlight w:val="none"/>
                <w:lang w:bidi="zh-CN"/>
              </w:rPr>
              <w:t>SO</w:t>
            </w:r>
            <w:r>
              <w:rPr>
                <w:rFonts w:hint="eastAsia"/>
                <w:highlight w:val="none"/>
                <w:vertAlign w:val="subscript"/>
                <w:lang w:bidi="zh-CN"/>
              </w:rPr>
              <w:t>2</w:t>
            </w:r>
          </w:p>
        </w:tc>
        <w:tc>
          <w:tcPr>
            <w:tcW w:w="992" w:type="dxa"/>
            <w:shd w:val="clear" w:color="auto" w:fill="auto"/>
          </w:tcPr>
          <w:p>
            <w:pPr>
              <w:pStyle w:val="313"/>
              <w:spacing w:line="240" w:lineRule="auto"/>
              <w:rPr>
                <w:highlight w:val="none"/>
                <w:lang w:bidi="zh-CN"/>
              </w:rPr>
            </w:pPr>
            <w:r>
              <w:rPr>
                <w:rFonts w:hint="eastAsia"/>
                <w:highlight w:val="none"/>
                <w:lang w:bidi="zh-CN"/>
              </w:rPr>
              <w:t>NOx</w:t>
            </w:r>
          </w:p>
        </w:tc>
        <w:tc>
          <w:tcPr>
            <w:tcW w:w="1100" w:type="dxa"/>
            <w:shd w:val="clear" w:color="auto" w:fill="auto"/>
          </w:tcPr>
          <w:p>
            <w:pPr>
              <w:pStyle w:val="313"/>
              <w:spacing w:line="240" w:lineRule="auto"/>
              <w:rPr>
                <w:highlight w:val="none"/>
                <w:lang w:bidi="zh-CN"/>
              </w:rPr>
            </w:pPr>
            <w:r>
              <w:rPr>
                <w:rFonts w:hint="eastAsia"/>
                <w:highlight w:val="none"/>
                <w:lang w:bidi="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vMerge w:val="continue"/>
            <w:shd w:val="clear" w:color="auto" w:fill="auto"/>
          </w:tcPr>
          <w:p>
            <w:pPr>
              <w:pStyle w:val="313"/>
              <w:spacing w:line="240" w:lineRule="auto"/>
              <w:rPr>
                <w:highlight w:val="none"/>
                <w:lang w:bidi="zh-CN"/>
              </w:rPr>
            </w:pPr>
          </w:p>
        </w:tc>
        <w:tc>
          <w:tcPr>
            <w:tcW w:w="1744" w:type="dxa"/>
            <w:shd w:val="clear" w:color="auto" w:fill="auto"/>
          </w:tcPr>
          <w:p>
            <w:pPr>
              <w:pStyle w:val="313"/>
              <w:spacing w:line="240" w:lineRule="auto"/>
              <w:rPr>
                <w:highlight w:val="none"/>
                <w:lang w:bidi="zh-CN"/>
              </w:rPr>
            </w:pPr>
            <w:r>
              <w:rPr>
                <w:rFonts w:hint="eastAsia"/>
                <w:highlight w:val="none"/>
                <w:lang w:bidi="zh-CN"/>
              </w:rPr>
              <w:t>0</w:t>
            </w:r>
          </w:p>
        </w:tc>
        <w:tc>
          <w:tcPr>
            <w:tcW w:w="1744" w:type="dxa"/>
            <w:shd w:val="clear" w:color="auto" w:fill="auto"/>
          </w:tcPr>
          <w:p>
            <w:pPr>
              <w:pStyle w:val="313"/>
              <w:spacing w:line="240" w:lineRule="auto"/>
              <w:rPr>
                <w:highlight w:val="none"/>
                <w:lang w:bidi="zh-CN"/>
              </w:rPr>
            </w:pPr>
            <w:r>
              <w:rPr>
                <w:rFonts w:hint="eastAsia"/>
                <w:highlight w:val="none"/>
                <w:lang w:bidi="zh-CN"/>
              </w:rPr>
              <w:t>0</w:t>
            </w:r>
          </w:p>
        </w:tc>
        <w:tc>
          <w:tcPr>
            <w:tcW w:w="1397" w:type="dxa"/>
            <w:shd w:val="clear" w:color="auto" w:fill="auto"/>
          </w:tcPr>
          <w:p>
            <w:pPr>
              <w:pStyle w:val="313"/>
              <w:spacing w:line="240" w:lineRule="auto"/>
              <w:rPr>
                <w:highlight w:val="none"/>
                <w:lang w:bidi="zh-CN"/>
              </w:rPr>
            </w:pPr>
            <w:r>
              <w:rPr>
                <w:rFonts w:hint="eastAsia"/>
                <w:highlight w:val="none"/>
                <w:lang w:bidi="zh-CN"/>
              </w:rPr>
              <w:t>0</w:t>
            </w:r>
          </w:p>
        </w:tc>
        <w:tc>
          <w:tcPr>
            <w:tcW w:w="992" w:type="dxa"/>
            <w:shd w:val="clear" w:color="auto" w:fill="auto"/>
          </w:tcPr>
          <w:p>
            <w:pPr>
              <w:pStyle w:val="313"/>
              <w:spacing w:line="240" w:lineRule="auto"/>
              <w:rPr>
                <w:highlight w:val="none"/>
                <w:lang w:bidi="zh-CN"/>
              </w:rPr>
            </w:pPr>
            <w:r>
              <w:rPr>
                <w:rFonts w:hint="eastAsia"/>
                <w:highlight w:val="none"/>
                <w:lang w:bidi="zh-CN"/>
              </w:rPr>
              <w:t>0</w:t>
            </w:r>
          </w:p>
        </w:tc>
        <w:tc>
          <w:tcPr>
            <w:tcW w:w="1100" w:type="dxa"/>
            <w:shd w:val="clear" w:color="auto" w:fill="auto"/>
          </w:tcPr>
          <w:p>
            <w:pPr>
              <w:pStyle w:val="313"/>
              <w:spacing w:line="240" w:lineRule="auto"/>
              <w:rPr>
                <w:rFonts w:hint="default"/>
                <w:highlight w:val="none"/>
                <w:lang w:val="en-US" w:bidi="zh-CN"/>
              </w:rPr>
            </w:pPr>
            <w:r>
              <w:rPr>
                <w:rFonts w:hint="eastAsia"/>
                <w:highlight w:val="none"/>
                <w:lang w:val="en-US" w:bidi="zh-CN"/>
              </w:rPr>
              <w:t>2.88</w:t>
            </w:r>
          </w:p>
        </w:tc>
      </w:tr>
    </w:tbl>
    <w:p>
      <w:pPr>
        <w:ind w:firstLine="480"/>
        <w:jc w:val="both"/>
        <w:rPr>
          <w:bCs/>
          <w:sz w:val="24"/>
          <w:szCs w:val="24"/>
          <w:highlight w:val="none"/>
        </w:rPr>
      </w:pPr>
      <w:r>
        <w:rPr>
          <w:rFonts w:hint="eastAsia"/>
          <w:bCs/>
          <w:sz w:val="24"/>
          <w:szCs w:val="24"/>
          <w:highlight w:val="none"/>
        </w:rPr>
        <w:t>（</w:t>
      </w:r>
      <w:r>
        <w:rPr>
          <w:rFonts w:hint="eastAsia"/>
          <w:bCs/>
          <w:sz w:val="24"/>
          <w:szCs w:val="24"/>
          <w:highlight w:val="none"/>
          <w:lang w:val="en-US" w:eastAsia="zh-CN"/>
        </w:rPr>
        <w:t>3</w:t>
      </w:r>
      <w:r>
        <w:rPr>
          <w:rFonts w:hint="eastAsia"/>
          <w:bCs/>
          <w:sz w:val="24"/>
          <w:szCs w:val="24"/>
          <w:highlight w:val="none"/>
        </w:rPr>
        <w:t>）</w:t>
      </w:r>
      <w:r>
        <w:rPr>
          <w:rFonts w:hint="eastAsia"/>
          <w:bCs/>
          <w:sz w:val="24"/>
          <w:szCs w:val="24"/>
          <w:highlight w:val="none"/>
          <w:lang w:val="en-US" w:eastAsia="zh-CN"/>
        </w:rPr>
        <w:t>全厂</w:t>
      </w:r>
      <w:r>
        <w:rPr>
          <w:rFonts w:hint="eastAsia"/>
          <w:bCs/>
          <w:sz w:val="24"/>
          <w:szCs w:val="24"/>
          <w:highlight w:val="none"/>
        </w:rPr>
        <w:t>总量控制指标</w:t>
      </w:r>
    </w:p>
    <w:p>
      <w:pPr>
        <w:ind w:firstLine="480"/>
        <w:jc w:val="both"/>
        <w:rPr>
          <w:bCs/>
          <w:sz w:val="24"/>
          <w:szCs w:val="24"/>
          <w:highlight w:val="none"/>
        </w:rPr>
      </w:pPr>
      <w:r>
        <w:rPr>
          <w:rFonts w:hint="eastAsia"/>
          <w:bCs/>
          <w:sz w:val="24"/>
          <w:szCs w:val="24"/>
          <w:highlight w:val="none"/>
          <w:lang w:val="en-US" w:eastAsia="zh-CN"/>
        </w:rPr>
        <w:t>现有工程总量控制指标：</w:t>
      </w:r>
      <w:r>
        <w:rPr>
          <w:rFonts w:hint="eastAsia"/>
          <w:bCs/>
          <w:sz w:val="24"/>
          <w:szCs w:val="24"/>
          <w:highlight w:val="none"/>
        </w:rPr>
        <w:t>SO</w:t>
      </w:r>
      <w:r>
        <w:rPr>
          <w:rFonts w:hint="eastAsia"/>
          <w:bCs/>
          <w:sz w:val="24"/>
          <w:szCs w:val="24"/>
          <w:highlight w:val="none"/>
          <w:vertAlign w:val="subscript"/>
        </w:rPr>
        <w:t>2</w:t>
      </w:r>
      <w:r>
        <w:rPr>
          <w:rFonts w:hint="eastAsia"/>
          <w:bCs/>
          <w:sz w:val="24"/>
          <w:szCs w:val="24"/>
          <w:highlight w:val="none"/>
        </w:rPr>
        <w:t>：0t/a、NO</w:t>
      </w:r>
      <w:r>
        <w:rPr>
          <w:rFonts w:hint="eastAsia"/>
          <w:bCs/>
          <w:sz w:val="24"/>
          <w:szCs w:val="24"/>
          <w:highlight w:val="none"/>
          <w:vertAlign w:val="subscript"/>
        </w:rPr>
        <w:t>X</w:t>
      </w:r>
      <w:r>
        <w:rPr>
          <w:rFonts w:hint="eastAsia"/>
          <w:bCs/>
          <w:sz w:val="24"/>
          <w:szCs w:val="24"/>
          <w:highlight w:val="none"/>
        </w:rPr>
        <w:t>：0t/a，颗粒物：</w:t>
      </w:r>
      <w:r>
        <w:rPr>
          <w:rFonts w:hint="eastAsia"/>
          <w:bCs/>
          <w:sz w:val="24"/>
          <w:szCs w:val="24"/>
          <w:highlight w:val="none"/>
          <w:lang w:val="en-US" w:eastAsia="zh-CN"/>
        </w:rPr>
        <w:t>2.88</w:t>
      </w:r>
      <w:r>
        <w:rPr>
          <w:rFonts w:hint="eastAsia"/>
          <w:bCs/>
          <w:sz w:val="24"/>
          <w:szCs w:val="24"/>
          <w:highlight w:val="none"/>
        </w:rPr>
        <w:t>t/a；COD：0t/a、氨氮：0t/a。</w:t>
      </w:r>
    </w:p>
    <w:p>
      <w:pPr>
        <w:ind w:firstLine="480"/>
        <w:jc w:val="both"/>
        <w:rPr>
          <w:bCs/>
          <w:sz w:val="24"/>
          <w:szCs w:val="24"/>
          <w:highlight w:val="none"/>
        </w:rPr>
      </w:pPr>
      <w:r>
        <w:rPr>
          <w:rFonts w:hint="eastAsia"/>
          <w:bCs/>
          <w:sz w:val="24"/>
          <w:szCs w:val="24"/>
          <w:highlight w:val="none"/>
        </w:rPr>
        <w:t>因此，</w:t>
      </w:r>
      <w:r>
        <w:rPr>
          <w:rFonts w:hint="eastAsia"/>
          <w:bCs/>
          <w:sz w:val="24"/>
          <w:szCs w:val="24"/>
          <w:highlight w:val="none"/>
          <w:lang w:val="en-US" w:eastAsia="zh-CN"/>
        </w:rPr>
        <w:t>本</w:t>
      </w:r>
      <w:r>
        <w:rPr>
          <w:rFonts w:hint="eastAsia"/>
          <w:bCs/>
          <w:sz w:val="24"/>
          <w:szCs w:val="24"/>
          <w:highlight w:val="none"/>
        </w:rPr>
        <w:t>项目建成后</w:t>
      </w:r>
      <w:r>
        <w:rPr>
          <w:rFonts w:hint="eastAsia"/>
          <w:bCs/>
          <w:sz w:val="24"/>
          <w:szCs w:val="24"/>
          <w:highlight w:val="none"/>
          <w:lang w:val="en-US" w:eastAsia="zh-CN"/>
        </w:rPr>
        <w:t>全厂</w:t>
      </w:r>
      <w:r>
        <w:rPr>
          <w:rFonts w:hint="eastAsia"/>
          <w:bCs/>
          <w:sz w:val="24"/>
          <w:szCs w:val="24"/>
          <w:highlight w:val="none"/>
        </w:rPr>
        <w:t>总量控制指标</w:t>
      </w:r>
      <w:r>
        <w:rPr>
          <w:rFonts w:hint="eastAsia"/>
          <w:bCs/>
          <w:sz w:val="24"/>
          <w:szCs w:val="24"/>
          <w:highlight w:val="none"/>
          <w:lang w:val="en-US" w:eastAsia="zh-CN"/>
        </w:rPr>
        <w:t>为：</w:t>
      </w:r>
      <w:r>
        <w:rPr>
          <w:rFonts w:hint="eastAsia"/>
          <w:bCs/>
          <w:sz w:val="24"/>
          <w:szCs w:val="24"/>
          <w:highlight w:val="none"/>
        </w:rPr>
        <w:t>SO</w:t>
      </w:r>
      <w:r>
        <w:rPr>
          <w:rFonts w:hint="eastAsia"/>
          <w:bCs/>
          <w:sz w:val="24"/>
          <w:szCs w:val="24"/>
          <w:highlight w:val="none"/>
          <w:vertAlign w:val="subscript"/>
        </w:rPr>
        <w:t>2</w:t>
      </w:r>
      <w:r>
        <w:rPr>
          <w:rFonts w:hint="eastAsia"/>
          <w:bCs/>
          <w:sz w:val="24"/>
          <w:szCs w:val="24"/>
          <w:highlight w:val="none"/>
        </w:rPr>
        <w:t>：0t/a、NO</w:t>
      </w:r>
      <w:r>
        <w:rPr>
          <w:rFonts w:hint="eastAsia"/>
          <w:bCs/>
          <w:sz w:val="24"/>
          <w:szCs w:val="24"/>
          <w:highlight w:val="none"/>
          <w:vertAlign w:val="subscript"/>
        </w:rPr>
        <w:t>X</w:t>
      </w:r>
      <w:r>
        <w:rPr>
          <w:rFonts w:hint="eastAsia"/>
          <w:bCs/>
          <w:sz w:val="24"/>
          <w:szCs w:val="24"/>
          <w:highlight w:val="none"/>
        </w:rPr>
        <w:t>：0t/a，颗粒物：</w:t>
      </w:r>
      <w:r>
        <w:rPr>
          <w:rFonts w:hint="eastAsia"/>
          <w:bCs/>
          <w:sz w:val="24"/>
          <w:szCs w:val="24"/>
          <w:highlight w:val="none"/>
          <w:lang w:val="en-US" w:eastAsia="zh-CN"/>
        </w:rPr>
        <w:t>5.76</w:t>
      </w:r>
      <w:r>
        <w:rPr>
          <w:rFonts w:hint="eastAsia"/>
          <w:bCs/>
          <w:sz w:val="24"/>
          <w:szCs w:val="24"/>
          <w:highlight w:val="none"/>
        </w:rPr>
        <w:t>t/a；COD：0t/a、氨氮：0t/a。</w:t>
      </w:r>
    </w:p>
    <w:p>
      <w:pPr>
        <w:pStyle w:val="26"/>
      </w:pP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08" w:name="_Toc536557290"/>
      <w:r>
        <w:rPr>
          <w:rFonts w:hint="eastAsia" w:ascii="Times New Roman" w:hAnsi="Times New Roman" w:eastAsia="宋体"/>
          <w:bCs w:val="0"/>
          <w:snapToGrid w:val="0"/>
          <w:kern w:val="0"/>
          <w:sz w:val="28"/>
          <w:szCs w:val="28"/>
          <w:highlight w:val="none"/>
        </w:rPr>
        <w:t>清洁生产分析</w:t>
      </w:r>
      <w:bookmarkEnd w:id="308"/>
    </w:p>
    <w:p>
      <w:pPr>
        <w:pStyle w:val="227"/>
        <w:spacing w:line="360" w:lineRule="auto"/>
        <w:ind w:firstLine="480"/>
        <w:rPr>
          <w:rFonts w:cs="Times New Roman"/>
          <w:highlight w:val="none"/>
        </w:rPr>
      </w:pPr>
      <w:r>
        <w:rPr>
          <w:rFonts w:cs="Times New Roman"/>
          <w:highlight w:val="none"/>
        </w:rPr>
        <w:t>清洁生产通常是指产品在生产过程和预期消费中，既合理利用自然资源，把对人类和环境的危害降至最小，又能充分满足人类需要，使社会经济效益最大化的一种生产模式。其内涵为：</w:t>
      </w:r>
    </w:p>
    <w:p>
      <w:pPr>
        <w:pStyle w:val="227"/>
        <w:widowControl w:val="0"/>
        <w:spacing w:line="360" w:lineRule="auto"/>
        <w:ind w:firstLine="480"/>
        <w:rPr>
          <w:rFonts w:cs="Times New Roman"/>
          <w:highlight w:val="none"/>
        </w:rPr>
      </w:pPr>
      <w:r>
        <w:rPr>
          <w:rFonts w:hint="eastAsia" w:cs="Times New Roman"/>
          <w:highlight w:val="none"/>
        </w:rPr>
        <w:t>（1）</w:t>
      </w:r>
      <w:r>
        <w:rPr>
          <w:rFonts w:cs="Times New Roman"/>
          <w:highlight w:val="none"/>
        </w:rPr>
        <w:t>自然资源和能源利用的合理化：突出的反映在节约能源，节约原材料，利用无毒无害原材料，循环利用物料等；</w:t>
      </w:r>
    </w:p>
    <w:p>
      <w:pPr>
        <w:pStyle w:val="227"/>
        <w:widowControl w:val="0"/>
        <w:spacing w:line="360" w:lineRule="auto"/>
        <w:ind w:firstLine="480"/>
        <w:rPr>
          <w:rFonts w:cs="Times New Roman"/>
          <w:highlight w:val="none"/>
        </w:rPr>
      </w:pPr>
      <w:r>
        <w:rPr>
          <w:rFonts w:hint="eastAsia" w:cs="Times New Roman"/>
          <w:highlight w:val="none"/>
        </w:rPr>
        <w:t>（2）</w:t>
      </w:r>
      <w:r>
        <w:rPr>
          <w:rFonts w:cs="Times New Roman"/>
          <w:highlight w:val="none"/>
        </w:rPr>
        <w:t>经济效益最大化：反应在不断提高生产效率，降低生产成本，增加产品和服务的附加值。要实现经济效益最大化，必须采用高效生产技术和工艺，提高产品质量，降低物耗和能源消耗；</w:t>
      </w:r>
    </w:p>
    <w:p>
      <w:pPr>
        <w:pStyle w:val="227"/>
        <w:widowControl w:val="0"/>
        <w:spacing w:line="360" w:lineRule="auto"/>
        <w:ind w:firstLine="480"/>
        <w:rPr>
          <w:rFonts w:cs="Times New Roman"/>
          <w:highlight w:val="none"/>
        </w:rPr>
      </w:pPr>
      <w:r>
        <w:rPr>
          <w:rFonts w:hint="eastAsia" w:cs="Times New Roman"/>
          <w:highlight w:val="none"/>
        </w:rPr>
        <w:t>（3）</w:t>
      </w:r>
      <w:r>
        <w:rPr>
          <w:rFonts w:cs="Times New Roman"/>
          <w:highlight w:val="none"/>
        </w:rPr>
        <w:t>对人类和环境危害最小化：即把生产活动对环境负面影响降低到最小。为此，企业生产应减小有毒有害物料的使用、采用少废无废生产技术和工艺、使用可回收物料、合理利用产品功能、延长产品寿命，以实现经济效益和环境效益的和谐统一。</w:t>
      </w:r>
    </w:p>
    <w:p>
      <w:pPr>
        <w:pStyle w:val="6"/>
        <w:numPr>
          <w:ilvl w:val="2"/>
          <w:numId w:val="1"/>
        </w:numPr>
        <w:spacing w:before="0" w:after="0"/>
        <w:ind w:left="567"/>
        <w:rPr>
          <w:szCs w:val="28"/>
          <w:highlight w:val="none"/>
        </w:rPr>
      </w:pPr>
      <w:r>
        <w:rPr>
          <w:szCs w:val="28"/>
          <w:highlight w:val="none"/>
        </w:rPr>
        <w:t>清洁生产水平控制</w:t>
      </w:r>
    </w:p>
    <w:p>
      <w:pPr>
        <w:pStyle w:val="227"/>
        <w:widowControl w:val="0"/>
        <w:spacing w:line="360" w:lineRule="auto"/>
        <w:ind w:firstLine="480"/>
        <w:rPr>
          <w:rFonts w:cs="Times New Roman"/>
          <w:highlight w:val="none"/>
        </w:rPr>
      </w:pPr>
      <w:r>
        <w:rPr>
          <w:rFonts w:cs="Times New Roman"/>
          <w:highlight w:val="none"/>
        </w:rPr>
        <w:t>根据《清洁生产标准铁矿采选行业》（HJ/T294-2006），按照清洁生产的一般要求，同时考虑到铁矿采选行业的特点，从装备要求、资源能源利用指标、污染物产量指标、废物回收利用指标和环境管理要求5个指标分析论证项目清洁生产水平。</w:t>
      </w:r>
    </w:p>
    <w:p>
      <w:pPr>
        <w:pStyle w:val="6"/>
        <w:numPr>
          <w:ilvl w:val="2"/>
          <w:numId w:val="1"/>
        </w:numPr>
        <w:spacing w:before="0" w:after="0"/>
        <w:ind w:left="567"/>
        <w:rPr>
          <w:szCs w:val="28"/>
          <w:highlight w:val="none"/>
        </w:rPr>
      </w:pPr>
      <w:r>
        <w:rPr>
          <w:szCs w:val="28"/>
          <w:highlight w:val="none"/>
        </w:rPr>
        <w:t>与行业清洁生产标准对比分析</w:t>
      </w:r>
    </w:p>
    <w:p>
      <w:pPr>
        <w:pStyle w:val="227"/>
        <w:widowControl w:val="0"/>
        <w:spacing w:line="360" w:lineRule="auto"/>
        <w:ind w:firstLine="480"/>
        <w:rPr>
          <w:rFonts w:cs="Times New Roman"/>
          <w:highlight w:val="none"/>
        </w:rPr>
      </w:pPr>
      <w:r>
        <w:rPr>
          <w:rFonts w:cs="Times New Roman"/>
          <w:highlight w:val="none"/>
        </w:rPr>
        <w:t>与《清洁生产标准铁矿采选业》（HJ/T294-2006）进行对比分析，结果见表3.</w:t>
      </w:r>
      <w:r>
        <w:rPr>
          <w:rFonts w:hint="eastAsia" w:cs="Times New Roman"/>
          <w:highlight w:val="none"/>
          <w:lang w:val="en-US" w:eastAsia="zh-CN"/>
        </w:rPr>
        <w:t>5</w:t>
      </w:r>
      <w:r>
        <w:rPr>
          <w:rFonts w:cs="Times New Roman"/>
          <w:highlight w:val="none"/>
        </w:rPr>
        <w:t>-1。</w:t>
      </w:r>
    </w:p>
    <w:p>
      <w:pPr>
        <w:pStyle w:val="227"/>
        <w:widowControl w:val="0"/>
        <w:spacing w:line="240" w:lineRule="auto"/>
        <w:ind w:firstLine="420"/>
        <w:jc w:val="center"/>
        <w:rPr>
          <w:rFonts w:eastAsia="黑体" w:cs="Times New Roman"/>
          <w:kern w:val="2"/>
          <w:sz w:val="21"/>
          <w:szCs w:val="21"/>
          <w:highlight w:val="none"/>
        </w:rPr>
      </w:pPr>
      <w:r>
        <w:rPr>
          <w:rFonts w:hAnsi="黑体" w:eastAsia="黑体" w:cs="Times New Roman"/>
          <w:kern w:val="2"/>
          <w:sz w:val="21"/>
          <w:szCs w:val="21"/>
          <w:highlight w:val="none"/>
        </w:rPr>
        <w:t>表</w:t>
      </w:r>
      <w:r>
        <w:rPr>
          <w:rFonts w:eastAsia="黑体" w:cs="Times New Roman"/>
          <w:kern w:val="2"/>
          <w:sz w:val="21"/>
          <w:szCs w:val="21"/>
          <w:highlight w:val="none"/>
        </w:rPr>
        <w:t>3.</w:t>
      </w:r>
      <w:r>
        <w:rPr>
          <w:rFonts w:hint="eastAsia" w:eastAsia="黑体" w:cs="Times New Roman"/>
          <w:kern w:val="2"/>
          <w:sz w:val="21"/>
          <w:szCs w:val="21"/>
          <w:highlight w:val="none"/>
          <w:lang w:val="en-US" w:eastAsia="zh-CN"/>
        </w:rPr>
        <w:t>5</w:t>
      </w:r>
      <w:r>
        <w:rPr>
          <w:rFonts w:eastAsia="黑体" w:cs="Times New Roman"/>
          <w:kern w:val="2"/>
          <w:sz w:val="21"/>
          <w:szCs w:val="21"/>
          <w:highlight w:val="none"/>
        </w:rPr>
        <w:t xml:space="preserve">-1    </w:t>
      </w:r>
      <w:r>
        <w:rPr>
          <w:rFonts w:hAnsi="黑体" w:eastAsia="黑体" w:cs="Times New Roman"/>
          <w:kern w:val="2"/>
          <w:sz w:val="21"/>
          <w:szCs w:val="21"/>
          <w:highlight w:val="none"/>
        </w:rPr>
        <w:t>项目清洁生产水平指标对比情况</w:t>
      </w:r>
    </w:p>
    <w:tbl>
      <w:tblPr>
        <w:tblStyle w:val="4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7"/>
        <w:gridCol w:w="1700"/>
        <w:gridCol w:w="1873"/>
        <w:gridCol w:w="1735"/>
        <w:gridCol w:w="1613"/>
        <w:gridCol w:w="619"/>
        <w:gridCol w:w="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57" w:type="dxa"/>
            <w:vMerge w:val="restart"/>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清洁生产指标等级</w:t>
            </w:r>
          </w:p>
        </w:tc>
        <w:tc>
          <w:tcPr>
            <w:tcW w:w="1700" w:type="dxa"/>
            <w:vMerge w:val="restart"/>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一级</w:t>
            </w:r>
          </w:p>
        </w:tc>
        <w:tc>
          <w:tcPr>
            <w:tcW w:w="1873" w:type="dxa"/>
            <w:vMerge w:val="restart"/>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二级</w:t>
            </w:r>
          </w:p>
        </w:tc>
        <w:tc>
          <w:tcPr>
            <w:tcW w:w="1735" w:type="dxa"/>
            <w:vMerge w:val="restart"/>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三级</w:t>
            </w:r>
          </w:p>
        </w:tc>
        <w:tc>
          <w:tcPr>
            <w:tcW w:w="2263" w:type="dxa"/>
            <w:gridSpan w:val="3"/>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0" w:hRule="atLeast"/>
          <w:tblHeader/>
        </w:trPr>
        <w:tc>
          <w:tcPr>
            <w:tcW w:w="957" w:type="dxa"/>
            <w:vMerge w:val="continue"/>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p>
        </w:tc>
        <w:tc>
          <w:tcPr>
            <w:tcW w:w="1700" w:type="dxa"/>
            <w:vMerge w:val="continue"/>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p>
        </w:tc>
        <w:tc>
          <w:tcPr>
            <w:tcW w:w="1873" w:type="dxa"/>
            <w:vMerge w:val="continue"/>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p>
        </w:tc>
        <w:tc>
          <w:tcPr>
            <w:tcW w:w="1735" w:type="dxa"/>
            <w:vMerge w:val="continue"/>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指标</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级别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trPr>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一、工艺装备要求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0" w:hRule="atLeast"/>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破碎</w:t>
            </w:r>
          </w:p>
          <w:p>
            <w:pPr>
              <w:pStyle w:val="100"/>
              <w:spacing w:line="240" w:lineRule="auto"/>
              <w:rPr>
                <w:color w:val="auto"/>
                <w:kern w:val="2"/>
                <w:highlight w:val="none"/>
              </w:rPr>
            </w:pPr>
            <w:r>
              <w:rPr>
                <w:color w:val="auto"/>
                <w:kern w:val="2"/>
                <w:highlight w:val="none"/>
              </w:rPr>
              <w:t>筛分</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采用国际先进的处理量大、高效超细破碎机等破碎设备，配有除尘净化设施</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采用国内先进的处理量较大，效率较高的超细破碎机等破碎设备，配有除尘净化设施</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采用国内先进的旋回、鄂式、圆锥锤式破碎机等破碎设备，配有除尘净化设施</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w:t>
            </w:r>
            <w:r>
              <w:rPr>
                <w:rFonts w:hint="eastAsia"/>
                <w:color w:val="auto"/>
                <w:kern w:val="2"/>
                <w:highlight w:val="none"/>
              </w:rPr>
              <w:t>处理量较大、效率较高的破碎设备</w:t>
            </w:r>
            <w:r>
              <w:rPr>
                <w:color w:val="auto"/>
                <w:kern w:val="2"/>
                <w:highlight w:val="none"/>
              </w:rPr>
              <w:t>，配有除尘净化设施</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二</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磨矿</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采用国际先进的处理量大、能耗低、效率高的筒式磨矿机、高压辊磨机等磨矿设备</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采用国内先进的处理量较大、能耗较低、效率较高的筒式磨矿机、高压辊磨机等磨矿设备</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采用国内较先进的筒式磨矿、干式自磨、棒磨、球磨等磨矿设备</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采用国内先进的处理量较大、能耗较低、效率较高的湿式球磨机</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二</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6" w:hRule="atLeast"/>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分级</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采用国际先进的分级效率高的高频振动细筛分级机等分级设备</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采用国内先进的分级效率较高的电磁振动筛、高频细筛等分级设备</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采用国内较先进的旋流分级、振动筛、高频细筛等分级设备</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采用国内先进的分级效率较高的高频筛</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38" w:hRule="atLeast"/>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选别</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采用国际先进的回收率高、自动化程度高的大粒度中高场强磁选机和跳汰机、立环脉动高梯度强磁选机、冲气机械搅拌式浮选机等选别设备</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采用国内先进的回收率较高、自动化程度较高的大粒度中高场强磁选机和跳汰机、立环脉动高梯度强磁选机、冲气机械搅拌式浮选机等选别设备</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采用国内较先进的回收率较高的立环式、平环式强磁选机、机械搅拌式浮选机、棒型浮选机等选别设备</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国内高效磁选机</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脱水</w:t>
            </w:r>
          </w:p>
          <w:p>
            <w:pPr>
              <w:pStyle w:val="100"/>
              <w:spacing w:line="240" w:lineRule="auto"/>
              <w:rPr>
                <w:color w:val="auto"/>
                <w:kern w:val="2"/>
                <w:highlight w:val="none"/>
              </w:rPr>
            </w:pPr>
            <w:r>
              <w:rPr>
                <w:color w:val="auto"/>
                <w:kern w:val="2"/>
                <w:highlight w:val="none"/>
              </w:rPr>
              <w:t>过滤</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采用国际先进的效率高、自动化程度高的高效浓缩机和大型高效盘式过滤机等脱水过滤设备</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采用国内先进的脱水过滤效率较高、自动化程度较高的高效浓缩机和大型高效盘式压滤机等脱水过滤设备</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采用国内较先进的脱水过滤效率较高的浓缩机和筒式压滤机等脱水过滤设备</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rFonts w:hint="eastAsia"/>
                <w:color w:val="auto"/>
                <w:kern w:val="2"/>
                <w:highlight w:val="none"/>
              </w:rPr>
              <w:t>国内先进的</w:t>
            </w:r>
            <w:r>
              <w:rPr>
                <w:color w:val="auto"/>
                <w:szCs w:val="21"/>
                <w:highlight w:val="none"/>
              </w:rPr>
              <w:t>盘式过滤机</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二、资源能源利用指标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金属回收率（%）</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≥90</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≥80</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≥70</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rFonts w:hint="eastAsia"/>
                <w:color w:val="auto"/>
                <w:kern w:val="2"/>
                <w:highlight w:val="none"/>
              </w:rPr>
              <w:t>94.8</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电耗</w:t>
            </w:r>
            <w:r>
              <w:rPr>
                <w:rFonts w:hint="eastAsia"/>
                <w:color w:val="auto"/>
                <w:kern w:val="2"/>
                <w:highlight w:val="none"/>
              </w:rPr>
              <w:t>(</w:t>
            </w:r>
            <w:r>
              <w:rPr>
                <w:color w:val="auto"/>
                <w:kern w:val="2"/>
                <w:highlight w:val="none"/>
              </w:rPr>
              <w:t>kW.h/t</w:t>
            </w:r>
            <w:r>
              <w:rPr>
                <w:rFonts w:hint="eastAsia"/>
                <w:color w:val="auto"/>
                <w:kern w:val="2"/>
                <w:highlight w:val="none"/>
              </w:rPr>
              <w: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≤16</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≤28</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≤35</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rFonts w:hint="eastAsia"/>
                <w:color w:val="auto"/>
                <w:kern w:val="2"/>
                <w:highlight w:val="none"/>
              </w:rPr>
              <w:t>25.71</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二</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水耗（m</w:t>
            </w:r>
            <w:r>
              <w:rPr>
                <w:color w:val="auto"/>
                <w:kern w:val="2"/>
                <w:highlight w:val="none"/>
                <w:vertAlign w:val="superscript"/>
              </w:rPr>
              <w:t>3</w:t>
            </w:r>
            <w:r>
              <w:rPr>
                <w:color w:val="auto"/>
                <w:kern w:val="2"/>
                <w:highlight w:val="none"/>
              </w:rPr>
              <w:t>/t）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≤2</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≤7</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≤10</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rFonts w:hint="default" w:eastAsia="宋体"/>
                <w:color w:val="auto"/>
                <w:kern w:val="2"/>
                <w:highlight w:val="none"/>
                <w:lang w:val="en-US" w:eastAsia="zh-CN"/>
              </w:rPr>
            </w:pPr>
            <w:r>
              <w:rPr>
                <w:rFonts w:hint="eastAsia"/>
                <w:color w:val="auto"/>
                <w:kern w:val="2"/>
                <w:highlight w:val="none"/>
                <w:lang w:val="en-US" w:eastAsia="zh-CN"/>
              </w:rPr>
              <w:t>0.13</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一</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三、污染物产生指标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废水产生量（m</w:t>
            </w:r>
            <w:r>
              <w:rPr>
                <w:color w:val="auto"/>
                <w:kern w:val="2"/>
                <w:highlight w:val="none"/>
                <w:vertAlign w:val="superscript"/>
              </w:rPr>
              <w:t>3</w:t>
            </w:r>
            <w:r>
              <w:rPr>
                <w:color w:val="auto"/>
                <w:kern w:val="2"/>
                <w:highlight w:val="none"/>
              </w:rPr>
              <w:t>/t）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≤0.1</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≤0.7</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≤1.5</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悬浮物（kg/t）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≤0.01</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≤0.21</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≤0.60</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化学需氧量（kg/t）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≤0.01</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≤0.11</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≤0.75</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四、废物回收利用指标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工业水重复利用率（%）</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≥95</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≥90</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≥85</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rFonts w:hint="eastAsia" w:eastAsia="宋体"/>
                <w:color w:val="auto"/>
                <w:kern w:val="2"/>
                <w:highlight w:val="none"/>
                <w:lang w:eastAsia="zh-CN"/>
              </w:rPr>
            </w:pPr>
            <w:r>
              <w:rPr>
                <w:rFonts w:hint="eastAsia"/>
                <w:color w:val="auto"/>
                <w:kern w:val="2"/>
                <w:highlight w:val="none"/>
              </w:rPr>
              <w:t>95.</w:t>
            </w:r>
            <w:r>
              <w:rPr>
                <w:rFonts w:hint="eastAsia"/>
                <w:color w:val="auto"/>
                <w:kern w:val="2"/>
                <w:highlight w:val="none"/>
                <w:lang w:val="en-US" w:eastAsia="zh-CN"/>
              </w:rPr>
              <w:t>9</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二</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尾矿综合利用率（%）</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≥30</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≥15</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≥8</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100</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五、环境管理要求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jc w:val="both"/>
              <w:rPr>
                <w:color w:val="auto"/>
                <w:kern w:val="2"/>
                <w:highlight w:val="none"/>
              </w:rPr>
            </w:pPr>
            <w:r>
              <w:rPr>
                <w:color w:val="auto"/>
                <w:kern w:val="2"/>
                <w:highlight w:val="none"/>
              </w:rPr>
              <w:t>严格按照《清洁生产标准铁矿采选业》（HJ/T294-2006）中的环境管理要求，组织实施清洁生产，确保达到国内铁矿行业清洁生产先进水平。</w:t>
            </w:r>
          </w:p>
        </w:tc>
      </w:tr>
    </w:tbl>
    <w:p>
      <w:pPr>
        <w:pStyle w:val="6"/>
        <w:numPr>
          <w:ilvl w:val="2"/>
          <w:numId w:val="1"/>
        </w:numPr>
        <w:spacing w:beforeLines="50" w:after="0"/>
        <w:ind w:left="567"/>
        <w:rPr>
          <w:szCs w:val="28"/>
          <w:highlight w:val="none"/>
        </w:rPr>
      </w:pPr>
      <w:r>
        <w:rPr>
          <w:szCs w:val="28"/>
          <w:highlight w:val="none"/>
        </w:rPr>
        <w:t>清洁生产水平分析</w:t>
      </w:r>
    </w:p>
    <w:p>
      <w:pPr>
        <w:pStyle w:val="227"/>
        <w:widowControl w:val="0"/>
        <w:spacing w:line="360" w:lineRule="auto"/>
        <w:ind w:firstLine="480"/>
        <w:rPr>
          <w:rFonts w:cs="Times New Roman"/>
          <w:highlight w:val="none"/>
        </w:rPr>
      </w:pPr>
      <w:r>
        <w:rPr>
          <w:rFonts w:cs="Times New Roman"/>
          <w:highlight w:val="none"/>
        </w:rPr>
        <w:t>由表3.</w:t>
      </w:r>
      <w:r>
        <w:rPr>
          <w:rFonts w:hint="eastAsia" w:cs="Times New Roman"/>
          <w:highlight w:val="none"/>
          <w:lang w:val="en-US" w:eastAsia="zh-CN"/>
        </w:rPr>
        <w:t>5</w:t>
      </w:r>
      <w:r>
        <w:rPr>
          <w:rFonts w:cs="Times New Roman"/>
          <w:highlight w:val="none"/>
        </w:rPr>
        <w:t>-1可知，项目工艺装备达到HJ/T294-2006</w:t>
      </w:r>
      <w:r>
        <w:rPr>
          <w:rFonts w:hint="eastAsia" w:cs="Times New Roman"/>
          <w:highlight w:val="none"/>
        </w:rPr>
        <w:t>二</w:t>
      </w:r>
      <w:r>
        <w:rPr>
          <w:rFonts w:cs="Times New Roman"/>
          <w:highlight w:val="none"/>
        </w:rPr>
        <w:t>级水平；</w:t>
      </w:r>
      <w:r>
        <w:rPr>
          <w:rFonts w:hint="eastAsia" w:cs="Times New Roman"/>
          <w:highlight w:val="none"/>
        </w:rPr>
        <w:t>电耗指标达到</w:t>
      </w:r>
      <w:r>
        <w:rPr>
          <w:rFonts w:cs="Times New Roman"/>
          <w:highlight w:val="none"/>
        </w:rPr>
        <w:t>HJ/T294-2006</w:t>
      </w:r>
      <w:r>
        <w:rPr>
          <w:rFonts w:hint="eastAsia" w:cs="Times New Roman"/>
          <w:highlight w:val="none"/>
        </w:rPr>
        <w:t>二</w:t>
      </w:r>
      <w:r>
        <w:rPr>
          <w:rFonts w:cs="Times New Roman"/>
          <w:highlight w:val="none"/>
        </w:rPr>
        <w:t>级水平；</w:t>
      </w:r>
      <w:r>
        <w:rPr>
          <w:rFonts w:hint="eastAsia" w:cs="Times New Roman"/>
          <w:highlight w:val="none"/>
        </w:rPr>
        <w:t>水耗、</w:t>
      </w:r>
      <w:r>
        <w:rPr>
          <w:rFonts w:cs="Times New Roman"/>
          <w:highlight w:val="none"/>
        </w:rPr>
        <w:t>金属回收率达到HJ/T294-2006一级水平；污染物产生指标达到HJ/T294-2006一级水平；</w:t>
      </w:r>
      <w:r>
        <w:rPr>
          <w:kern w:val="2"/>
          <w:highlight w:val="none"/>
        </w:rPr>
        <w:t>工业水重复利用率</w:t>
      </w:r>
      <w:r>
        <w:rPr>
          <w:rFonts w:hint="eastAsia"/>
          <w:kern w:val="2"/>
          <w:highlight w:val="none"/>
        </w:rPr>
        <w:t>达到</w:t>
      </w:r>
      <w:r>
        <w:rPr>
          <w:rFonts w:cs="Times New Roman"/>
          <w:highlight w:val="none"/>
        </w:rPr>
        <w:t>HJ/T294-2006</w:t>
      </w:r>
      <w:r>
        <w:rPr>
          <w:rFonts w:hint="eastAsia" w:cs="Times New Roman"/>
          <w:highlight w:val="none"/>
        </w:rPr>
        <w:t>二</w:t>
      </w:r>
      <w:r>
        <w:rPr>
          <w:rFonts w:cs="Times New Roman"/>
          <w:highlight w:val="none"/>
        </w:rPr>
        <w:t>级水平</w:t>
      </w:r>
      <w:r>
        <w:rPr>
          <w:rFonts w:hint="eastAsia"/>
          <w:kern w:val="2"/>
          <w:highlight w:val="none"/>
        </w:rPr>
        <w:t>，</w:t>
      </w:r>
      <w:r>
        <w:rPr>
          <w:rFonts w:hint="eastAsia" w:cs="Times New Roman"/>
          <w:highlight w:val="none"/>
        </w:rPr>
        <w:t>尾矿综合利用率</w:t>
      </w:r>
      <w:r>
        <w:rPr>
          <w:rFonts w:cs="Times New Roman"/>
          <w:highlight w:val="none"/>
        </w:rPr>
        <w:t>达到HJ/T294-2006一级水平；环境管理要求达二级水平。</w:t>
      </w:r>
    </w:p>
    <w:p>
      <w:pPr>
        <w:pStyle w:val="6"/>
        <w:numPr>
          <w:ilvl w:val="2"/>
          <w:numId w:val="1"/>
        </w:numPr>
        <w:spacing w:before="0" w:after="0"/>
        <w:ind w:left="567"/>
        <w:rPr>
          <w:szCs w:val="28"/>
          <w:highlight w:val="none"/>
        </w:rPr>
      </w:pPr>
      <w:r>
        <w:rPr>
          <w:szCs w:val="28"/>
          <w:highlight w:val="none"/>
        </w:rPr>
        <w:t>国内同行业类比分析</w:t>
      </w:r>
    </w:p>
    <w:p>
      <w:pPr>
        <w:pStyle w:val="227"/>
        <w:spacing w:line="360" w:lineRule="auto"/>
        <w:ind w:firstLine="480"/>
        <w:rPr>
          <w:rFonts w:cs="Times New Roman"/>
          <w:highlight w:val="none"/>
        </w:rPr>
      </w:pPr>
      <w:r>
        <w:rPr>
          <w:rFonts w:cs="Times New Roman"/>
          <w:highlight w:val="none"/>
        </w:rPr>
        <w:t>项目所用原料为</w:t>
      </w:r>
      <w:r>
        <w:rPr>
          <w:rFonts w:hint="eastAsia" w:cs="Times New Roman"/>
          <w:highlight w:val="none"/>
        </w:rPr>
        <w:t>2</w:t>
      </w:r>
      <w:r>
        <w:rPr>
          <w:rFonts w:hint="eastAsia" w:cs="Times New Roman"/>
          <w:highlight w:val="none"/>
          <w:lang w:val="en-US" w:eastAsia="zh-CN"/>
        </w:rPr>
        <w:t>9</w:t>
      </w:r>
      <w:r>
        <w:rPr>
          <w:rFonts w:cs="Times New Roman"/>
          <w:highlight w:val="none"/>
        </w:rPr>
        <w:t>%</w:t>
      </w:r>
      <w:r>
        <w:rPr>
          <w:rFonts w:hint="eastAsia" w:cs="Times New Roman"/>
          <w:highlight w:val="none"/>
        </w:rPr>
        <w:t>品位的</w:t>
      </w:r>
      <w:r>
        <w:rPr>
          <w:rFonts w:cs="Times New Roman"/>
          <w:highlight w:val="none"/>
        </w:rPr>
        <w:t>铁矿石，矿物组分简单，项目采用破碎、球磨、磁选工艺，在生产过程中不添加任何药剂，为传统工艺，技术较为成熟；类比同类行业项目</w:t>
      </w:r>
      <w:r>
        <w:rPr>
          <w:rFonts w:hint="eastAsia" w:cs="Times New Roman"/>
          <w:highlight w:val="none"/>
        </w:rPr>
        <w:t>，本项目基本</w:t>
      </w:r>
      <w:r>
        <w:rPr>
          <w:rFonts w:cs="Times New Roman"/>
          <w:highlight w:val="none"/>
        </w:rPr>
        <w:t>达到国内清洁生产先进水平。</w:t>
      </w:r>
    </w:p>
    <w:p>
      <w:pPr>
        <w:ind w:firstLine="480"/>
        <w:jc w:val="both"/>
        <w:rPr>
          <w:sz w:val="24"/>
          <w:highlight w:val="none"/>
        </w:rPr>
      </w:pPr>
      <w:r>
        <w:rPr>
          <w:rFonts w:hint="eastAsia"/>
          <w:sz w:val="24"/>
          <w:highlight w:val="none"/>
        </w:rPr>
        <w:t>项目在运行过程中，应不断加强生产技术和设备管理，切实做好环境保护工作，进一步净化环境，控制生产过程中的无组织排放，杜绝“跑、冒、滴、漏”，本次评价提出如下建议：</w:t>
      </w:r>
    </w:p>
    <w:p>
      <w:pPr>
        <w:ind w:firstLine="480"/>
        <w:rPr>
          <w:sz w:val="24"/>
          <w:highlight w:val="none"/>
        </w:rPr>
      </w:pPr>
      <w:r>
        <w:rPr>
          <w:rFonts w:hint="eastAsia"/>
          <w:sz w:val="24"/>
          <w:highlight w:val="none"/>
        </w:rPr>
        <w:t>（1）充分利用好各种资源、能源，提高原料、能源利用率，减少废弃物的产生。</w:t>
      </w:r>
    </w:p>
    <w:p>
      <w:pPr>
        <w:ind w:firstLine="480"/>
        <w:rPr>
          <w:sz w:val="24"/>
          <w:highlight w:val="none"/>
        </w:rPr>
      </w:pPr>
      <w:r>
        <w:rPr>
          <w:rFonts w:hint="eastAsia"/>
          <w:sz w:val="24"/>
          <w:highlight w:val="none"/>
        </w:rPr>
        <w:t>（2）生产过程严格按工艺要求稳定工艺操作，减少无序排放，避免对大气造成污染。</w:t>
      </w:r>
    </w:p>
    <w:p>
      <w:pPr>
        <w:ind w:firstLine="480"/>
        <w:rPr>
          <w:sz w:val="24"/>
          <w:highlight w:val="none"/>
        </w:rPr>
      </w:pPr>
      <w:r>
        <w:rPr>
          <w:rFonts w:hint="eastAsia"/>
          <w:sz w:val="24"/>
          <w:highlight w:val="none"/>
        </w:rPr>
        <w:t>（3）加强各物料机泵的维护保养，定期换机械密封，凡是通过检修、更换设备能够解决污染问题的，要及时停产检修、更换设备，绝不能带“病”作业。</w:t>
      </w:r>
    </w:p>
    <w:p>
      <w:pPr>
        <w:ind w:firstLine="480"/>
        <w:rPr>
          <w:sz w:val="24"/>
          <w:highlight w:val="none"/>
        </w:rPr>
      </w:pPr>
      <w:r>
        <w:rPr>
          <w:rFonts w:hint="eastAsia"/>
          <w:sz w:val="24"/>
          <w:highlight w:val="none"/>
        </w:rPr>
        <w:t>（4）必须认真按照生产工艺要求，加强巡检，发现各阀门、流量计、控制仪表、工艺管线等有滴漏现象，应及时处理，杜绝“跑、冒、滴、漏”现象。</w:t>
      </w:r>
    </w:p>
    <w:p>
      <w:pPr>
        <w:ind w:firstLine="480"/>
        <w:rPr>
          <w:sz w:val="24"/>
          <w:highlight w:val="none"/>
        </w:rPr>
      </w:pPr>
      <w:r>
        <w:rPr>
          <w:rFonts w:hint="eastAsia"/>
          <w:sz w:val="24"/>
          <w:highlight w:val="none"/>
        </w:rPr>
        <w:t>（5）一旦出现“跑、冒、滴、漏”现象，工作人员应及时采取合理有效的补救措施，杜绝环境污染事故的发生。</w:t>
      </w:r>
    </w:p>
    <w:p>
      <w:pPr>
        <w:ind w:firstLine="480"/>
        <w:rPr>
          <w:rFonts w:hint="eastAsia"/>
          <w:sz w:val="24"/>
          <w:highlight w:val="none"/>
        </w:rPr>
      </w:pPr>
      <w:r>
        <w:rPr>
          <w:rFonts w:hint="eastAsia"/>
          <w:sz w:val="24"/>
          <w:highlight w:val="none"/>
        </w:rPr>
        <w:t>（6）生产装备符合相关清洁生产标准中国内清洁生产先进要求，设备运行无故障，设备完好率要保持在98%以上。</w:t>
      </w:r>
    </w:p>
    <w:p>
      <w:pPr>
        <w:pStyle w:val="5"/>
        <w:keepLines w:val="0"/>
        <w:widowControl/>
        <w:numPr>
          <w:ilvl w:val="1"/>
          <w:numId w:val="1"/>
        </w:numPr>
        <w:tabs>
          <w:tab w:val="left" w:pos="482"/>
        </w:tabs>
        <w:spacing w:before="0" w:after="0" w:line="360" w:lineRule="auto"/>
        <w:ind w:left="567"/>
        <w:rPr>
          <w:rFonts w:hint="eastAsia" w:ascii="Times New Roman" w:hAnsi="Times New Roman" w:eastAsia="宋体" w:cs="Times New Roman"/>
          <w:bCs w:val="0"/>
          <w:snapToGrid w:val="0"/>
          <w:kern w:val="0"/>
          <w:sz w:val="28"/>
          <w:szCs w:val="28"/>
          <w:highlight w:val="none"/>
          <w:lang w:eastAsia="zh-CN"/>
        </w:rPr>
      </w:pPr>
      <w:bookmarkStart w:id="309" w:name="_Toc20379"/>
      <w:r>
        <w:rPr>
          <w:rFonts w:hint="eastAsia" w:ascii="Times New Roman" w:hAnsi="Times New Roman" w:eastAsia="宋体" w:cs="Times New Roman"/>
          <w:bCs w:val="0"/>
          <w:snapToGrid w:val="0"/>
          <w:kern w:val="0"/>
          <w:sz w:val="28"/>
          <w:szCs w:val="28"/>
          <w:highlight w:val="none"/>
          <w:lang w:eastAsia="zh-CN"/>
        </w:rPr>
        <w:t>污染物排放量“三本账”</w:t>
      </w:r>
      <w:bookmarkEnd w:id="309"/>
    </w:p>
    <w:p>
      <w:pPr>
        <w:ind w:firstLine="480"/>
        <w:rPr>
          <w:rFonts w:hint="eastAsia"/>
          <w:sz w:val="24"/>
          <w:szCs w:val="24"/>
          <w:highlight w:val="none"/>
          <w:lang w:val="en-US" w:eastAsia="zh-CN"/>
        </w:rPr>
      </w:pPr>
      <w:r>
        <w:rPr>
          <w:rFonts w:hint="eastAsia"/>
          <w:sz w:val="24"/>
          <w:szCs w:val="24"/>
          <w:highlight w:val="none"/>
          <w:lang w:eastAsia="zh-CN"/>
        </w:rPr>
        <w:t>本项目实施后全厂污染物排放量“三本账”见表</w:t>
      </w:r>
      <w:r>
        <w:rPr>
          <w:rFonts w:hint="eastAsia"/>
          <w:sz w:val="24"/>
          <w:szCs w:val="24"/>
          <w:highlight w:val="none"/>
          <w:lang w:val="en-US" w:eastAsia="zh-CN"/>
        </w:rPr>
        <w:t>3.6-1。</w:t>
      </w:r>
    </w:p>
    <w:p>
      <w:pPr>
        <w:ind w:firstLine="420"/>
        <w:jc w:val="center"/>
        <w:rPr>
          <w:rFonts w:eastAsia="黑体"/>
          <w:kern w:val="2"/>
          <w:sz w:val="21"/>
          <w:szCs w:val="21"/>
          <w:highlight w:val="none"/>
        </w:rPr>
      </w:pPr>
      <w:r>
        <w:rPr>
          <w:rFonts w:hint="eastAsia" w:eastAsia="黑体"/>
          <w:kern w:val="2"/>
          <w:sz w:val="21"/>
          <w:szCs w:val="21"/>
          <w:highlight w:val="none"/>
        </w:rPr>
        <w:t>表</w:t>
      </w:r>
      <w:r>
        <w:rPr>
          <w:rFonts w:eastAsia="黑体"/>
          <w:kern w:val="2"/>
          <w:sz w:val="21"/>
          <w:szCs w:val="21"/>
          <w:highlight w:val="none"/>
        </w:rPr>
        <w:t xml:space="preserve"> 3.</w:t>
      </w:r>
      <w:r>
        <w:rPr>
          <w:rFonts w:hint="eastAsia" w:eastAsia="黑体"/>
          <w:kern w:val="2"/>
          <w:sz w:val="21"/>
          <w:szCs w:val="21"/>
          <w:highlight w:val="none"/>
          <w:lang w:val="en-US" w:eastAsia="zh-CN"/>
        </w:rPr>
        <w:t>6-1</w:t>
      </w:r>
      <w:r>
        <w:rPr>
          <w:rFonts w:eastAsia="黑体"/>
          <w:kern w:val="2"/>
          <w:sz w:val="21"/>
          <w:szCs w:val="21"/>
          <w:highlight w:val="none"/>
        </w:rPr>
        <w:t xml:space="preserve">   </w:t>
      </w:r>
      <w:r>
        <w:rPr>
          <w:rFonts w:hint="eastAsia" w:eastAsia="黑体"/>
          <w:kern w:val="2"/>
          <w:sz w:val="21"/>
          <w:szCs w:val="21"/>
          <w:highlight w:val="none"/>
          <w:lang w:eastAsia="zh-CN"/>
        </w:rPr>
        <w:t>改扩建工程实施后全厂污染排放量“三本账”</w:t>
      </w:r>
      <w:r>
        <w:rPr>
          <w:rFonts w:eastAsia="黑体"/>
          <w:kern w:val="2"/>
          <w:sz w:val="21"/>
          <w:szCs w:val="21"/>
          <w:highlight w:val="none"/>
        </w:rPr>
        <w:t xml:space="preserve"> </w:t>
      </w:r>
      <w:r>
        <w:rPr>
          <w:rFonts w:hint="eastAsia" w:eastAsia="黑体"/>
          <w:kern w:val="2"/>
          <w:sz w:val="21"/>
          <w:szCs w:val="21"/>
          <w:highlight w:val="none"/>
        </w:rPr>
        <w:t>单位</w:t>
      </w:r>
      <w:r>
        <w:rPr>
          <w:rFonts w:eastAsia="黑体"/>
          <w:kern w:val="2"/>
          <w:sz w:val="21"/>
          <w:szCs w:val="21"/>
          <w:highlight w:val="none"/>
        </w:rPr>
        <w:t xml:space="preserve"> t/a</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24"/>
        <w:gridCol w:w="1485"/>
        <w:gridCol w:w="1651"/>
        <w:gridCol w:w="1337"/>
        <w:gridCol w:w="964"/>
        <w:gridCol w:w="106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Merge w:val="restart"/>
          </w:tcPr>
          <w:p>
            <w:pPr>
              <w:spacing w:line="240" w:lineRule="auto"/>
              <w:ind w:firstLine="0" w:firstLineChars="0"/>
              <w:jc w:val="center"/>
              <w:rPr>
                <w:bCs/>
                <w:sz w:val="21"/>
                <w:szCs w:val="21"/>
                <w:highlight w:val="none"/>
              </w:rPr>
            </w:pPr>
            <w:r>
              <w:rPr>
                <w:rFonts w:hint="eastAsia"/>
                <w:bCs/>
                <w:sz w:val="21"/>
                <w:szCs w:val="21"/>
                <w:highlight w:val="none"/>
              </w:rPr>
              <w:t>项目</w:t>
            </w:r>
          </w:p>
        </w:tc>
        <w:tc>
          <w:tcPr>
            <w:tcW w:w="3136" w:type="dxa"/>
            <w:gridSpan w:val="2"/>
          </w:tcPr>
          <w:p>
            <w:pPr>
              <w:spacing w:line="240" w:lineRule="auto"/>
              <w:ind w:firstLine="420"/>
              <w:jc w:val="center"/>
              <w:rPr>
                <w:bCs/>
                <w:sz w:val="21"/>
                <w:szCs w:val="21"/>
                <w:highlight w:val="none"/>
              </w:rPr>
            </w:pPr>
            <w:r>
              <w:rPr>
                <w:rFonts w:hint="eastAsia"/>
                <w:bCs/>
                <w:sz w:val="21"/>
                <w:szCs w:val="21"/>
                <w:highlight w:val="none"/>
              </w:rPr>
              <w:t>废水污染物</w:t>
            </w:r>
          </w:p>
        </w:tc>
        <w:tc>
          <w:tcPr>
            <w:tcW w:w="3368" w:type="dxa"/>
            <w:gridSpan w:val="3"/>
          </w:tcPr>
          <w:p>
            <w:pPr>
              <w:spacing w:line="240" w:lineRule="auto"/>
              <w:ind w:firstLine="420"/>
              <w:jc w:val="both"/>
              <w:rPr>
                <w:bCs/>
                <w:sz w:val="21"/>
                <w:szCs w:val="21"/>
                <w:highlight w:val="none"/>
              </w:rPr>
            </w:pPr>
            <w:r>
              <w:rPr>
                <w:rFonts w:hint="eastAsia"/>
                <w:bCs/>
                <w:sz w:val="21"/>
                <w:szCs w:val="21"/>
                <w:highlight w:val="none"/>
              </w:rPr>
              <w:t>大气污染物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Merge w:val="continue"/>
            <w:vAlign w:val="center"/>
          </w:tcPr>
          <w:p>
            <w:pPr>
              <w:spacing w:line="240" w:lineRule="auto"/>
              <w:ind w:firstLine="0" w:firstLineChars="0"/>
              <w:jc w:val="center"/>
              <w:rPr>
                <w:rFonts w:hint="eastAsia" w:eastAsia="宋体"/>
                <w:bCs/>
                <w:sz w:val="21"/>
                <w:szCs w:val="21"/>
                <w:highlight w:val="none"/>
                <w:lang w:eastAsia="zh-CN"/>
              </w:rPr>
            </w:pPr>
          </w:p>
        </w:tc>
        <w:tc>
          <w:tcPr>
            <w:tcW w:w="1485" w:type="dxa"/>
          </w:tcPr>
          <w:p>
            <w:pPr>
              <w:spacing w:line="240" w:lineRule="auto"/>
              <w:ind w:firstLine="0" w:firstLineChars="0"/>
              <w:jc w:val="center"/>
              <w:rPr>
                <w:bCs/>
                <w:sz w:val="21"/>
                <w:szCs w:val="21"/>
                <w:highlight w:val="none"/>
              </w:rPr>
            </w:pPr>
            <w:r>
              <w:rPr>
                <w:bCs/>
                <w:sz w:val="21"/>
                <w:szCs w:val="21"/>
                <w:highlight w:val="none"/>
              </w:rPr>
              <w:t>COD</w:t>
            </w:r>
          </w:p>
        </w:tc>
        <w:tc>
          <w:tcPr>
            <w:tcW w:w="1651" w:type="dxa"/>
          </w:tcPr>
          <w:p>
            <w:pPr>
              <w:spacing w:line="240" w:lineRule="auto"/>
              <w:ind w:firstLine="0" w:firstLineChars="0"/>
              <w:jc w:val="center"/>
              <w:rPr>
                <w:bCs/>
                <w:sz w:val="21"/>
                <w:szCs w:val="21"/>
                <w:highlight w:val="none"/>
              </w:rPr>
            </w:pPr>
            <w:r>
              <w:rPr>
                <w:rFonts w:hint="eastAsia"/>
                <w:bCs/>
                <w:sz w:val="21"/>
                <w:szCs w:val="21"/>
                <w:highlight w:val="none"/>
              </w:rPr>
              <w:t>氨氮</w:t>
            </w:r>
          </w:p>
        </w:tc>
        <w:tc>
          <w:tcPr>
            <w:tcW w:w="1337" w:type="dxa"/>
          </w:tcPr>
          <w:p>
            <w:pPr>
              <w:spacing w:line="240" w:lineRule="auto"/>
              <w:ind w:firstLine="0" w:firstLineChars="0"/>
              <w:jc w:val="center"/>
              <w:rPr>
                <w:bCs/>
                <w:sz w:val="21"/>
                <w:szCs w:val="21"/>
                <w:highlight w:val="none"/>
              </w:rPr>
            </w:pPr>
            <w:r>
              <w:rPr>
                <w:bCs/>
                <w:sz w:val="21"/>
                <w:szCs w:val="21"/>
                <w:highlight w:val="none"/>
              </w:rPr>
              <w:t>SO</w:t>
            </w:r>
            <w:r>
              <w:rPr>
                <w:bCs/>
                <w:sz w:val="21"/>
                <w:szCs w:val="21"/>
                <w:highlight w:val="none"/>
                <w:vertAlign w:val="subscript"/>
              </w:rPr>
              <w:t>2</w:t>
            </w:r>
          </w:p>
        </w:tc>
        <w:tc>
          <w:tcPr>
            <w:tcW w:w="964" w:type="dxa"/>
          </w:tcPr>
          <w:p>
            <w:pPr>
              <w:spacing w:line="240" w:lineRule="auto"/>
              <w:ind w:firstLine="0" w:firstLineChars="0"/>
              <w:jc w:val="center"/>
              <w:rPr>
                <w:bCs/>
                <w:sz w:val="21"/>
                <w:szCs w:val="21"/>
                <w:highlight w:val="none"/>
              </w:rPr>
            </w:pPr>
            <w:r>
              <w:rPr>
                <w:bCs/>
                <w:sz w:val="21"/>
                <w:szCs w:val="21"/>
                <w:highlight w:val="none"/>
              </w:rPr>
              <w:t>NO</w:t>
            </w:r>
            <w:r>
              <w:rPr>
                <w:bCs/>
                <w:sz w:val="21"/>
                <w:szCs w:val="21"/>
                <w:highlight w:val="none"/>
                <w:vertAlign w:val="subscript"/>
              </w:rPr>
              <w:t>x</w:t>
            </w:r>
          </w:p>
        </w:tc>
        <w:tc>
          <w:tcPr>
            <w:tcW w:w="1067" w:type="dxa"/>
          </w:tcPr>
          <w:p>
            <w:pPr>
              <w:spacing w:line="240" w:lineRule="auto"/>
              <w:ind w:firstLine="0" w:firstLineChars="0"/>
              <w:jc w:val="center"/>
              <w:rPr>
                <w:bCs/>
                <w:sz w:val="21"/>
                <w:szCs w:val="21"/>
                <w:highlight w:val="none"/>
              </w:rPr>
            </w:pPr>
            <w:r>
              <w:rPr>
                <w:rFonts w:hint="eastAsia"/>
                <w:bCs/>
                <w:sz w:val="21"/>
                <w:szCs w:val="21"/>
                <w:highlight w:val="none"/>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bCs/>
                <w:sz w:val="21"/>
                <w:szCs w:val="21"/>
                <w:highlight w:val="none"/>
              </w:rPr>
            </w:pPr>
            <w:r>
              <w:rPr>
                <w:rFonts w:hint="eastAsia"/>
                <w:bCs/>
                <w:sz w:val="21"/>
                <w:szCs w:val="21"/>
                <w:highlight w:val="none"/>
                <w:lang w:eastAsia="zh-CN"/>
              </w:rPr>
              <w:t>现有工程排放量</w:t>
            </w:r>
          </w:p>
        </w:tc>
        <w:tc>
          <w:tcPr>
            <w:tcW w:w="1485" w:type="dxa"/>
          </w:tcPr>
          <w:p>
            <w:pPr>
              <w:spacing w:line="240" w:lineRule="auto"/>
              <w:ind w:firstLine="0" w:firstLineChars="0"/>
              <w:jc w:val="center"/>
              <w:rPr>
                <w:bCs/>
                <w:sz w:val="21"/>
                <w:szCs w:val="21"/>
                <w:highlight w:val="none"/>
              </w:rPr>
            </w:pPr>
            <w:r>
              <w:rPr>
                <w:bCs/>
                <w:sz w:val="21"/>
                <w:szCs w:val="21"/>
                <w:highlight w:val="none"/>
              </w:rPr>
              <w:t>0</w:t>
            </w:r>
          </w:p>
        </w:tc>
        <w:tc>
          <w:tcPr>
            <w:tcW w:w="1651" w:type="dxa"/>
          </w:tcPr>
          <w:p>
            <w:pPr>
              <w:spacing w:line="240" w:lineRule="auto"/>
              <w:ind w:firstLine="0" w:firstLineChars="0"/>
              <w:jc w:val="center"/>
              <w:rPr>
                <w:bCs/>
                <w:sz w:val="21"/>
                <w:szCs w:val="21"/>
                <w:highlight w:val="none"/>
              </w:rPr>
            </w:pPr>
            <w:r>
              <w:rPr>
                <w:bCs/>
                <w:sz w:val="21"/>
                <w:szCs w:val="21"/>
                <w:highlight w:val="none"/>
              </w:rPr>
              <w:t>0</w:t>
            </w:r>
          </w:p>
        </w:tc>
        <w:tc>
          <w:tcPr>
            <w:tcW w:w="1337" w:type="dxa"/>
          </w:tcPr>
          <w:p>
            <w:pPr>
              <w:spacing w:line="240" w:lineRule="auto"/>
              <w:ind w:firstLine="0" w:firstLineChars="0"/>
              <w:jc w:val="center"/>
              <w:rPr>
                <w:bCs/>
                <w:sz w:val="21"/>
                <w:szCs w:val="21"/>
                <w:highlight w:val="none"/>
              </w:rPr>
            </w:pPr>
            <w:r>
              <w:rPr>
                <w:bCs/>
                <w:sz w:val="21"/>
                <w:szCs w:val="21"/>
                <w:highlight w:val="none"/>
              </w:rPr>
              <w:t>0</w:t>
            </w:r>
          </w:p>
        </w:tc>
        <w:tc>
          <w:tcPr>
            <w:tcW w:w="964" w:type="dxa"/>
          </w:tcPr>
          <w:p>
            <w:pPr>
              <w:spacing w:line="240" w:lineRule="auto"/>
              <w:ind w:firstLine="0" w:firstLineChars="0"/>
              <w:jc w:val="center"/>
              <w:rPr>
                <w:bCs/>
                <w:sz w:val="21"/>
                <w:szCs w:val="21"/>
                <w:highlight w:val="none"/>
              </w:rPr>
            </w:pPr>
            <w:r>
              <w:rPr>
                <w:bCs/>
                <w:sz w:val="21"/>
                <w:szCs w:val="21"/>
                <w:highlight w:val="none"/>
              </w:rPr>
              <w:t>0</w:t>
            </w:r>
          </w:p>
        </w:tc>
        <w:tc>
          <w:tcPr>
            <w:tcW w:w="1067" w:type="dxa"/>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4.286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rFonts w:hint="eastAsia" w:eastAsia="宋体"/>
                <w:bCs/>
                <w:sz w:val="21"/>
                <w:szCs w:val="21"/>
                <w:highlight w:val="none"/>
                <w:lang w:eastAsia="zh-CN"/>
              </w:rPr>
            </w:pPr>
            <w:r>
              <w:rPr>
                <w:rFonts w:hint="eastAsia"/>
                <w:bCs/>
                <w:sz w:val="21"/>
                <w:szCs w:val="21"/>
                <w:highlight w:val="none"/>
                <w:lang w:eastAsia="zh-CN"/>
              </w:rPr>
              <w:t>改扩建工程排放量</w:t>
            </w:r>
          </w:p>
        </w:tc>
        <w:tc>
          <w:tcPr>
            <w:tcW w:w="1485"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651"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337"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964"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067" w:type="dxa"/>
          </w:tcPr>
          <w:p>
            <w:pPr>
              <w:spacing w:line="240" w:lineRule="auto"/>
              <w:ind w:firstLine="0" w:firstLineChars="0"/>
              <w:jc w:val="center"/>
              <w:rPr>
                <w:rFonts w:hint="default"/>
                <w:bCs/>
                <w:sz w:val="21"/>
                <w:szCs w:val="21"/>
                <w:highlight w:val="none"/>
                <w:lang w:val="en-US" w:eastAsia="zh-CN"/>
              </w:rPr>
            </w:pPr>
            <w:r>
              <w:rPr>
                <w:rFonts w:hint="eastAsia"/>
                <w:bCs/>
                <w:sz w:val="21"/>
                <w:szCs w:val="21"/>
                <w:highlight w:val="none"/>
                <w:lang w:val="en-US" w:eastAsia="zh-CN"/>
              </w:rPr>
              <w:t>4.286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rFonts w:hint="eastAsia"/>
                <w:bCs/>
                <w:sz w:val="21"/>
                <w:szCs w:val="21"/>
                <w:highlight w:val="none"/>
                <w:lang w:eastAsia="zh-CN"/>
              </w:rPr>
            </w:pPr>
            <w:r>
              <w:rPr>
                <w:rFonts w:hint="eastAsia"/>
                <w:bCs/>
                <w:sz w:val="21"/>
                <w:szCs w:val="21"/>
                <w:highlight w:val="none"/>
                <w:lang w:eastAsia="zh-CN"/>
              </w:rPr>
              <w:t>以新带老削减量</w:t>
            </w:r>
          </w:p>
        </w:tc>
        <w:tc>
          <w:tcPr>
            <w:tcW w:w="1485"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651"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337"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964"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067" w:type="dxa"/>
          </w:tcPr>
          <w:p>
            <w:pPr>
              <w:spacing w:line="240" w:lineRule="auto"/>
              <w:ind w:firstLine="0" w:firstLineChars="0"/>
              <w:jc w:val="center"/>
              <w:rPr>
                <w:rFonts w:hint="default"/>
                <w:bCs/>
                <w:sz w:val="21"/>
                <w:szCs w:val="21"/>
                <w:highlight w:val="none"/>
                <w:lang w:val="en-US" w:eastAsia="zh-CN"/>
              </w:rPr>
            </w:pPr>
            <w:r>
              <w:rPr>
                <w:rFonts w:hint="eastAsia"/>
                <w:bCs/>
                <w:sz w:val="21"/>
                <w:szCs w:val="21"/>
                <w:highlight w:val="none"/>
                <w:lang w:val="en-US" w:eastAsia="zh-CN"/>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rFonts w:hint="eastAsia"/>
                <w:bCs/>
                <w:sz w:val="21"/>
                <w:szCs w:val="21"/>
                <w:highlight w:val="none"/>
                <w:lang w:eastAsia="zh-CN"/>
              </w:rPr>
            </w:pPr>
            <w:r>
              <w:rPr>
                <w:rFonts w:hint="eastAsia"/>
                <w:bCs/>
                <w:sz w:val="21"/>
                <w:szCs w:val="21"/>
                <w:highlight w:val="none"/>
                <w:lang w:eastAsia="zh-CN"/>
              </w:rPr>
              <w:t>全厂排放量</w:t>
            </w:r>
          </w:p>
        </w:tc>
        <w:tc>
          <w:tcPr>
            <w:tcW w:w="1485"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651"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337"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964" w:type="dxa"/>
          </w:tcPr>
          <w:p>
            <w:pPr>
              <w:spacing w:line="240" w:lineRule="auto"/>
              <w:ind w:firstLine="0" w:firstLineChars="0"/>
              <w:jc w:val="center"/>
              <w:rPr>
                <w:rFonts w:hint="eastAsia" w:eastAsia="宋体"/>
                <w:bCs/>
                <w:sz w:val="21"/>
                <w:szCs w:val="21"/>
                <w:highlight w:val="none"/>
                <w:lang w:val="en-US" w:eastAsia="zh-CN"/>
              </w:rPr>
            </w:pPr>
            <w:r>
              <w:rPr>
                <w:rFonts w:hint="eastAsia"/>
                <w:bCs/>
                <w:sz w:val="21"/>
                <w:szCs w:val="21"/>
                <w:highlight w:val="none"/>
                <w:lang w:val="en-US" w:eastAsia="zh-CN"/>
              </w:rPr>
              <w:t>0</w:t>
            </w:r>
          </w:p>
        </w:tc>
        <w:tc>
          <w:tcPr>
            <w:tcW w:w="1067" w:type="dxa"/>
          </w:tcPr>
          <w:p>
            <w:pPr>
              <w:spacing w:line="240" w:lineRule="auto"/>
              <w:ind w:firstLine="0" w:firstLineChars="0"/>
              <w:jc w:val="center"/>
              <w:rPr>
                <w:rFonts w:hint="default"/>
                <w:bCs/>
                <w:sz w:val="21"/>
                <w:szCs w:val="21"/>
                <w:highlight w:val="none"/>
                <w:lang w:val="en-US" w:eastAsia="zh-CN"/>
              </w:rPr>
            </w:pPr>
            <w:r>
              <w:rPr>
                <w:rFonts w:hint="eastAsia"/>
                <w:bCs/>
                <w:sz w:val="21"/>
                <w:szCs w:val="21"/>
                <w:highlight w:val="none"/>
                <w:lang w:val="en-US" w:eastAsia="zh-CN"/>
              </w:rPr>
              <w:t>8.572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rFonts w:hint="eastAsia"/>
                <w:bCs/>
                <w:sz w:val="21"/>
                <w:szCs w:val="21"/>
                <w:highlight w:val="none"/>
                <w:lang w:eastAsia="zh-CN"/>
              </w:rPr>
            </w:pPr>
            <w:r>
              <w:rPr>
                <w:rFonts w:hint="eastAsia"/>
                <w:bCs/>
                <w:sz w:val="21"/>
                <w:szCs w:val="21"/>
                <w:highlight w:val="none"/>
                <w:lang w:eastAsia="zh-CN"/>
              </w:rPr>
              <w:t>排放增减量</w:t>
            </w:r>
          </w:p>
        </w:tc>
        <w:tc>
          <w:tcPr>
            <w:tcW w:w="1485" w:type="dxa"/>
            <w:vAlign w:val="top"/>
          </w:tcPr>
          <w:p>
            <w:pPr>
              <w:spacing w:line="240" w:lineRule="auto"/>
              <w:ind w:firstLine="0" w:firstLineChars="0"/>
              <w:jc w:val="center"/>
              <w:rPr>
                <w:rFonts w:hint="eastAsia" w:ascii="Times New Roman" w:hAnsi="Times New Roman" w:eastAsia="宋体" w:cs="Times New Roman"/>
                <w:bCs/>
                <w:sz w:val="21"/>
                <w:szCs w:val="21"/>
                <w:highlight w:val="none"/>
                <w:lang w:val="en-US" w:eastAsia="zh-CN" w:bidi="ar-SA"/>
              </w:rPr>
            </w:pPr>
            <w:r>
              <w:rPr>
                <w:rFonts w:hint="eastAsia"/>
                <w:bCs/>
                <w:sz w:val="21"/>
                <w:szCs w:val="21"/>
                <w:highlight w:val="none"/>
                <w:lang w:val="en-US" w:eastAsia="zh-CN"/>
              </w:rPr>
              <w:t>0</w:t>
            </w:r>
          </w:p>
        </w:tc>
        <w:tc>
          <w:tcPr>
            <w:tcW w:w="1651" w:type="dxa"/>
            <w:vAlign w:val="top"/>
          </w:tcPr>
          <w:p>
            <w:pPr>
              <w:spacing w:line="240" w:lineRule="auto"/>
              <w:ind w:firstLine="0" w:firstLineChars="0"/>
              <w:jc w:val="center"/>
              <w:rPr>
                <w:rFonts w:hint="eastAsia" w:ascii="Times New Roman" w:hAnsi="Times New Roman" w:eastAsia="宋体" w:cs="Times New Roman"/>
                <w:bCs/>
                <w:sz w:val="21"/>
                <w:szCs w:val="21"/>
                <w:highlight w:val="none"/>
                <w:lang w:val="en-US" w:eastAsia="zh-CN" w:bidi="ar-SA"/>
              </w:rPr>
            </w:pPr>
            <w:r>
              <w:rPr>
                <w:rFonts w:hint="eastAsia"/>
                <w:bCs/>
                <w:sz w:val="21"/>
                <w:szCs w:val="21"/>
                <w:highlight w:val="none"/>
                <w:lang w:val="en-US" w:eastAsia="zh-CN"/>
              </w:rPr>
              <w:t>0</w:t>
            </w:r>
          </w:p>
        </w:tc>
        <w:tc>
          <w:tcPr>
            <w:tcW w:w="1337" w:type="dxa"/>
            <w:vAlign w:val="top"/>
          </w:tcPr>
          <w:p>
            <w:pPr>
              <w:spacing w:line="240" w:lineRule="auto"/>
              <w:ind w:firstLine="0" w:firstLineChars="0"/>
              <w:jc w:val="center"/>
              <w:rPr>
                <w:rFonts w:hint="eastAsia" w:ascii="Times New Roman" w:hAnsi="Times New Roman" w:eastAsia="宋体" w:cs="Times New Roman"/>
                <w:bCs/>
                <w:sz w:val="21"/>
                <w:szCs w:val="21"/>
                <w:highlight w:val="none"/>
                <w:lang w:val="en-US" w:eastAsia="zh-CN" w:bidi="ar-SA"/>
              </w:rPr>
            </w:pPr>
            <w:r>
              <w:rPr>
                <w:rFonts w:hint="eastAsia"/>
                <w:bCs/>
                <w:sz w:val="21"/>
                <w:szCs w:val="21"/>
                <w:highlight w:val="none"/>
                <w:lang w:val="en-US" w:eastAsia="zh-CN"/>
              </w:rPr>
              <w:t>0</w:t>
            </w:r>
          </w:p>
        </w:tc>
        <w:tc>
          <w:tcPr>
            <w:tcW w:w="964" w:type="dxa"/>
            <w:vAlign w:val="top"/>
          </w:tcPr>
          <w:p>
            <w:pPr>
              <w:spacing w:line="240" w:lineRule="auto"/>
              <w:ind w:firstLine="0" w:firstLineChars="0"/>
              <w:jc w:val="center"/>
              <w:rPr>
                <w:rFonts w:hint="eastAsia" w:ascii="Times New Roman" w:hAnsi="Times New Roman" w:eastAsia="宋体" w:cs="Times New Roman"/>
                <w:bCs/>
                <w:sz w:val="21"/>
                <w:szCs w:val="21"/>
                <w:highlight w:val="none"/>
                <w:lang w:val="en-US" w:eastAsia="zh-CN" w:bidi="ar-SA"/>
              </w:rPr>
            </w:pPr>
            <w:r>
              <w:rPr>
                <w:rFonts w:hint="eastAsia"/>
                <w:bCs/>
                <w:sz w:val="21"/>
                <w:szCs w:val="21"/>
                <w:highlight w:val="none"/>
                <w:lang w:val="en-US" w:eastAsia="zh-CN"/>
              </w:rPr>
              <w:t>0</w:t>
            </w:r>
          </w:p>
        </w:tc>
        <w:tc>
          <w:tcPr>
            <w:tcW w:w="1067" w:type="dxa"/>
            <w:vAlign w:val="top"/>
          </w:tcPr>
          <w:p>
            <w:pPr>
              <w:spacing w:line="240" w:lineRule="auto"/>
              <w:ind w:firstLine="0" w:firstLineChars="0"/>
              <w:jc w:val="center"/>
              <w:rPr>
                <w:rFonts w:hint="default" w:ascii="Times New Roman" w:hAnsi="Times New Roman" w:eastAsia="宋体" w:cs="Times New Roman"/>
                <w:bCs/>
                <w:sz w:val="21"/>
                <w:szCs w:val="21"/>
                <w:highlight w:val="none"/>
                <w:lang w:val="en-US" w:eastAsia="zh-CN" w:bidi="ar-SA"/>
              </w:rPr>
            </w:pPr>
            <w:r>
              <w:rPr>
                <w:rFonts w:hint="eastAsia"/>
                <w:bCs/>
                <w:sz w:val="21"/>
                <w:szCs w:val="21"/>
                <w:highlight w:val="none"/>
                <w:lang w:val="en-US" w:eastAsia="zh-CN"/>
              </w:rPr>
              <w:t>+4.286</w:t>
            </w:r>
          </w:p>
        </w:tc>
      </w:tr>
    </w:tbl>
    <w:p>
      <w:pPr>
        <w:keepNext w:val="0"/>
        <w:keepLines w:val="0"/>
        <w:pageBreakBefore w:val="0"/>
        <w:widowControl w:val="0"/>
        <w:kinsoku/>
        <w:wordWrap/>
        <w:overflowPunct/>
        <w:topLinePunct w:val="0"/>
        <w:autoSpaceDE/>
        <w:autoSpaceDN/>
        <w:bidi w:val="0"/>
        <w:adjustRightInd/>
        <w:snapToGrid/>
        <w:spacing w:before="157" w:beforeLines="50"/>
        <w:ind w:firstLine="480"/>
        <w:textAlignment w:val="bottom"/>
        <w:rPr>
          <w:rFonts w:hint="eastAsia" w:ascii="Times New Roman" w:hAnsi="Times New Roman" w:eastAsia="宋体" w:cs="Times New Roman"/>
          <w:sz w:val="24"/>
          <w:szCs w:val="24"/>
          <w:highlight w:val="none"/>
          <w:lang w:eastAsia="zh-CN"/>
        </w:rPr>
      </w:pPr>
      <w:r>
        <w:rPr>
          <w:rFonts w:hint="eastAsia" w:ascii="Times New Roman" w:hAnsi="Times New Roman" w:eastAsia="宋体" w:cs="Times New Roman"/>
          <w:sz w:val="24"/>
          <w:szCs w:val="24"/>
          <w:highlight w:val="none"/>
          <w:lang w:eastAsia="zh-CN"/>
        </w:rPr>
        <w:t>本项目应进行颗粒物排放倍量削减替代，在落实倍量削减替代方案的前提下将会对区域环境空气质量起到一定改善作用。</w:t>
      </w:r>
    </w:p>
    <w:p>
      <w:pPr>
        <w:pStyle w:val="26"/>
        <w:rPr>
          <w:rFonts w:hint="eastAsia"/>
          <w:lang w:eastAsia="zh-CN"/>
        </w:rPr>
        <w:sectPr>
          <w:pgSz w:w="11906" w:h="16838"/>
          <w:pgMar w:top="993" w:right="1797" w:bottom="1134" w:left="1797" w:header="851" w:footer="992" w:gutter="0"/>
          <w:pgBorders>
            <w:top w:val="none" w:sz="0" w:space="0"/>
            <w:left w:val="none" w:sz="0" w:space="0"/>
            <w:bottom w:val="none" w:sz="0" w:space="0"/>
            <w:right w:val="none" w:sz="0" w:space="0"/>
          </w:pgBorders>
          <w:cols w:space="720" w:num="1"/>
          <w:docGrid w:linePitch="312" w:charSpace="0"/>
        </w:sectPr>
      </w:pPr>
    </w:p>
    <w:p>
      <w:pPr>
        <w:pStyle w:val="4"/>
        <w:numPr>
          <w:ilvl w:val="0"/>
          <w:numId w:val="1"/>
        </w:numPr>
        <w:rPr>
          <w:rFonts w:ascii="Times New Roman"/>
          <w:sz w:val="36"/>
          <w:highlight w:val="green"/>
        </w:rPr>
      </w:pPr>
      <w:bookmarkStart w:id="310" w:name="_Toc476574695"/>
      <w:bookmarkStart w:id="311" w:name="_Toc2970"/>
      <w:bookmarkStart w:id="312" w:name="_Toc503218107"/>
      <w:bookmarkStart w:id="313" w:name="_Toc521591772"/>
      <w:bookmarkStart w:id="314" w:name="_Toc19844"/>
      <w:bookmarkStart w:id="315" w:name="_Toc27468"/>
      <w:bookmarkStart w:id="316" w:name="_Toc536557291"/>
      <w:bookmarkStart w:id="317" w:name="_Toc499651408"/>
      <w:bookmarkStart w:id="318" w:name="_Toc524284668"/>
      <w:r>
        <w:rPr>
          <w:rFonts w:ascii="Times New Roman"/>
          <w:sz w:val="36"/>
          <w:highlight w:val="green"/>
        </w:rPr>
        <w:t>环境现状调查与评价</w:t>
      </w:r>
      <w:bookmarkEnd w:id="310"/>
      <w:bookmarkEnd w:id="311"/>
      <w:bookmarkEnd w:id="312"/>
      <w:bookmarkEnd w:id="313"/>
      <w:bookmarkEnd w:id="314"/>
      <w:bookmarkEnd w:id="315"/>
      <w:bookmarkEnd w:id="316"/>
      <w:bookmarkEnd w:id="317"/>
      <w:bookmarkEnd w:id="318"/>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green"/>
        </w:rPr>
      </w:pPr>
      <w:bookmarkStart w:id="319" w:name="_Toc6705"/>
      <w:bookmarkStart w:id="320" w:name="_Toc536557292"/>
      <w:bookmarkStart w:id="321" w:name="_Toc12750"/>
      <w:bookmarkStart w:id="322" w:name="_Toc31686"/>
      <w:bookmarkStart w:id="323" w:name="_Toc524284669"/>
      <w:bookmarkStart w:id="324" w:name="_Toc521591773"/>
      <w:bookmarkStart w:id="325" w:name="_Toc399486901"/>
      <w:bookmarkStart w:id="326" w:name="_Toc391912273"/>
      <w:bookmarkStart w:id="327" w:name="_Toc468636397"/>
      <w:bookmarkStart w:id="328" w:name="_Toc503218108"/>
      <w:bookmarkStart w:id="329" w:name="_Toc11419"/>
      <w:bookmarkStart w:id="330" w:name="_Toc499651409"/>
      <w:bookmarkStart w:id="331" w:name="_Toc476574696"/>
      <w:bookmarkStart w:id="332" w:name="_Toc25835"/>
      <w:bookmarkStart w:id="333" w:name="_Toc30561"/>
      <w:r>
        <w:rPr>
          <w:rFonts w:ascii="Times New Roman" w:hAnsi="Times New Roman" w:eastAsia="宋体"/>
          <w:bCs w:val="0"/>
          <w:snapToGrid w:val="0"/>
          <w:kern w:val="0"/>
          <w:sz w:val="28"/>
          <w:szCs w:val="28"/>
          <w:highlight w:val="green"/>
        </w:rPr>
        <w:t>自然环境概况</w:t>
      </w:r>
      <w:bookmarkEnd w:id="319"/>
      <w:bookmarkEnd w:id="320"/>
      <w:bookmarkEnd w:id="321"/>
      <w:bookmarkEnd w:id="322"/>
      <w:bookmarkEnd w:id="323"/>
      <w:bookmarkEnd w:id="324"/>
    </w:p>
    <w:p>
      <w:pPr>
        <w:pStyle w:val="6"/>
        <w:numPr>
          <w:ilvl w:val="2"/>
          <w:numId w:val="1"/>
        </w:numPr>
        <w:spacing w:before="0" w:after="0"/>
        <w:ind w:left="567"/>
        <w:rPr>
          <w:szCs w:val="28"/>
          <w:highlight w:val="green"/>
        </w:rPr>
      </w:pPr>
      <w:bookmarkStart w:id="334" w:name="_Toc521591774"/>
      <w:bookmarkStart w:id="335" w:name="_Toc10118"/>
      <w:r>
        <w:rPr>
          <w:szCs w:val="28"/>
          <w:highlight w:val="green"/>
        </w:rPr>
        <w:t>地理位置</w:t>
      </w:r>
      <w:bookmarkEnd w:id="334"/>
      <w:bookmarkEnd w:id="335"/>
    </w:p>
    <w:p>
      <w:pPr>
        <w:ind w:firstLine="480"/>
        <w:jc w:val="both"/>
        <w:rPr>
          <w:bCs/>
          <w:sz w:val="24"/>
          <w:szCs w:val="24"/>
          <w:highlight w:val="green"/>
        </w:rPr>
      </w:pPr>
      <w:r>
        <w:rPr>
          <w:bCs/>
          <w:sz w:val="24"/>
          <w:szCs w:val="24"/>
          <w:highlight w:val="green"/>
        </w:rPr>
        <w:t>遵化市位于河北省东北部燕山南麓古长城脚下，地处北纬39°55′~40°22′，东经117°34′~118°14′之间，北以长城为界与承德地区兴隆县相依，西与天津蓟县相连，东与迁西县交界，南与丰润、玉田两县接壤。东西长53km，南北宽43km，总面积1521km</w:t>
      </w:r>
      <w:r>
        <w:rPr>
          <w:bCs/>
          <w:sz w:val="24"/>
          <w:szCs w:val="24"/>
          <w:highlight w:val="green"/>
          <w:vertAlign w:val="superscript"/>
        </w:rPr>
        <w:t>2</w:t>
      </w:r>
      <w:r>
        <w:rPr>
          <w:bCs/>
          <w:sz w:val="24"/>
          <w:szCs w:val="24"/>
          <w:highlight w:val="green"/>
        </w:rPr>
        <w:t>。遵化市区位于市域中部偏北，距首都北京140km，距省会石家庄380km，距唐山市中心区66km，交通较为便利。</w:t>
      </w:r>
    </w:p>
    <w:p>
      <w:pPr>
        <w:pStyle w:val="19"/>
        <w:ind w:firstLine="480"/>
        <w:jc w:val="both"/>
        <w:rPr>
          <w:highlight w:val="green"/>
        </w:rPr>
      </w:pPr>
      <w:r>
        <w:rPr>
          <w:sz w:val="24"/>
          <w:szCs w:val="24"/>
          <w:highlight w:val="green"/>
        </w:rPr>
        <w:t>遵化市堡子店镇西新店子村</w:t>
      </w:r>
      <w:r>
        <w:rPr>
          <w:rFonts w:hint="eastAsia"/>
          <w:sz w:val="24"/>
          <w:szCs w:val="24"/>
          <w:highlight w:val="green"/>
        </w:rPr>
        <w:t>村南</w:t>
      </w:r>
      <w:r>
        <w:rPr>
          <w:bCs/>
          <w:sz w:val="24"/>
          <w:szCs w:val="24"/>
          <w:highlight w:val="green"/>
        </w:rPr>
        <w:t>，</w:t>
      </w:r>
      <w:r>
        <w:rPr>
          <w:rFonts w:hint="eastAsia"/>
          <w:bCs/>
          <w:sz w:val="24"/>
          <w:szCs w:val="24"/>
          <w:highlight w:val="green"/>
        </w:rPr>
        <w:t>北</w:t>
      </w:r>
      <w:r>
        <w:rPr>
          <w:bCs/>
          <w:sz w:val="24"/>
          <w:szCs w:val="24"/>
          <w:highlight w:val="green"/>
        </w:rPr>
        <w:t>厂区中心地理位置坐标为：东经：</w:t>
      </w:r>
      <w:r>
        <w:rPr>
          <w:rFonts w:hint="eastAsia"/>
          <w:bCs/>
          <w:sz w:val="24"/>
          <w:szCs w:val="24"/>
          <w:highlight w:val="green"/>
        </w:rPr>
        <w:t>117.807126°</w:t>
      </w:r>
      <w:r>
        <w:rPr>
          <w:bCs/>
          <w:sz w:val="24"/>
          <w:szCs w:val="24"/>
          <w:highlight w:val="green"/>
        </w:rPr>
        <w:t>，北纬：</w:t>
      </w:r>
      <w:r>
        <w:rPr>
          <w:rFonts w:hint="eastAsia"/>
          <w:bCs/>
          <w:sz w:val="24"/>
          <w:szCs w:val="24"/>
          <w:highlight w:val="green"/>
        </w:rPr>
        <w:t>40.142251°；南厂区</w:t>
      </w:r>
      <w:r>
        <w:rPr>
          <w:bCs/>
          <w:sz w:val="24"/>
          <w:szCs w:val="24"/>
          <w:highlight w:val="green"/>
        </w:rPr>
        <w:t>中心地理位置坐标为：东经：</w:t>
      </w:r>
      <w:r>
        <w:rPr>
          <w:rFonts w:hint="eastAsia"/>
          <w:bCs/>
          <w:sz w:val="24"/>
          <w:szCs w:val="24"/>
          <w:highlight w:val="green"/>
        </w:rPr>
        <w:t>117.806026°</w:t>
      </w:r>
      <w:r>
        <w:rPr>
          <w:bCs/>
          <w:sz w:val="24"/>
          <w:szCs w:val="24"/>
          <w:highlight w:val="green"/>
        </w:rPr>
        <w:t>，北纬：</w:t>
      </w:r>
      <w:r>
        <w:rPr>
          <w:rFonts w:hint="eastAsia"/>
          <w:bCs/>
          <w:sz w:val="24"/>
          <w:szCs w:val="24"/>
          <w:highlight w:val="green"/>
        </w:rPr>
        <w:t>40.140089°</w:t>
      </w:r>
      <w:r>
        <w:rPr>
          <w:bCs/>
          <w:sz w:val="24"/>
          <w:szCs w:val="24"/>
          <w:highlight w:val="green"/>
        </w:rPr>
        <w:t>。</w:t>
      </w:r>
    </w:p>
    <w:p>
      <w:pPr>
        <w:pStyle w:val="6"/>
        <w:numPr>
          <w:ilvl w:val="2"/>
          <w:numId w:val="1"/>
        </w:numPr>
        <w:spacing w:before="0" w:after="0"/>
        <w:ind w:left="567"/>
        <w:rPr>
          <w:szCs w:val="28"/>
          <w:highlight w:val="green"/>
        </w:rPr>
      </w:pPr>
      <w:bookmarkStart w:id="336" w:name="_Toc521591775"/>
      <w:bookmarkStart w:id="337" w:name="_Toc31599"/>
      <w:r>
        <w:rPr>
          <w:szCs w:val="28"/>
          <w:highlight w:val="green"/>
        </w:rPr>
        <w:t>地形地貌</w:t>
      </w:r>
      <w:bookmarkEnd w:id="336"/>
      <w:bookmarkEnd w:id="337"/>
    </w:p>
    <w:p>
      <w:pPr>
        <w:pStyle w:val="214"/>
        <w:spacing w:line="360" w:lineRule="auto"/>
        <w:ind w:firstLine="480"/>
        <w:rPr>
          <w:snapToGrid w:val="0"/>
          <w:highlight w:val="green"/>
        </w:rPr>
      </w:pPr>
      <w:r>
        <w:rPr>
          <w:snapToGrid w:val="0"/>
          <w:highlight w:val="green"/>
        </w:rPr>
        <w:t>遵化市全境由山区、丘陵、平原三种地貌组成。境内四周环山，中间为一平原，形成了遵化市三山两川的盆地地形。北部山势挺拔，山峰海拔高度多在500m以下，个别山峰海拔高度700～900m，山峦层叠，地面坡降达15%，山体上部有岩石裸露，植被较差，中下部及丘陵区多为褐土和淋溶褐土覆盖。两川平原为沙河、黎河、洪积而成，地势平坦开阔，地面坡降小于1%，海拔高程20～80m。总的地势是北高南低，东高西低，向西南微倾。表现为明显的山间盆地地貌特征，盆地周边为地势较高的低山丘陵，中部为平展的冲洪积平原，较大的地貌类型可分为以下几种：</w:t>
      </w:r>
    </w:p>
    <w:p>
      <w:pPr>
        <w:pStyle w:val="214"/>
        <w:spacing w:line="360" w:lineRule="auto"/>
        <w:ind w:firstLine="480"/>
        <w:rPr>
          <w:snapToGrid w:val="0"/>
          <w:highlight w:val="green"/>
        </w:rPr>
      </w:pPr>
      <w:r>
        <w:rPr>
          <w:snapToGrid w:val="0"/>
          <w:highlight w:val="green"/>
        </w:rPr>
        <w:t>（1）构造侵蚀低山丘陵</w:t>
      </w:r>
    </w:p>
    <w:p>
      <w:pPr>
        <w:pStyle w:val="214"/>
        <w:spacing w:line="360" w:lineRule="auto"/>
        <w:ind w:firstLine="480"/>
        <w:rPr>
          <w:snapToGrid w:val="0"/>
          <w:highlight w:val="green"/>
        </w:rPr>
      </w:pPr>
      <w:r>
        <w:rPr>
          <w:snapToGrid w:val="0"/>
          <w:highlight w:val="green"/>
        </w:rPr>
        <w:t>主要分布于盆地的周边，北部和南部为由太古界片麻岩和由中元古界碳酸岩组成的裸露和半裸露的低山丘陵，标高100～500m，以常态山和干沟为主，裸露区地表溶蚀裂隙发育，坡脚可见碳酸盐岩角砾和蚀余红土。为碳酸盐岩风化产物。沟谷切割较深，多为排泄洪流的干谷，有不厚的松散沉积层充填。半裸露区以丘陵为主，上覆不厚的上更新统坡洪积层，在沟口两侧常形成剥蚀堆积台地。</w:t>
      </w:r>
    </w:p>
    <w:p>
      <w:pPr>
        <w:pStyle w:val="214"/>
        <w:spacing w:line="360" w:lineRule="auto"/>
        <w:ind w:firstLine="480"/>
        <w:rPr>
          <w:snapToGrid w:val="0"/>
          <w:highlight w:val="green"/>
        </w:rPr>
      </w:pPr>
      <w:r>
        <w:rPr>
          <w:snapToGrid w:val="0"/>
          <w:highlight w:val="green"/>
        </w:rPr>
        <w:t>中部为由长城系下部的变质岩、碳酸盐岩、碎屑岩组成的低山丘陵，呈东西向弧形展布，标高200～500m，山势陡峻，沟谷切割较深。</w:t>
      </w:r>
    </w:p>
    <w:p>
      <w:pPr>
        <w:pStyle w:val="214"/>
        <w:spacing w:line="360" w:lineRule="auto"/>
        <w:ind w:firstLine="480"/>
        <w:rPr>
          <w:snapToGrid w:val="0"/>
          <w:highlight w:val="green"/>
        </w:rPr>
      </w:pPr>
      <w:r>
        <w:rPr>
          <w:snapToGrid w:val="0"/>
          <w:highlight w:val="green"/>
        </w:rPr>
        <w:t>盆地内尚有零星分布的岛状残山峰，多呈东西向沿岩层走向展布，高度50～100m，为碳酸盐岩山体在侵蚀和剥蚀作用下形成的残留地地貌形态。</w:t>
      </w:r>
    </w:p>
    <w:p>
      <w:pPr>
        <w:pStyle w:val="214"/>
        <w:spacing w:line="360" w:lineRule="auto"/>
        <w:ind w:firstLine="480"/>
        <w:rPr>
          <w:snapToGrid w:val="0"/>
          <w:highlight w:val="green"/>
        </w:rPr>
      </w:pPr>
      <w:r>
        <w:rPr>
          <w:snapToGrid w:val="0"/>
          <w:highlight w:val="green"/>
        </w:rPr>
        <w:t>（2）侵蚀堆积平原洼地</w:t>
      </w:r>
    </w:p>
    <w:p>
      <w:pPr>
        <w:pStyle w:val="214"/>
        <w:spacing w:line="360" w:lineRule="auto"/>
        <w:ind w:firstLine="480"/>
        <w:rPr>
          <w:snapToGrid w:val="0"/>
          <w:highlight w:val="green"/>
        </w:rPr>
      </w:pPr>
      <w:r>
        <w:rPr>
          <w:snapToGrid w:val="0"/>
          <w:highlight w:val="green"/>
        </w:rPr>
        <w:t>冲洪积平原：主要分布于盆地中部，由近代冲洪积层组成，地势平展，微向南缓倾，遵化北部盆地地面标高40～80m，地面坡度约3‰～5‰，南北宽4～8km，东西长度30～40km，面积323.3km</w:t>
      </w:r>
      <w:r>
        <w:rPr>
          <w:snapToGrid w:val="0"/>
          <w:highlight w:val="green"/>
          <w:vertAlign w:val="superscript"/>
        </w:rPr>
        <w:t>2</w:t>
      </w:r>
      <w:r>
        <w:rPr>
          <w:snapToGrid w:val="0"/>
          <w:highlight w:val="green"/>
        </w:rPr>
        <w:t>左右；南盆地地面标高18～30m，地面坡度约0.5‰，南北宽8～10km，东西长度25～30km，面积约90.7 km</w:t>
      </w:r>
      <w:r>
        <w:rPr>
          <w:snapToGrid w:val="0"/>
          <w:highlight w:val="green"/>
          <w:vertAlign w:val="superscript"/>
        </w:rPr>
        <w:t>2</w:t>
      </w:r>
      <w:r>
        <w:rPr>
          <w:snapToGrid w:val="0"/>
          <w:highlight w:val="green"/>
        </w:rPr>
        <w:t>近山地带为规模不大的冲洪积扇裙，主要由沙、淋河冲积而成。</w:t>
      </w:r>
    </w:p>
    <w:p>
      <w:pPr>
        <w:pStyle w:val="214"/>
        <w:spacing w:line="360" w:lineRule="auto"/>
        <w:ind w:firstLine="480"/>
        <w:rPr>
          <w:snapToGrid w:val="0"/>
          <w:highlight w:val="green"/>
        </w:rPr>
      </w:pPr>
      <w:r>
        <w:rPr>
          <w:snapToGrid w:val="0"/>
          <w:highlight w:val="green"/>
        </w:rPr>
        <w:t>河谷洼地：横贯全区的黎河、沙河、林河河谷两侧形成宽50～80m的河谷洼地，除碗蜒曲折的河床外，主要为河漫滩和局部土地，由近代冲积层组成，两侧多有天然堤域人工堤。</w:t>
      </w:r>
    </w:p>
    <w:p>
      <w:pPr>
        <w:pStyle w:val="214"/>
        <w:spacing w:line="360" w:lineRule="auto"/>
        <w:ind w:firstLine="480"/>
        <w:rPr>
          <w:snapToGrid w:val="0"/>
          <w:highlight w:val="green"/>
        </w:rPr>
      </w:pPr>
      <w:r>
        <w:rPr>
          <w:snapToGrid w:val="0"/>
          <w:highlight w:val="green"/>
        </w:rPr>
        <w:t>山间谷地：分布于北部低山丘陵之间及以北地区，属北盆地的一部分，地势由北向南降低，坡度在3～5‰由冲洪积沙砾土组成，标高50～80m。山间沟谷发育，且多为张性断裂所成，往往成为沟通南北盆地的通道。</w:t>
      </w:r>
    </w:p>
    <w:p>
      <w:pPr>
        <w:pStyle w:val="214"/>
        <w:spacing w:line="360" w:lineRule="auto"/>
        <w:ind w:firstLine="480"/>
        <w:rPr>
          <w:snapToGrid w:val="0"/>
          <w:highlight w:val="green"/>
        </w:rPr>
      </w:pPr>
      <w:r>
        <w:rPr>
          <w:snapToGrid w:val="0"/>
          <w:highlight w:val="green"/>
        </w:rPr>
        <w:t>项目区位于</w:t>
      </w:r>
      <w:r>
        <w:rPr>
          <w:rFonts w:hint="eastAsia"/>
          <w:snapToGrid w:val="0"/>
          <w:highlight w:val="green"/>
        </w:rPr>
        <w:t>冲洪积缓斜地小区</w:t>
      </w:r>
      <w:r>
        <w:rPr>
          <w:snapToGrid w:val="0"/>
          <w:highlight w:val="green"/>
        </w:rPr>
        <w:t>（II</w:t>
      </w:r>
      <w:r>
        <w:rPr>
          <w:rFonts w:hint="eastAsia"/>
          <w:snapToGrid w:val="0"/>
          <w:highlight w:val="green"/>
        </w:rPr>
        <w:t>6</w:t>
      </w:r>
      <w:r>
        <w:rPr>
          <w:snapToGrid w:val="0"/>
          <w:highlight w:val="green"/>
        </w:rPr>
        <w:t>-3），</w:t>
      </w:r>
      <w:r>
        <w:rPr>
          <w:rFonts w:hint="eastAsia"/>
          <w:snapToGrid w:val="0"/>
          <w:highlight w:val="green"/>
        </w:rPr>
        <w:t>主要分布于遵化市西部，项目区地形平坦，评价区地形整体西北高东南低，</w:t>
      </w:r>
      <w:r>
        <w:rPr>
          <w:snapToGrid w:val="0"/>
          <w:highlight w:val="green"/>
        </w:rPr>
        <w:t>详见图4.1-1。</w:t>
      </w:r>
    </w:p>
    <w:p>
      <w:pPr>
        <w:pStyle w:val="214"/>
        <w:spacing w:line="360" w:lineRule="auto"/>
        <w:ind w:firstLine="0" w:firstLineChars="0"/>
        <w:jc w:val="center"/>
        <w:rPr>
          <w:snapToGrid w:val="0"/>
          <w:highlight w:val="green"/>
        </w:rPr>
      </w:pPr>
      <w:r>
        <w:rPr>
          <w:highlight w:val="green"/>
        </w:rPr>
        <w:pict>
          <v:shape id="自选图形 24" o:spid="_x0000_s1280" o:spt="61" type="#_x0000_t61" style="position:absolute;left:0pt;margin-left:199.9pt;margin-top:182.25pt;height:20.75pt;width:68.7pt;z-index:251669504;mso-width-relative:page;mso-height-relative:page;" fillcolor="#FFFF00" filled="t" coordsize="21600,21600" adj="-9165,-6038">
            <v:path/>
            <v:fill on="t" focussize="0,0"/>
            <v:stroke joinstyle="miter"/>
            <v:imagedata o:title=""/>
            <o:lock v:ext="edit"/>
            <v:textbox>
              <w:txbxContent>
                <w:p>
                  <w:pPr>
                    <w:spacing w:line="240" w:lineRule="atLeast"/>
                    <w:ind w:firstLine="0" w:firstLineChars="0"/>
                    <w:rPr>
                      <w:sz w:val="21"/>
                      <w:szCs w:val="21"/>
                    </w:rPr>
                  </w:pPr>
                  <w:r>
                    <w:rPr>
                      <w:rFonts w:hint="eastAsia"/>
                      <w:sz w:val="21"/>
                      <w:szCs w:val="21"/>
                    </w:rPr>
                    <w:t>项目所在地</w:t>
                  </w:r>
                </w:p>
              </w:txbxContent>
            </v:textbox>
          </v:shape>
        </w:pict>
      </w:r>
      <w:r>
        <w:rPr>
          <w:highlight w:val="green"/>
        </w:rPr>
        <w:pict>
          <v:rect id="矩形 25" o:spid="_x0000_s1279" o:spt="1" style="position:absolute;left:0pt;margin-left:165.1pt;margin-top:169.3pt;height:7.15pt;width:9.2pt;z-index:251668480;mso-width-relative:page;mso-height-relative:page;" fillcolor="#FF0000" filled="t" stroked="t" coordsize="21600,21600">
            <v:path/>
            <v:fill on="t" focussize="0,0"/>
            <v:stroke color="#FF0000"/>
            <v:imagedata o:title=""/>
            <o:lock v:ext="edit"/>
            <v:textbox>
              <w:txbxContent>
                <w:p>
                  <w:pPr>
                    <w:ind w:firstLine="560"/>
                  </w:pPr>
                </w:p>
              </w:txbxContent>
            </v:textbox>
          </v:rect>
        </w:pict>
      </w:r>
      <w:r>
        <w:rPr>
          <w:highlight w:val="green"/>
        </w:rPr>
        <w:drawing>
          <wp:inline distT="0" distB="0" distL="0" distR="0">
            <wp:extent cx="5019040" cy="5609590"/>
            <wp:effectExtent l="1905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33" cstate="print"/>
                    <a:srcRect/>
                    <a:stretch>
                      <a:fillRect/>
                    </a:stretch>
                  </pic:blipFill>
                  <pic:spPr>
                    <a:xfrm>
                      <a:off x="0" y="0"/>
                      <a:ext cx="5019040" cy="5609590"/>
                    </a:xfrm>
                    <a:prstGeom prst="rect">
                      <a:avLst/>
                    </a:prstGeom>
                    <a:noFill/>
                    <a:ln w="9525">
                      <a:noFill/>
                      <a:miter lim="800000"/>
                      <a:headEnd/>
                      <a:tailEnd/>
                    </a:ln>
                  </pic:spPr>
                </pic:pic>
              </a:graphicData>
            </a:graphic>
          </wp:inline>
        </w:drawing>
      </w:r>
    </w:p>
    <w:p>
      <w:pPr>
        <w:spacing w:line="240" w:lineRule="auto"/>
        <w:ind w:firstLine="0" w:firstLineChars="0"/>
        <w:jc w:val="center"/>
        <w:textAlignment w:val="auto"/>
        <w:rPr>
          <w:rFonts w:eastAsia="黑体"/>
          <w:kern w:val="2"/>
          <w:sz w:val="21"/>
          <w:szCs w:val="21"/>
          <w:highlight w:val="green"/>
        </w:rPr>
      </w:pPr>
      <w:r>
        <w:rPr>
          <w:rFonts w:eastAsia="黑体"/>
          <w:kern w:val="2"/>
          <w:sz w:val="21"/>
          <w:szCs w:val="21"/>
          <w:highlight w:val="green"/>
        </w:rPr>
        <w:t>图4.1-1    遵化市地貌图</w:t>
      </w:r>
    </w:p>
    <w:p>
      <w:pPr>
        <w:pStyle w:val="6"/>
        <w:numPr>
          <w:ilvl w:val="2"/>
          <w:numId w:val="1"/>
        </w:numPr>
        <w:spacing w:before="0" w:after="0"/>
        <w:ind w:left="567"/>
        <w:rPr>
          <w:szCs w:val="28"/>
          <w:highlight w:val="green"/>
        </w:rPr>
      </w:pPr>
      <w:bookmarkStart w:id="338" w:name="_Toc22121"/>
      <w:bookmarkStart w:id="339" w:name="_Toc521591776"/>
      <w:r>
        <w:rPr>
          <w:szCs w:val="28"/>
          <w:highlight w:val="green"/>
        </w:rPr>
        <w:t>气候气象</w:t>
      </w:r>
      <w:bookmarkEnd w:id="338"/>
      <w:bookmarkEnd w:id="339"/>
    </w:p>
    <w:p>
      <w:pPr>
        <w:ind w:firstLine="480"/>
        <w:textAlignment w:val="auto"/>
        <w:rPr>
          <w:rFonts w:eastAsia="黑体"/>
          <w:kern w:val="2"/>
          <w:sz w:val="21"/>
          <w:szCs w:val="21"/>
          <w:highlight w:val="green"/>
        </w:rPr>
      </w:pPr>
      <w:r>
        <w:rPr>
          <w:sz w:val="24"/>
          <w:szCs w:val="24"/>
          <w:highlight w:val="green"/>
        </w:rPr>
        <w:t>评价区年主导风向为E风，出现频率为9.56％；次主导风向为WSW风，频率为9.22％；年最少风向频率为S风，出现频率2.66％，其次为SSE风，出现频率为2.88％。全年静风频率为4.25％。春季出现频率最高的风向为WSW风，出现频率为11.28％；出现频率最低的风向SSE风，出现频率为2.94％；静风频率为3.4％。夏季出现频率最高的风向为ENE风，出现频率为11.96％；出现频率最低的风向NW风，出现频率为1.22％；静风频率为3.89％。秋季出现频率最高的风向为NE风，出现频率为11.08％；出现频率最低的风向为S风，出现频率为2.11％；静风频率为6.09％。冬季出现频率最高的风向为NNE风，出现频率为10.76％；出现频率最低的风向为SSE风，出现频率为2.06％；静风频率为3.62％。</w:t>
      </w:r>
    </w:p>
    <w:p>
      <w:pPr>
        <w:pStyle w:val="6"/>
        <w:numPr>
          <w:ilvl w:val="2"/>
          <w:numId w:val="1"/>
        </w:numPr>
        <w:spacing w:before="0" w:after="0"/>
        <w:ind w:left="567"/>
        <w:rPr>
          <w:szCs w:val="28"/>
          <w:highlight w:val="green"/>
        </w:rPr>
      </w:pPr>
      <w:bookmarkStart w:id="340" w:name="_Toc521591777"/>
      <w:bookmarkStart w:id="341" w:name="_Toc27853"/>
      <w:r>
        <w:rPr>
          <w:szCs w:val="28"/>
          <w:highlight w:val="green"/>
        </w:rPr>
        <w:t>河流水系</w:t>
      </w:r>
      <w:bookmarkEnd w:id="340"/>
      <w:bookmarkEnd w:id="341"/>
    </w:p>
    <w:p>
      <w:pPr>
        <w:ind w:firstLine="480"/>
        <w:jc w:val="both"/>
        <w:rPr>
          <w:bCs/>
          <w:sz w:val="24"/>
          <w:szCs w:val="24"/>
          <w:highlight w:val="green"/>
        </w:rPr>
      </w:pPr>
      <w:r>
        <w:rPr>
          <w:bCs/>
          <w:sz w:val="24"/>
          <w:szCs w:val="24"/>
          <w:highlight w:val="green"/>
        </w:rPr>
        <w:t>遵化市内有大小河流37条，河川汇水总面积1913km</w:t>
      </w:r>
      <w:r>
        <w:rPr>
          <w:bCs/>
          <w:sz w:val="24"/>
          <w:szCs w:val="24"/>
          <w:highlight w:val="green"/>
          <w:vertAlign w:val="superscript"/>
        </w:rPr>
        <w:t>2</w:t>
      </w:r>
      <w:r>
        <w:rPr>
          <w:bCs/>
          <w:sz w:val="24"/>
          <w:szCs w:val="24"/>
          <w:highlight w:val="green"/>
        </w:rPr>
        <w:t>，分属滦河、蓟运河两大流域水系。滦河流域在遵化市境内的只有遵化市东北角洪山口一个洪山口河，北流出长城洪山口，入兴隆且折向东流入滦河。蓟运河流域水系在遵化市境内有沙河、黎河、还乡河、淋河四大水系。</w:t>
      </w:r>
    </w:p>
    <w:p>
      <w:pPr>
        <w:ind w:firstLine="480"/>
        <w:jc w:val="both"/>
        <w:rPr>
          <w:bCs/>
          <w:sz w:val="24"/>
          <w:szCs w:val="24"/>
          <w:highlight w:val="green"/>
        </w:rPr>
      </w:pPr>
      <w:r>
        <w:rPr>
          <w:bCs/>
          <w:sz w:val="24"/>
          <w:szCs w:val="24"/>
          <w:highlight w:val="green"/>
        </w:rPr>
        <w:t>沙河由东起市域东的主支沙河，往西有老爪河、清水河、冷咀头河、汤泉河、魏进河、马兰河、以扇状分布于遵化市北半部市域中间地带。除老爪河源于本市区北石家口、汤泉河源于市西北汤泉北沟外，其他均源于兴隆县，汇流于扇轴水平口。沙河水系在水平口以上属季节性河流，其下游常年径流不断。沙河上游修建有般若院、上关两座中型水库。主支流沙河全长70km，流域面积866.2km</w:t>
      </w:r>
      <w:r>
        <w:rPr>
          <w:bCs/>
          <w:sz w:val="24"/>
          <w:szCs w:val="24"/>
          <w:highlight w:val="green"/>
          <w:vertAlign w:val="superscript"/>
        </w:rPr>
        <w:t>2</w:t>
      </w:r>
      <w:r>
        <w:rPr>
          <w:bCs/>
          <w:sz w:val="24"/>
          <w:szCs w:val="24"/>
          <w:highlight w:val="green"/>
        </w:rPr>
        <w:t>，其中遵化市域内流域面积山区272.7km</w:t>
      </w:r>
      <w:r>
        <w:rPr>
          <w:bCs/>
          <w:sz w:val="24"/>
          <w:szCs w:val="24"/>
          <w:highlight w:val="green"/>
          <w:vertAlign w:val="superscript"/>
        </w:rPr>
        <w:t>2</w:t>
      </w:r>
      <w:r>
        <w:rPr>
          <w:bCs/>
          <w:sz w:val="24"/>
          <w:szCs w:val="24"/>
          <w:highlight w:val="green"/>
        </w:rPr>
        <w:t>，平原287.6km</w:t>
      </w:r>
      <w:r>
        <w:rPr>
          <w:bCs/>
          <w:sz w:val="24"/>
          <w:szCs w:val="24"/>
          <w:highlight w:val="green"/>
          <w:vertAlign w:val="superscript"/>
        </w:rPr>
        <w:t>2</w:t>
      </w:r>
      <w:r>
        <w:rPr>
          <w:bCs/>
          <w:sz w:val="24"/>
          <w:szCs w:val="24"/>
          <w:highlight w:val="green"/>
        </w:rPr>
        <w:t>。</w:t>
      </w:r>
    </w:p>
    <w:p>
      <w:pPr>
        <w:ind w:firstLine="480"/>
        <w:jc w:val="both"/>
        <w:rPr>
          <w:bCs/>
          <w:sz w:val="24"/>
          <w:szCs w:val="24"/>
          <w:highlight w:val="green"/>
        </w:rPr>
      </w:pPr>
      <w:r>
        <w:rPr>
          <w:rFonts w:hint="eastAsia"/>
          <w:bCs/>
          <w:sz w:val="24"/>
          <w:szCs w:val="24"/>
          <w:highlight w:val="green"/>
        </w:rPr>
        <w:t>距离本项目最近的河流为项目南侧约2700m的魏进河，</w:t>
      </w:r>
      <w:r>
        <w:rPr>
          <w:bCs/>
          <w:sz w:val="24"/>
          <w:szCs w:val="24"/>
          <w:highlight w:val="green"/>
        </w:rPr>
        <w:t>遵化市河流水系图详见图4.1-2。</w:t>
      </w:r>
    </w:p>
    <w:p>
      <w:pPr>
        <w:ind w:firstLine="0" w:firstLineChars="0"/>
        <w:jc w:val="both"/>
        <w:rPr>
          <w:bCs/>
          <w:sz w:val="24"/>
          <w:szCs w:val="24"/>
          <w:highlight w:val="green"/>
        </w:rPr>
      </w:pPr>
      <w:r>
        <w:rPr>
          <w:bCs/>
          <w:sz w:val="24"/>
          <w:szCs w:val="24"/>
          <w:highlight w:val="green"/>
        </w:rPr>
        <w:pict>
          <v:group id="_x0000_s1981" o:spid="_x0000_s1981" o:spt="203" style="height:305.05pt;width:416.95pt;" coordorigin="1824,6964" coordsize="8339,6101">
            <o:lock v:ext="edit"/>
            <v:shape id="图片 106" o:spid="_x0000_s1982" o:spt="75" alt="遵化市水系图" type="#_x0000_t75" style="position:absolute;left:1824;top:6964;height:6101;width:8339;" filled="f" o:preferrelative="t" stroked="f" coordsize="21600,21600">
              <v:path/>
              <v:fill on="f" focussize="0,0"/>
              <v:stroke on="f" joinstyle="miter"/>
              <v:imagedata r:id="rId34" embosscolor="#FFFFFF" o:title="遵化市水系图"/>
              <o:lock v:ext="edit" aspectratio="t"/>
            </v:shape>
            <v:shape id="自选图形 98" o:spid="_x0000_s1983" o:spt="62" type="#_x0000_t62" style="position:absolute;left:2005;top:9065;height:585;width:1770;" coordsize="21600,21600" adj="30057,28578">
              <v:path/>
              <v:fill focussize="0,0"/>
              <v:stroke joinstyle="miter"/>
              <v:imagedata o:title=""/>
              <o:lock v:ext="edit"/>
              <v:textbox>
                <w:txbxContent>
                  <w:p>
                    <w:pPr>
                      <w:spacing w:line="240" w:lineRule="auto"/>
                      <w:ind w:firstLine="0" w:firstLineChars="0"/>
                      <w:rPr>
                        <w:sz w:val="21"/>
                        <w:szCs w:val="21"/>
                      </w:rPr>
                    </w:pPr>
                    <w:r>
                      <w:rPr>
                        <w:rFonts w:hint="eastAsia"/>
                        <w:sz w:val="21"/>
                        <w:szCs w:val="21"/>
                      </w:rPr>
                      <w:t>项目所在位置</w:t>
                    </w:r>
                  </w:p>
                </w:txbxContent>
              </v:textbox>
            </v:shape>
            <v:shape id="椭圆 108" o:spid="_x0000_s1984" o:spt="3" type="#_x0000_t3" style="position:absolute;left:4411;top:9777;height:143;width:165;" fillcolor="#FF0000" filled="t" stroked="t" coordsize="21600,21600">
              <v:path/>
              <v:fill on="t" focussize="0,0"/>
              <v:stroke color="#FF0000"/>
              <v:imagedata o:title=""/>
              <o:lock v:ext="edit"/>
            </v:shape>
            <w10:wrap type="none"/>
            <w10:anchorlock/>
          </v:group>
        </w:pict>
      </w:r>
    </w:p>
    <w:p>
      <w:pPr>
        <w:spacing w:line="240" w:lineRule="auto"/>
        <w:ind w:firstLine="0" w:firstLineChars="0"/>
        <w:jc w:val="center"/>
        <w:textAlignment w:val="auto"/>
        <w:rPr>
          <w:rFonts w:eastAsia="黑体"/>
          <w:kern w:val="2"/>
          <w:sz w:val="21"/>
          <w:szCs w:val="21"/>
          <w:highlight w:val="green"/>
        </w:rPr>
      </w:pPr>
      <w:r>
        <w:rPr>
          <w:rFonts w:eastAsia="黑体"/>
          <w:kern w:val="2"/>
          <w:sz w:val="21"/>
          <w:szCs w:val="21"/>
          <w:highlight w:val="green"/>
        </w:rPr>
        <w:t>图4.1-2遵化市河流水系</w:t>
      </w:r>
    </w:p>
    <w:p>
      <w:pPr>
        <w:pStyle w:val="19"/>
        <w:spacing w:afterLines="50"/>
        <w:ind w:firstLine="480"/>
        <w:jc w:val="center"/>
        <w:rPr>
          <w:bCs/>
          <w:sz w:val="24"/>
          <w:highlight w:val="green"/>
        </w:rPr>
      </w:pPr>
    </w:p>
    <w:p>
      <w:pPr>
        <w:pStyle w:val="19"/>
        <w:spacing w:afterLines="50"/>
        <w:ind w:firstLine="480"/>
        <w:jc w:val="center"/>
        <w:rPr>
          <w:bCs/>
          <w:sz w:val="24"/>
          <w:highlight w:val="green"/>
        </w:rPr>
      </w:pPr>
    </w:p>
    <w:p>
      <w:pPr>
        <w:pStyle w:val="19"/>
        <w:spacing w:afterLines="50"/>
        <w:ind w:firstLine="480"/>
        <w:jc w:val="center"/>
        <w:rPr>
          <w:bCs/>
          <w:sz w:val="24"/>
          <w:highlight w:val="green"/>
        </w:rPr>
      </w:pPr>
    </w:p>
    <w:p>
      <w:pPr>
        <w:pStyle w:val="19"/>
        <w:spacing w:after="0" w:line="240" w:lineRule="auto"/>
        <w:ind w:firstLine="420"/>
        <w:jc w:val="center"/>
        <w:rPr>
          <w:rFonts w:eastAsia="黑体"/>
          <w:bCs/>
          <w:sz w:val="21"/>
          <w:szCs w:val="21"/>
          <w:highlight w:val="green"/>
        </w:rPr>
      </w:pPr>
      <w:r>
        <w:rPr>
          <w:rFonts w:eastAsia="黑体"/>
          <w:bCs/>
          <w:sz w:val="21"/>
          <w:szCs w:val="21"/>
          <w:highlight w:val="green"/>
        </w:rPr>
        <w:t>表4.1-2 遵化市主要河流径流量一览表</w:t>
      </w:r>
    </w:p>
    <w:tbl>
      <w:tblPr>
        <w:tblStyle w:val="48"/>
        <w:tblW w:w="8640" w:type="dxa"/>
        <w:tblInd w:w="91" w:type="dxa"/>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80"/>
        <w:gridCol w:w="1080"/>
        <w:gridCol w:w="1080"/>
        <w:gridCol w:w="1080"/>
        <w:gridCol w:w="1080"/>
        <w:gridCol w:w="1080"/>
        <w:gridCol w:w="1080"/>
        <w:gridCol w:w="1080"/>
      </w:tblGrid>
      <w:tr>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160" w:type="dxa"/>
            <w:gridSpan w:val="2"/>
            <w:vAlign w:val="center"/>
          </w:tcPr>
          <w:p>
            <w:pPr>
              <w:spacing w:line="240" w:lineRule="auto"/>
              <w:ind w:firstLine="400"/>
              <w:jc w:val="center"/>
              <w:rPr>
                <w:sz w:val="20"/>
                <w:szCs w:val="18"/>
                <w:highlight w:val="green"/>
              </w:rPr>
            </w:pPr>
            <w:r>
              <w:rPr>
                <w:rFonts w:ascii="宋体" w:hAnsi="宋体" w:cs="宋体"/>
                <w:sz w:val="20"/>
                <w:szCs w:val="18"/>
                <w:highlight w:val="green"/>
              </w:rPr>
              <w:pict>
                <v:shape id="_x0000_s1985" o:spid="_x0000_s1985" o:spt="32" type="#_x0000_t32" style="position:absolute;left:0pt;margin-left:-4.6pt;margin-top:-0.9pt;height:27pt;width:108pt;z-index:251687936;mso-width-relative:page;mso-height-relative:page;" o:connectortype="straight" filled="f" coordsize="21600,21600">
                  <v:path arrowok="t"/>
                  <v:fill on="f" focussize="0,0"/>
                  <v:stroke/>
                  <v:imagedata o:title=""/>
                  <o:lock v:ext="edit"/>
                </v:shape>
              </w:pict>
            </w:r>
            <w:r>
              <w:rPr>
                <w:rFonts w:hint="eastAsia" w:ascii="宋体" w:hAnsi="宋体" w:cs="宋体"/>
                <w:sz w:val="20"/>
                <w:szCs w:val="18"/>
                <w:highlight w:val="green"/>
              </w:rPr>
              <w:t>年度</w:t>
            </w:r>
          </w:p>
          <w:p>
            <w:pPr>
              <w:spacing w:line="240" w:lineRule="auto"/>
              <w:ind w:firstLine="0" w:firstLineChars="0"/>
              <w:rPr>
                <w:rFonts w:ascii="宋体" w:hAnsi="宋体" w:cs="宋体"/>
                <w:sz w:val="20"/>
                <w:szCs w:val="18"/>
                <w:highlight w:val="green"/>
              </w:rPr>
            </w:pPr>
            <w:r>
              <w:rPr>
                <w:rFonts w:hint="eastAsia" w:ascii="宋体" w:hAnsi="宋体" w:cs="宋体"/>
                <w:sz w:val="20"/>
                <w:szCs w:val="18"/>
                <w:highlight w:val="green"/>
              </w:rPr>
              <w:t>年径流量</w:t>
            </w:r>
          </w:p>
        </w:tc>
        <w:tc>
          <w:tcPr>
            <w:tcW w:w="1080" w:type="dxa"/>
            <w:vAlign w:val="center"/>
          </w:tcPr>
          <w:p>
            <w:pPr>
              <w:spacing w:line="240" w:lineRule="auto"/>
              <w:ind w:firstLine="0" w:firstLineChars="0"/>
              <w:jc w:val="center"/>
              <w:rPr>
                <w:sz w:val="20"/>
                <w:szCs w:val="18"/>
                <w:highlight w:val="green"/>
              </w:rPr>
            </w:pPr>
            <w:r>
              <w:rPr>
                <w:sz w:val="20"/>
                <w:szCs w:val="18"/>
                <w:highlight w:val="green"/>
              </w:rPr>
              <w:t>2011</w:t>
            </w:r>
          </w:p>
        </w:tc>
        <w:tc>
          <w:tcPr>
            <w:tcW w:w="1080" w:type="dxa"/>
            <w:vAlign w:val="center"/>
          </w:tcPr>
          <w:p>
            <w:pPr>
              <w:spacing w:line="240" w:lineRule="auto"/>
              <w:ind w:firstLine="0" w:firstLineChars="0"/>
              <w:jc w:val="center"/>
              <w:rPr>
                <w:sz w:val="20"/>
                <w:szCs w:val="18"/>
                <w:highlight w:val="green"/>
              </w:rPr>
            </w:pPr>
            <w:r>
              <w:rPr>
                <w:sz w:val="20"/>
                <w:szCs w:val="18"/>
                <w:highlight w:val="green"/>
              </w:rPr>
              <w:t>2012</w:t>
            </w:r>
          </w:p>
        </w:tc>
        <w:tc>
          <w:tcPr>
            <w:tcW w:w="1080" w:type="dxa"/>
            <w:vAlign w:val="center"/>
          </w:tcPr>
          <w:p>
            <w:pPr>
              <w:spacing w:line="240" w:lineRule="auto"/>
              <w:ind w:firstLine="0" w:firstLineChars="0"/>
              <w:jc w:val="center"/>
              <w:rPr>
                <w:sz w:val="20"/>
                <w:szCs w:val="18"/>
                <w:highlight w:val="green"/>
              </w:rPr>
            </w:pPr>
            <w:r>
              <w:rPr>
                <w:sz w:val="20"/>
                <w:szCs w:val="18"/>
                <w:highlight w:val="green"/>
              </w:rPr>
              <w:t>2013</w:t>
            </w:r>
          </w:p>
        </w:tc>
        <w:tc>
          <w:tcPr>
            <w:tcW w:w="1080" w:type="dxa"/>
            <w:vAlign w:val="center"/>
          </w:tcPr>
          <w:p>
            <w:pPr>
              <w:spacing w:line="240" w:lineRule="auto"/>
              <w:ind w:firstLine="0" w:firstLineChars="0"/>
              <w:jc w:val="center"/>
              <w:rPr>
                <w:sz w:val="20"/>
                <w:szCs w:val="18"/>
                <w:highlight w:val="green"/>
              </w:rPr>
            </w:pPr>
            <w:r>
              <w:rPr>
                <w:sz w:val="20"/>
                <w:szCs w:val="18"/>
                <w:highlight w:val="green"/>
              </w:rPr>
              <w:t>2014</w:t>
            </w:r>
          </w:p>
        </w:tc>
        <w:tc>
          <w:tcPr>
            <w:tcW w:w="1080" w:type="dxa"/>
            <w:vAlign w:val="center"/>
          </w:tcPr>
          <w:p>
            <w:pPr>
              <w:spacing w:line="240" w:lineRule="auto"/>
              <w:ind w:firstLine="0" w:firstLineChars="0"/>
              <w:jc w:val="center"/>
              <w:rPr>
                <w:sz w:val="20"/>
                <w:szCs w:val="18"/>
                <w:highlight w:val="green"/>
              </w:rPr>
            </w:pPr>
            <w:r>
              <w:rPr>
                <w:sz w:val="20"/>
                <w:szCs w:val="18"/>
                <w:highlight w:val="green"/>
              </w:rPr>
              <w:t>2015</w:t>
            </w:r>
          </w:p>
        </w:tc>
        <w:tc>
          <w:tcPr>
            <w:tcW w:w="1080" w:type="dxa"/>
            <w:vAlign w:val="center"/>
          </w:tcPr>
          <w:p>
            <w:pPr>
              <w:spacing w:line="240" w:lineRule="auto"/>
              <w:ind w:firstLine="0" w:firstLineChars="0"/>
              <w:jc w:val="center"/>
              <w:rPr>
                <w:rFonts w:ascii="宋体" w:hAnsi="宋体" w:cs="宋体"/>
                <w:sz w:val="20"/>
                <w:szCs w:val="18"/>
                <w:highlight w:val="green"/>
              </w:rPr>
            </w:pPr>
            <w:r>
              <w:rPr>
                <w:rFonts w:hint="eastAsia" w:ascii="宋体" w:hAnsi="宋体" w:cs="宋体"/>
                <w:sz w:val="20"/>
                <w:szCs w:val="18"/>
                <w:highlight w:val="green"/>
              </w:rPr>
              <w:t>年平均</w:t>
            </w:r>
          </w:p>
        </w:tc>
      </w:tr>
      <w:tr>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1080" w:type="dxa"/>
            <w:vAlign w:val="bottom"/>
          </w:tcPr>
          <w:p>
            <w:pPr>
              <w:spacing w:line="240" w:lineRule="auto"/>
              <w:ind w:firstLine="0" w:firstLineChars="0"/>
              <w:jc w:val="center"/>
              <w:rPr>
                <w:rFonts w:ascii="宋体" w:hAnsi="宋体" w:cs="宋体"/>
                <w:sz w:val="20"/>
                <w:szCs w:val="18"/>
                <w:highlight w:val="green"/>
              </w:rPr>
            </w:pPr>
            <w:r>
              <w:rPr>
                <w:rFonts w:hint="eastAsia" w:ascii="宋体" w:hAnsi="宋体" w:cs="宋体"/>
                <w:sz w:val="20"/>
                <w:szCs w:val="18"/>
                <w:highlight w:val="green"/>
              </w:rPr>
              <w:t>滦河</w:t>
            </w:r>
          </w:p>
        </w:tc>
        <w:tc>
          <w:tcPr>
            <w:tcW w:w="1080" w:type="dxa"/>
            <w:vAlign w:val="bottom"/>
          </w:tcPr>
          <w:p>
            <w:pPr>
              <w:spacing w:line="240" w:lineRule="auto"/>
              <w:ind w:firstLine="0" w:firstLineChars="0"/>
              <w:jc w:val="center"/>
              <w:rPr>
                <w:rFonts w:ascii="宋体" w:hAnsi="宋体" w:cs="宋体"/>
                <w:sz w:val="20"/>
                <w:szCs w:val="18"/>
                <w:highlight w:val="green"/>
              </w:rPr>
            </w:pPr>
            <w:r>
              <w:rPr>
                <w:rFonts w:hint="eastAsia" w:ascii="宋体" w:hAnsi="宋体" w:cs="宋体"/>
                <w:sz w:val="20"/>
                <w:szCs w:val="18"/>
                <w:highlight w:val="green"/>
              </w:rPr>
              <w:t>滦县站</w:t>
            </w:r>
          </w:p>
        </w:tc>
        <w:tc>
          <w:tcPr>
            <w:tcW w:w="1080" w:type="dxa"/>
            <w:vAlign w:val="bottom"/>
          </w:tcPr>
          <w:p>
            <w:pPr>
              <w:spacing w:line="240" w:lineRule="auto"/>
              <w:ind w:firstLine="0" w:firstLineChars="0"/>
              <w:jc w:val="center"/>
              <w:rPr>
                <w:sz w:val="20"/>
                <w:highlight w:val="green"/>
              </w:rPr>
            </w:pPr>
            <w:r>
              <w:rPr>
                <w:sz w:val="20"/>
                <w:highlight w:val="green"/>
              </w:rPr>
              <w:t>7.57</w:t>
            </w:r>
          </w:p>
        </w:tc>
        <w:tc>
          <w:tcPr>
            <w:tcW w:w="1080" w:type="dxa"/>
            <w:vAlign w:val="bottom"/>
          </w:tcPr>
          <w:p>
            <w:pPr>
              <w:spacing w:line="240" w:lineRule="auto"/>
              <w:ind w:firstLine="0" w:firstLineChars="0"/>
              <w:jc w:val="center"/>
              <w:rPr>
                <w:sz w:val="20"/>
                <w:highlight w:val="green"/>
              </w:rPr>
            </w:pPr>
            <w:r>
              <w:rPr>
                <w:sz w:val="20"/>
                <w:highlight w:val="green"/>
              </w:rPr>
              <w:t>29.8</w:t>
            </w:r>
          </w:p>
        </w:tc>
        <w:tc>
          <w:tcPr>
            <w:tcW w:w="1080" w:type="dxa"/>
            <w:vAlign w:val="bottom"/>
          </w:tcPr>
          <w:p>
            <w:pPr>
              <w:spacing w:line="240" w:lineRule="auto"/>
              <w:ind w:firstLine="0" w:firstLineChars="0"/>
              <w:jc w:val="center"/>
              <w:rPr>
                <w:sz w:val="20"/>
                <w:highlight w:val="green"/>
              </w:rPr>
            </w:pPr>
            <w:r>
              <w:rPr>
                <w:sz w:val="20"/>
                <w:highlight w:val="green"/>
              </w:rPr>
              <w:t>15.47</w:t>
            </w:r>
          </w:p>
        </w:tc>
        <w:tc>
          <w:tcPr>
            <w:tcW w:w="1080" w:type="dxa"/>
            <w:vAlign w:val="bottom"/>
          </w:tcPr>
          <w:p>
            <w:pPr>
              <w:spacing w:line="240" w:lineRule="auto"/>
              <w:ind w:firstLine="0" w:firstLineChars="0"/>
              <w:jc w:val="center"/>
              <w:rPr>
                <w:sz w:val="20"/>
                <w:highlight w:val="green"/>
              </w:rPr>
            </w:pPr>
            <w:r>
              <w:rPr>
                <w:sz w:val="20"/>
                <w:highlight w:val="green"/>
              </w:rPr>
              <w:t>7.105</w:t>
            </w:r>
          </w:p>
        </w:tc>
        <w:tc>
          <w:tcPr>
            <w:tcW w:w="1080" w:type="dxa"/>
            <w:vAlign w:val="bottom"/>
          </w:tcPr>
          <w:p>
            <w:pPr>
              <w:spacing w:line="240" w:lineRule="auto"/>
              <w:ind w:firstLine="0" w:firstLineChars="0"/>
              <w:jc w:val="center"/>
              <w:rPr>
                <w:sz w:val="20"/>
                <w:highlight w:val="green"/>
              </w:rPr>
            </w:pPr>
            <w:r>
              <w:rPr>
                <w:sz w:val="20"/>
                <w:highlight w:val="green"/>
              </w:rPr>
              <w:t>6.74</w:t>
            </w:r>
          </w:p>
        </w:tc>
        <w:tc>
          <w:tcPr>
            <w:tcW w:w="1080" w:type="dxa"/>
            <w:vAlign w:val="bottom"/>
          </w:tcPr>
          <w:p>
            <w:pPr>
              <w:spacing w:line="240" w:lineRule="auto"/>
              <w:ind w:firstLine="0" w:firstLineChars="0"/>
              <w:jc w:val="center"/>
              <w:rPr>
                <w:sz w:val="20"/>
                <w:szCs w:val="21"/>
                <w:highlight w:val="green"/>
              </w:rPr>
            </w:pPr>
            <w:r>
              <w:rPr>
                <w:sz w:val="20"/>
                <w:szCs w:val="21"/>
                <w:highlight w:val="green"/>
              </w:rPr>
              <w:t>13.337</w:t>
            </w:r>
          </w:p>
        </w:tc>
      </w:tr>
      <w:tr>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1080" w:type="dxa"/>
            <w:vAlign w:val="bottom"/>
          </w:tcPr>
          <w:p>
            <w:pPr>
              <w:spacing w:line="240" w:lineRule="auto"/>
              <w:ind w:firstLine="0" w:firstLineChars="0"/>
              <w:jc w:val="center"/>
              <w:rPr>
                <w:rFonts w:ascii="宋体" w:hAnsi="宋体" w:cs="宋体"/>
                <w:sz w:val="20"/>
                <w:szCs w:val="18"/>
                <w:highlight w:val="green"/>
              </w:rPr>
            </w:pPr>
            <w:r>
              <w:rPr>
                <w:rFonts w:hint="eastAsia" w:ascii="宋体" w:hAnsi="宋体" w:cs="宋体"/>
                <w:sz w:val="20"/>
                <w:szCs w:val="18"/>
                <w:highlight w:val="green"/>
              </w:rPr>
              <w:t>沙河</w:t>
            </w:r>
          </w:p>
        </w:tc>
        <w:tc>
          <w:tcPr>
            <w:tcW w:w="1080" w:type="dxa"/>
            <w:vAlign w:val="bottom"/>
          </w:tcPr>
          <w:p>
            <w:pPr>
              <w:spacing w:line="240" w:lineRule="auto"/>
              <w:ind w:firstLine="0" w:firstLineChars="0"/>
              <w:jc w:val="center"/>
              <w:rPr>
                <w:rFonts w:ascii="宋体" w:hAnsi="宋体" w:cs="宋体"/>
                <w:sz w:val="20"/>
                <w:szCs w:val="18"/>
                <w:highlight w:val="green"/>
              </w:rPr>
            </w:pPr>
            <w:r>
              <w:rPr>
                <w:rFonts w:hint="eastAsia" w:ascii="宋体" w:hAnsi="宋体" w:cs="宋体"/>
                <w:sz w:val="20"/>
                <w:szCs w:val="18"/>
                <w:highlight w:val="green"/>
              </w:rPr>
              <w:t>石佛口站</w:t>
            </w:r>
          </w:p>
        </w:tc>
        <w:tc>
          <w:tcPr>
            <w:tcW w:w="1080" w:type="dxa"/>
            <w:vAlign w:val="bottom"/>
          </w:tcPr>
          <w:p>
            <w:pPr>
              <w:spacing w:line="240" w:lineRule="auto"/>
              <w:ind w:firstLine="0" w:firstLineChars="0"/>
              <w:jc w:val="center"/>
              <w:rPr>
                <w:sz w:val="20"/>
                <w:highlight w:val="green"/>
              </w:rPr>
            </w:pPr>
            <w:r>
              <w:rPr>
                <w:sz w:val="20"/>
                <w:highlight w:val="green"/>
              </w:rPr>
              <w:t>0.4725</w:t>
            </w:r>
          </w:p>
        </w:tc>
        <w:tc>
          <w:tcPr>
            <w:tcW w:w="1080" w:type="dxa"/>
            <w:vAlign w:val="bottom"/>
          </w:tcPr>
          <w:p>
            <w:pPr>
              <w:spacing w:line="240" w:lineRule="auto"/>
              <w:ind w:firstLine="0" w:firstLineChars="0"/>
              <w:jc w:val="center"/>
              <w:rPr>
                <w:sz w:val="20"/>
                <w:highlight w:val="green"/>
              </w:rPr>
            </w:pPr>
            <w:r>
              <w:rPr>
                <w:sz w:val="20"/>
                <w:highlight w:val="green"/>
              </w:rPr>
              <w:t>1.167</w:t>
            </w:r>
          </w:p>
        </w:tc>
        <w:tc>
          <w:tcPr>
            <w:tcW w:w="1080" w:type="dxa"/>
            <w:vAlign w:val="bottom"/>
          </w:tcPr>
          <w:p>
            <w:pPr>
              <w:spacing w:line="240" w:lineRule="auto"/>
              <w:ind w:firstLine="0" w:firstLineChars="0"/>
              <w:jc w:val="center"/>
              <w:rPr>
                <w:sz w:val="20"/>
                <w:highlight w:val="green"/>
              </w:rPr>
            </w:pPr>
            <w:r>
              <w:rPr>
                <w:sz w:val="20"/>
                <w:highlight w:val="green"/>
              </w:rPr>
              <w:t>0.8774</w:t>
            </w:r>
          </w:p>
        </w:tc>
        <w:tc>
          <w:tcPr>
            <w:tcW w:w="1080" w:type="dxa"/>
            <w:vAlign w:val="bottom"/>
          </w:tcPr>
          <w:p>
            <w:pPr>
              <w:spacing w:line="240" w:lineRule="auto"/>
              <w:ind w:firstLine="0" w:firstLineChars="0"/>
              <w:jc w:val="center"/>
              <w:rPr>
                <w:sz w:val="20"/>
                <w:highlight w:val="green"/>
              </w:rPr>
            </w:pPr>
            <w:r>
              <w:rPr>
                <w:sz w:val="20"/>
                <w:highlight w:val="green"/>
              </w:rPr>
              <w:t>0.4806</w:t>
            </w:r>
          </w:p>
        </w:tc>
        <w:tc>
          <w:tcPr>
            <w:tcW w:w="1080" w:type="dxa"/>
            <w:vAlign w:val="bottom"/>
          </w:tcPr>
          <w:p>
            <w:pPr>
              <w:spacing w:line="240" w:lineRule="auto"/>
              <w:ind w:firstLine="0" w:firstLineChars="0"/>
              <w:jc w:val="center"/>
              <w:rPr>
                <w:sz w:val="20"/>
                <w:highlight w:val="green"/>
              </w:rPr>
            </w:pPr>
            <w:r>
              <w:rPr>
                <w:sz w:val="20"/>
                <w:highlight w:val="green"/>
              </w:rPr>
              <w:t>0.3794</w:t>
            </w:r>
          </w:p>
        </w:tc>
        <w:tc>
          <w:tcPr>
            <w:tcW w:w="1080" w:type="dxa"/>
            <w:vAlign w:val="bottom"/>
          </w:tcPr>
          <w:p>
            <w:pPr>
              <w:spacing w:line="240" w:lineRule="auto"/>
              <w:ind w:firstLine="0" w:firstLineChars="0"/>
              <w:jc w:val="center"/>
              <w:rPr>
                <w:sz w:val="20"/>
                <w:szCs w:val="21"/>
                <w:highlight w:val="green"/>
              </w:rPr>
            </w:pPr>
            <w:r>
              <w:rPr>
                <w:sz w:val="20"/>
                <w:szCs w:val="21"/>
                <w:highlight w:val="green"/>
              </w:rPr>
              <w:t>0.67538</w:t>
            </w:r>
          </w:p>
        </w:tc>
      </w:tr>
    </w:tbl>
    <w:p>
      <w:pPr>
        <w:spacing w:line="240" w:lineRule="auto"/>
        <w:ind w:firstLine="0" w:firstLineChars="0"/>
        <w:jc w:val="center"/>
        <w:textAlignment w:val="auto"/>
        <w:rPr>
          <w:rFonts w:eastAsia="黑体"/>
          <w:kern w:val="2"/>
          <w:sz w:val="21"/>
          <w:szCs w:val="21"/>
          <w:highlight w:val="green"/>
        </w:rPr>
      </w:pPr>
    </w:p>
    <w:p>
      <w:pPr>
        <w:pStyle w:val="6"/>
        <w:spacing w:before="0" w:after="0"/>
        <w:rPr>
          <w:szCs w:val="28"/>
          <w:highlight w:val="green"/>
        </w:rPr>
      </w:pPr>
      <w:bookmarkStart w:id="342" w:name="_Toc521591778"/>
      <w:bookmarkStart w:id="343" w:name="_Toc29014"/>
      <w:r>
        <w:rPr>
          <w:szCs w:val="28"/>
          <w:highlight w:val="green"/>
        </w:rPr>
        <w:t>4.1.5区域地质概况</w:t>
      </w:r>
      <w:bookmarkEnd w:id="342"/>
      <w:bookmarkEnd w:id="343"/>
    </w:p>
    <w:p>
      <w:pPr>
        <w:pStyle w:val="3"/>
        <w:rPr>
          <w:rFonts w:eastAsia="宋体"/>
          <w:b/>
          <w:szCs w:val="24"/>
          <w:highlight w:val="green"/>
        </w:rPr>
      </w:pPr>
      <w:bookmarkStart w:id="344" w:name="_Toc294202409"/>
      <w:bookmarkStart w:id="345" w:name="_Toc294465477"/>
      <w:bookmarkStart w:id="346" w:name="_Toc195428537"/>
      <w:r>
        <w:rPr>
          <w:rFonts w:eastAsia="宋体"/>
          <w:b/>
          <w:szCs w:val="24"/>
          <w:highlight w:val="green"/>
        </w:rPr>
        <w:t>4.1.5.1基岩地质</w:t>
      </w:r>
      <w:bookmarkEnd w:id="344"/>
      <w:bookmarkEnd w:id="345"/>
      <w:bookmarkEnd w:id="346"/>
    </w:p>
    <w:p>
      <w:pPr>
        <w:ind w:firstLine="480"/>
        <w:rPr>
          <w:sz w:val="24"/>
          <w:highlight w:val="green"/>
        </w:rPr>
      </w:pPr>
      <w:r>
        <w:rPr>
          <w:sz w:val="24"/>
          <w:highlight w:val="green"/>
        </w:rPr>
        <w:t>（1）地层</w:t>
      </w:r>
    </w:p>
    <w:p>
      <w:pPr>
        <w:ind w:firstLine="480"/>
        <w:rPr>
          <w:sz w:val="24"/>
          <w:highlight w:val="green"/>
        </w:rPr>
      </w:pPr>
      <w:r>
        <w:rPr>
          <w:sz w:val="24"/>
          <w:highlight w:val="green"/>
        </w:rPr>
        <w:t>本区出露的地层主要为北部的太古界和南部的中元古界长城系和蓟县系。而在盆地中沉积了较厚的第四系。现由老至新简述如下：</w:t>
      </w:r>
    </w:p>
    <w:p>
      <w:pPr>
        <w:ind w:firstLine="480"/>
        <w:rPr>
          <w:sz w:val="24"/>
          <w:highlight w:val="green"/>
        </w:rPr>
      </w:pPr>
      <w:r>
        <w:rPr>
          <w:rFonts w:hint="eastAsia" w:ascii="宋体" w:hAnsi="宋体" w:cs="宋体"/>
          <w:sz w:val="24"/>
          <w:highlight w:val="green"/>
        </w:rPr>
        <w:t>①</w:t>
      </w:r>
      <w:r>
        <w:rPr>
          <w:sz w:val="24"/>
          <w:highlight w:val="green"/>
        </w:rPr>
        <w:t>太古界（Ar）</w:t>
      </w:r>
    </w:p>
    <w:p>
      <w:pPr>
        <w:ind w:firstLine="480"/>
        <w:rPr>
          <w:sz w:val="24"/>
          <w:highlight w:val="green"/>
        </w:rPr>
      </w:pPr>
      <w:r>
        <w:rPr>
          <w:sz w:val="24"/>
          <w:highlight w:val="green"/>
        </w:rPr>
        <w:t>在本区北部有出露，主要由各种片麻岩和混合岩组成，片麻理走向近南北，倾角一般大于80°。</w:t>
      </w:r>
    </w:p>
    <w:p>
      <w:pPr>
        <w:ind w:firstLine="480"/>
        <w:rPr>
          <w:sz w:val="24"/>
          <w:highlight w:val="green"/>
        </w:rPr>
      </w:pPr>
      <w:r>
        <w:rPr>
          <w:rFonts w:hint="eastAsia" w:ascii="宋体" w:hAnsi="宋体" w:cs="宋体"/>
          <w:sz w:val="24"/>
          <w:highlight w:val="green"/>
        </w:rPr>
        <w:t>②</w:t>
      </w:r>
      <w:r>
        <w:rPr>
          <w:sz w:val="24"/>
          <w:highlight w:val="green"/>
        </w:rPr>
        <w:t>中元古界</w:t>
      </w:r>
    </w:p>
    <w:p>
      <w:pPr>
        <w:ind w:firstLine="480"/>
        <w:rPr>
          <w:sz w:val="24"/>
          <w:highlight w:val="green"/>
        </w:rPr>
      </w:pPr>
      <w:r>
        <w:rPr>
          <w:sz w:val="24"/>
          <w:highlight w:val="green"/>
        </w:rPr>
        <w:t>长城系（Ch）：</w:t>
      </w:r>
    </w:p>
    <w:p>
      <w:pPr>
        <w:ind w:firstLine="480"/>
        <w:rPr>
          <w:sz w:val="24"/>
          <w:highlight w:val="green"/>
        </w:rPr>
      </w:pPr>
      <w:r>
        <w:rPr>
          <w:sz w:val="24"/>
          <w:highlight w:val="green"/>
        </w:rPr>
        <w:t>主要出露于笔架山－白草顶－天台山以南的广大地区，其中高于庄组伏于盆地的下部，总厚3746～4799m，自下而上由碎屑岩过度为碳酸盐岩，据岩石组合，可分为常州沟组（Chc）、串岭沟组（Ch</w:t>
      </w:r>
      <w:r>
        <w:rPr>
          <w:i/>
          <w:sz w:val="24"/>
          <w:highlight w:val="green"/>
        </w:rPr>
        <w:t>ch</w:t>
      </w:r>
      <w:r>
        <w:rPr>
          <w:sz w:val="24"/>
          <w:highlight w:val="green"/>
        </w:rPr>
        <w:t>）、团山子组（Ch</w:t>
      </w:r>
      <w:r>
        <w:rPr>
          <w:i/>
          <w:sz w:val="24"/>
          <w:highlight w:val="green"/>
        </w:rPr>
        <w:t>t</w:t>
      </w:r>
      <w:r>
        <w:rPr>
          <w:sz w:val="24"/>
          <w:highlight w:val="green"/>
        </w:rPr>
        <w:t>）、大红峪组（Ch</w:t>
      </w:r>
      <w:r>
        <w:rPr>
          <w:i/>
          <w:sz w:val="24"/>
          <w:highlight w:val="green"/>
        </w:rPr>
        <w:t>d</w:t>
      </w:r>
      <w:r>
        <w:rPr>
          <w:sz w:val="24"/>
          <w:highlight w:val="green"/>
        </w:rPr>
        <w:t>）、高于庄组（Ch</w:t>
      </w:r>
      <w:r>
        <w:rPr>
          <w:i/>
          <w:sz w:val="24"/>
          <w:highlight w:val="green"/>
        </w:rPr>
        <w:t>g</w:t>
      </w:r>
      <w:r>
        <w:rPr>
          <w:sz w:val="24"/>
          <w:highlight w:val="green"/>
        </w:rPr>
        <w:t>）五个组。</w:t>
      </w:r>
    </w:p>
    <w:p>
      <w:pPr>
        <w:ind w:firstLine="480"/>
        <w:rPr>
          <w:sz w:val="24"/>
          <w:highlight w:val="green"/>
        </w:rPr>
      </w:pPr>
      <w:r>
        <w:rPr>
          <w:sz w:val="24"/>
          <w:highlight w:val="green"/>
        </w:rPr>
        <w:t>蓟县系（Jx）：</w:t>
      </w:r>
    </w:p>
    <w:p>
      <w:pPr>
        <w:ind w:firstLine="480"/>
        <w:rPr>
          <w:sz w:val="24"/>
          <w:highlight w:val="green"/>
        </w:rPr>
      </w:pPr>
      <w:r>
        <w:rPr>
          <w:sz w:val="24"/>
          <w:highlight w:val="green"/>
        </w:rPr>
        <w:t>在本区只见有杨庄组和雾迷山组。主要岩性为白云岩及碳酸盐岩。</w:t>
      </w:r>
    </w:p>
    <w:p>
      <w:pPr>
        <w:pStyle w:val="3"/>
        <w:rPr>
          <w:rFonts w:eastAsia="宋体"/>
          <w:b/>
          <w:szCs w:val="24"/>
          <w:highlight w:val="green"/>
        </w:rPr>
      </w:pPr>
      <w:bookmarkStart w:id="347" w:name="_Toc195428538"/>
      <w:bookmarkStart w:id="348" w:name="_Toc294202410"/>
      <w:bookmarkStart w:id="349" w:name="_Toc294465478"/>
      <w:r>
        <w:rPr>
          <w:rFonts w:eastAsia="宋体"/>
          <w:b/>
          <w:szCs w:val="24"/>
          <w:highlight w:val="green"/>
        </w:rPr>
        <w:t>4.1.5.2第四纪地质</w:t>
      </w:r>
      <w:bookmarkEnd w:id="347"/>
      <w:bookmarkEnd w:id="348"/>
      <w:bookmarkEnd w:id="349"/>
    </w:p>
    <w:p>
      <w:pPr>
        <w:ind w:firstLine="480"/>
        <w:rPr>
          <w:sz w:val="24"/>
          <w:highlight w:val="green"/>
        </w:rPr>
      </w:pPr>
      <w:r>
        <w:rPr>
          <w:sz w:val="24"/>
          <w:highlight w:val="green"/>
        </w:rPr>
        <w:t>（1）第四系沉积古地理特征</w:t>
      </w:r>
    </w:p>
    <w:p>
      <w:pPr>
        <w:ind w:firstLine="480"/>
        <w:rPr>
          <w:sz w:val="24"/>
          <w:highlight w:val="green"/>
        </w:rPr>
      </w:pPr>
      <w:r>
        <w:rPr>
          <w:sz w:val="24"/>
          <w:highlight w:val="green"/>
        </w:rPr>
        <w:t>遵化盆地是一个封闭的盆地，是在以太古界、长城系为主的古老基岩夷平面上发育起来的第四纪断陷盆地。由中部弧形山分成南北两个盆地，北盆地地势较高，以冲洪积近源粗粒相为主。南盆地地势较低，受水文网的切割，是北盆地的泄水区，由于地势的封闭性，以冲积湖积相为主，沉积厚度较大，据钻孔揭露，厚度大于250m。受基底拗陷深度的控制，第四系厚度自西向东和由南北两侧向中心增大。同时基底表面不平，低洼处形成厚层粘土及含砾粘土堆积，而在隆起处遭受削蚀，以后堆积粗粒层，往往形成基岩“天窗带”。</w:t>
      </w:r>
    </w:p>
    <w:p>
      <w:pPr>
        <w:ind w:firstLine="480"/>
        <w:rPr>
          <w:sz w:val="24"/>
          <w:highlight w:val="green"/>
        </w:rPr>
      </w:pPr>
      <w:r>
        <w:rPr>
          <w:sz w:val="24"/>
          <w:highlight w:val="green"/>
        </w:rPr>
        <w:t>由于受构造和地形的控制，第四系沉积物主要来源于北部和东部，因此使第四系沉积物在水平方向上，由东北向南西有明显的水平分带规律，沿此方向，沉积物颗粒粒度变细，厚度变薄，粘土质层分隔层次增多变厚，沉积物中有机质、腐殖质和可溶盐含量增加，在成因上由冲积洪积相过渡到冲积湖积相和湖积相。沿上述方向，沉积岩性由厚层含卵砂砾石向西渐变为淤泥质土夹粉细砂层，北盆地的沉积中心在夏庄子－纪庄子一带，南盆地的沉积中心在西南部漳泗河以西一带。由于盆地边缘山麓冲积扇和古州河水系的摆动，形成三角洲相、泛流相和湖滨相的河湖交互相沉积。并由于北部抬升较强，使河流由北向南摆动，沿盆地南侧发育，现代地貌轮廓反映这一特征。</w:t>
      </w:r>
    </w:p>
    <w:p>
      <w:pPr>
        <w:ind w:firstLine="480"/>
        <w:rPr>
          <w:sz w:val="24"/>
          <w:highlight w:val="green"/>
        </w:rPr>
      </w:pPr>
      <w:r>
        <w:rPr>
          <w:sz w:val="24"/>
          <w:highlight w:val="green"/>
        </w:rPr>
        <w:t>由于构造条件和古气候的差异，新生代以来盆地的沉积环境的演变具有不同的特征，第三纪时本区为一隆起剥蚀区，气候炎热，风化较剧，是中元古界碳酸盐岩古岩溶形成的主要时期。第四纪以来，古气候有很大的变化，孢粉资料表明，由第三纪的干热气候向温冷转化，并出现数次冷暖交替的变化。据钻孔揭露，在深部早更新世地层中，见有棕褐及棕红色泥砾层，可能为冰水－冰湖沉积物，推测在山麓地带可能有冰川活动，中上更新世以来，孢粉资料反映出古气候有两个由冷变暖旋回，总的向偏干旱转化，至更新世晚期气候变干而多洪水，湖水退缩，过度为较广的河湖交互相沉积，Q</w:t>
      </w:r>
      <w:r>
        <w:rPr>
          <w:sz w:val="24"/>
          <w:highlight w:val="green"/>
          <w:vertAlign w:val="subscript"/>
        </w:rPr>
        <w:t>2</w:t>
      </w:r>
      <w:r>
        <w:rPr>
          <w:sz w:val="24"/>
          <w:highlight w:val="green"/>
        </w:rPr>
        <w:t>冲洪积物在沉积厚度，分布范围和颗粒粒度上，较其以前有一定的扩展，以沙河、淋河尤为明显，形成冲积扇的前缘迭加分布。</w:t>
      </w:r>
    </w:p>
    <w:p>
      <w:pPr>
        <w:ind w:firstLine="480"/>
        <w:rPr>
          <w:sz w:val="24"/>
          <w:highlight w:val="green"/>
        </w:rPr>
      </w:pPr>
      <w:r>
        <w:rPr>
          <w:sz w:val="24"/>
          <w:highlight w:val="green"/>
        </w:rPr>
        <w:t>古气候的演变直接影响沉积环境的变化。第四纪以来，盆地周边断裂的活动，便盆地下陷，成为区域水源的汇聚中心，形成整个下更新世的以湖相为主的河湖相沉积，在垂直方向上岩性有由粗到细两个沉积旋回；中更新世湖水波及范围最广，沉积厚度最大，湖盆中心在漳四河以西一带，中更新世早期，由于北盆地的抬升，在本区东部形成范围较广厚度较大的古州河水下三角洲沉积，有些地区厚达百米以上，其中颗粒较粗的砾砂层占80%以上。中更新世晚期有范围较广，含淤泥质的静水湖积层，富含有机层、石灰质和腐殖质，且盐分含量相对较高，并具明显薄页状水平层理。中更新世以后，湖水范围逐渐退缩，湖盆较局限，而代之以范围较广，厚度较大的冲洪积层，但至少有三次较大范围的湖水超覆沉积，形成细粒的淤泥质土沉积层。更新世晚期，由于洪水的冲切，沙河、淋河、黎河泛流相几乎遍及全区，并于燕山口切穿外泄，成为彩亭桥冲洪积扇的物源。全新世以来，以河流冲洪积物为主，在本区西部低洼地带有范围不大的湖沼沉积。</w:t>
      </w:r>
    </w:p>
    <w:p>
      <w:pPr>
        <w:ind w:firstLine="480"/>
        <w:rPr>
          <w:sz w:val="24"/>
          <w:highlight w:val="green"/>
        </w:rPr>
      </w:pPr>
      <w:r>
        <w:rPr>
          <w:sz w:val="24"/>
          <w:highlight w:val="green"/>
        </w:rPr>
        <w:t>（2）第四纪地层</w:t>
      </w:r>
    </w:p>
    <w:p>
      <w:pPr>
        <w:ind w:firstLine="480"/>
        <w:rPr>
          <w:sz w:val="24"/>
          <w:highlight w:val="green"/>
        </w:rPr>
      </w:pPr>
      <w:r>
        <w:rPr>
          <w:sz w:val="24"/>
          <w:highlight w:val="green"/>
        </w:rPr>
        <w:t>盆地内第四纪地层分布较广，北盆地内最厚度达270m，南盆地内厚度最厚超过250m，由于地质构造、古地理条件的控制，使第四系沉积物在不同地貌单元和不同地质时期，其成因、岩相和岩性具有不同特征。工作区揭露的第四纪地层，由老至新划分为四个地层组。</w:t>
      </w:r>
    </w:p>
    <w:p>
      <w:pPr>
        <w:ind w:firstLine="480"/>
        <w:rPr>
          <w:sz w:val="24"/>
          <w:highlight w:val="green"/>
        </w:rPr>
      </w:pPr>
      <w:r>
        <w:rPr>
          <w:rFonts w:hint="eastAsia" w:ascii="宋体" w:hAnsi="宋体" w:cs="宋体"/>
          <w:sz w:val="24"/>
          <w:highlight w:val="green"/>
        </w:rPr>
        <w:t>①</w:t>
      </w:r>
      <w:r>
        <w:rPr>
          <w:sz w:val="24"/>
          <w:highlight w:val="green"/>
        </w:rPr>
        <w:t>下更新统（Q</w:t>
      </w:r>
      <w:r>
        <w:rPr>
          <w:sz w:val="24"/>
          <w:highlight w:val="green"/>
          <w:vertAlign w:val="subscript"/>
        </w:rPr>
        <w:t>P</w:t>
      </w:r>
      <w:r>
        <w:rPr>
          <w:sz w:val="24"/>
          <w:highlight w:val="green"/>
          <w:vertAlign w:val="superscript"/>
        </w:rPr>
        <w:t>1</w:t>
      </w:r>
      <w:r>
        <w:rPr>
          <w:sz w:val="24"/>
          <w:highlight w:val="green"/>
        </w:rPr>
        <w:t>）：</w:t>
      </w:r>
    </w:p>
    <w:p>
      <w:pPr>
        <w:ind w:firstLine="480"/>
        <w:rPr>
          <w:sz w:val="24"/>
          <w:highlight w:val="green"/>
        </w:rPr>
      </w:pPr>
      <w:r>
        <w:rPr>
          <w:sz w:val="24"/>
          <w:highlight w:val="green"/>
        </w:rPr>
        <w:t>为一套以湖积为主，边缘可能为冰水沉积层，地表无出露，根据岩性特点，可分为上下两段：上段为灰黄、灰褐色含淤泥质粘土及砂粘土，层理不明显，夹砂层，厚度10～20m。下段为棕红色、紫红色含砾粘土夹泥质砂卵石，含铁锰质结核，砾卵石磨圆度较差，厚度10～25m。不整合覆于基岩风化带之上。</w:t>
      </w:r>
    </w:p>
    <w:p>
      <w:pPr>
        <w:ind w:firstLine="480"/>
        <w:rPr>
          <w:sz w:val="24"/>
          <w:highlight w:val="green"/>
        </w:rPr>
      </w:pPr>
      <w:r>
        <w:rPr>
          <w:rFonts w:hint="eastAsia" w:ascii="宋体" w:hAnsi="宋体" w:cs="宋体"/>
          <w:sz w:val="24"/>
          <w:highlight w:val="green"/>
        </w:rPr>
        <w:t>②</w:t>
      </w:r>
      <w:r>
        <w:rPr>
          <w:sz w:val="24"/>
          <w:highlight w:val="green"/>
        </w:rPr>
        <w:t>中更新统（Q</w:t>
      </w:r>
      <w:r>
        <w:rPr>
          <w:sz w:val="24"/>
          <w:highlight w:val="green"/>
          <w:vertAlign w:val="subscript"/>
        </w:rPr>
        <w:t>P</w:t>
      </w:r>
      <w:r>
        <w:rPr>
          <w:sz w:val="24"/>
          <w:highlight w:val="green"/>
          <w:vertAlign w:val="superscript"/>
        </w:rPr>
        <w:t>2</w:t>
      </w:r>
      <w:r>
        <w:rPr>
          <w:sz w:val="24"/>
          <w:highlight w:val="green"/>
        </w:rPr>
        <w:t>）：</w:t>
      </w:r>
    </w:p>
    <w:p>
      <w:pPr>
        <w:ind w:firstLine="480"/>
        <w:rPr>
          <w:sz w:val="24"/>
          <w:highlight w:val="green"/>
        </w:rPr>
      </w:pPr>
      <w:r>
        <w:rPr>
          <w:sz w:val="24"/>
          <w:highlight w:val="green"/>
        </w:rPr>
        <w:t>为一还原环境下的灰色湖相沉积层，几乎遍布全区。在东部，沙河及淋河流域为冲洪积－湖积交互沉积的湖滨三角洲相堆积物。其厚度和底板埋深受基底拗陷深度的控制，自东向西渐浅变薄，以东部南北山前断裂之间深拗陷带厚度最大，底板深度大于200m，向西和盆地边缘地带变薄，一般60～80m，由于沉积物源来自北部和东部，沉积颗粒由东向西和自北向南变细，沉积中心在漳泗河一线。在垂向上，有自下而上由粗变细的沉积旋回。可分为上下两组。一般下组较粗，厚度较大，主要岩性为灰黄色棕黄色砂砾石含砾中组砂夹薄层灰黄色砂粘土，颗粒较粗，砂层厚度大，东部上游地区砂砾层厚达80余米，向西和盆地内部颗粒变细，厚40～70m；上组岩性较细，为蓝灰色、灰绿色、青灰色淤泥质土夹薄层粉细纱，含大量有机质、腐殖质及石灰质，含盐量相对较高，薄层状水平层理明显，为一静水湖积层，厚30～45m。在沉积中心为厚层淤泥质粘土夹薄层粉细砂，与下伏下更新统呈整合接触。</w:t>
      </w:r>
    </w:p>
    <w:p>
      <w:pPr>
        <w:ind w:firstLine="480"/>
        <w:rPr>
          <w:sz w:val="24"/>
          <w:highlight w:val="green"/>
        </w:rPr>
      </w:pPr>
      <w:r>
        <w:rPr>
          <w:rFonts w:hint="eastAsia" w:ascii="宋体" w:hAnsi="宋体" w:cs="宋体"/>
          <w:sz w:val="24"/>
          <w:highlight w:val="green"/>
        </w:rPr>
        <w:t>③</w:t>
      </w:r>
      <w:r>
        <w:rPr>
          <w:sz w:val="24"/>
          <w:highlight w:val="green"/>
        </w:rPr>
        <w:t>上更新统（Q</w:t>
      </w:r>
      <w:r>
        <w:rPr>
          <w:sz w:val="24"/>
          <w:highlight w:val="green"/>
          <w:vertAlign w:val="subscript"/>
        </w:rPr>
        <w:t>P</w:t>
      </w:r>
      <w:r>
        <w:rPr>
          <w:sz w:val="24"/>
          <w:highlight w:val="green"/>
          <w:vertAlign w:val="superscript"/>
        </w:rPr>
        <w:t>3</w:t>
      </w:r>
      <w:r>
        <w:rPr>
          <w:sz w:val="24"/>
          <w:highlight w:val="green"/>
        </w:rPr>
        <w:t>）：</w:t>
      </w:r>
    </w:p>
    <w:p>
      <w:pPr>
        <w:ind w:firstLine="480"/>
        <w:rPr>
          <w:sz w:val="24"/>
          <w:highlight w:val="green"/>
        </w:rPr>
      </w:pPr>
      <w:r>
        <w:rPr>
          <w:sz w:val="24"/>
          <w:highlight w:val="green"/>
        </w:rPr>
        <w:t>盆地边缘和上部地层为冲洪积相，盆地内部和下部地层为冲积湖积的河湖交互相沉积物。由于沉积物来源于北部和东部，沉积颗粒也有自东向西和由边缘向盆地内部变细的规律，沉积厚度和底板埋深受古地形的影响，由盆地边缘向内部增厚变深，一般厚度40～60m，在盆地边缘地带厚度变薄，变为20～30m。主要岩性在边缘地带为含卵砂砾石、中粗砂及黄色砂粘土，夹三层薄层灰色淤泥质土，在垂向上以早期和晚期冲积砂砾石层分布较广；在盆地内部为灰黄色、浅灰色冲湖积含淤泥质砂粘土与中细纱，细纱互层。上更新统是在湖水逐渐退缩，过渡为河湖相的过程中形成的。</w:t>
      </w:r>
    </w:p>
    <w:p>
      <w:pPr>
        <w:ind w:firstLine="480"/>
        <w:rPr>
          <w:sz w:val="24"/>
          <w:highlight w:val="green"/>
        </w:rPr>
      </w:pPr>
      <w:r>
        <w:rPr>
          <w:sz w:val="24"/>
          <w:highlight w:val="green"/>
        </w:rPr>
        <w:t>山麓地带有分布较广的冲积洪积砂卵石及黄土状土坡积碎石粘土层，覆于盆地周边山麓阶地之上，一般5～20m。</w:t>
      </w:r>
    </w:p>
    <w:p>
      <w:pPr>
        <w:ind w:firstLine="480"/>
        <w:rPr>
          <w:sz w:val="24"/>
          <w:highlight w:val="green"/>
        </w:rPr>
      </w:pPr>
      <w:r>
        <w:rPr>
          <w:rFonts w:hint="eastAsia" w:ascii="宋体" w:hAnsi="宋体" w:cs="宋体"/>
          <w:sz w:val="24"/>
          <w:highlight w:val="green"/>
        </w:rPr>
        <w:t>④</w:t>
      </w:r>
      <w:r>
        <w:rPr>
          <w:sz w:val="24"/>
          <w:highlight w:val="green"/>
        </w:rPr>
        <w:t>全新统（Q</w:t>
      </w:r>
      <w:r>
        <w:rPr>
          <w:sz w:val="24"/>
          <w:highlight w:val="green"/>
          <w:vertAlign w:val="subscript"/>
        </w:rPr>
        <w:t>h</w:t>
      </w:r>
      <w:r>
        <w:rPr>
          <w:sz w:val="24"/>
          <w:highlight w:val="green"/>
        </w:rPr>
        <w:t>）：</w:t>
      </w:r>
    </w:p>
    <w:p>
      <w:pPr>
        <w:ind w:firstLine="480"/>
        <w:rPr>
          <w:sz w:val="24"/>
          <w:highlight w:val="green"/>
        </w:rPr>
      </w:pPr>
      <w:r>
        <w:rPr>
          <w:sz w:val="24"/>
          <w:highlight w:val="green"/>
        </w:rPr>
        <w:t>广覆于盆地表层，以冲洪积、冲积物为主，局部有冲湖积物。主要为黎河、沙河、淋河近代洪泛沉积物。主要岩性为黄色、棕黄色、黄褐色砂粘土、粘砂土夹薄层砂，下部往往有砂砾石或中粗细砂层，厚度10～20m，沉积物颗粒粒度由北向南和自盆地边缘向内部变细的趋势。</w:t>
      </w:r>
    </w:p>
    <w:p>
      <w:pPr>
        <w:spacing w:line="440" w:lineRule="atLeast"/>
        <w:ind w:firstLine="480"/>
        <w:rPr>
          <w:sz w:val="24"/>
          <w:highlight w:val="green"/>
        </w:rPr>
        <w:sectPr>
          <w:pgSz w:w="11907" w:h="16840"/>
          <w:pgMar w:top="1361" w:right="1361" w:bottom="1361" w:left="1644" w:header="720" w:footer="720" w:gutter="0"/>
          <w:pgBorders>
            <w:top w:val="none" w:sz="0" w:space="0"/>
            <w:left w:val="none" w:sz="0" w:space="0"/>
            <w:bottom w:val="none" w:sz="0" w:space="0"/>
            <w:right w:val="none" w:sz="0" w:space="0"/>
          </w:pgBorders>
          <w:cols w:space="720" w:num="1"/>
          <w:docGrid w:linePitch="312" w:charSpace="0"/>
        </w:sectPr>
      </w:pPr>
    </w:p>
    <w:p>
      <w:pPr>
        <w:spacing w:before="120" w:beforeLines="50" w:line="440" w:lineRule="atLeast"/>
        <w:ind w:firstLine="480"/>
        <w:rPr>
          <w:sz w:val="24"/>
          <w:highlight w:val="green"/>
        </w:rPr>
      </w:pPr>
      <w:r>
        <w:rPr>
          <w:sz w:val="24"/>
          <w:highlight w:val="green"/>
        </w:rPr>
        <w:pict>
          <v:shape id="自选图形 22" o:spid="_x0000_s1281" o:spt="62" type="#_x0000_t62" style="position:absolute;left:0pt;margin-left:106.2pt;margin-top:213.25pt;height:18.35pt;width:58.25pt;z-index:251670528;mso-width-relative:page;mso-height-relative:page;" filled="f" stroked="t" coordsize="21600,21600" adj="-3856,34136">
            <v:path/>
            <v:fill on="f" focussize="0,0"/>
            <v:stroke color="#FF0000" joinstyle="miter"/>
            <v:imagedata o:title=""/>
            <o:lock v:ext="edit"/>
            <v:textbox>
              <w:txbxContent>
                <w:p>
                  <w:pPr>
                    <w:ind w:firstLine="0" w:firstLineChars="0"/>
                    <w:rPr>
                      <w:b/>
                      <w:color w:val="0000FF"/>
                      <w:sz w:val="18"/>
                      <w:szCs w:val="18"/>
                    </w:rPr>
                  </w:pPr>
                  <w:r>
                    <w:rPr>
                      <w:rFonts w:hint="eastAsia"/>
                      <w:b/>
                      <w:color w:val="0000FF"/>
                      <w:sz w:val="18"/>
                      <w:szCs w:val="18"/>
                    </w:rPr>
                    <w:t>项目位置</w:t>
                  </w:r>
                </w:p>
              </w:txbxContent>
            </v:textbox>
          </v:shape>
        </w:pict>
      </w:r>
      <w:r>
        <w:rPr>
          <w:sz w:val="24"/>
          <w:highlight w:val="green"/>
        </w:rPr>
        <w:drawing>
          <wp:inline distT="0" distB="0" distL="0" distR="0">
            <wp:extent cx="7825740" cy="5059680"/>
            <wp:effectExtent l="19050" t="0" r="3810" b="0"/>
            <wp:docPr id="18"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1"/>
                    <pic:cNvPicPr>
                      <a:picLocks noChangeAspect="1" noChangeArrowheads="1"/>
                    </pic:cNvPicPr>
                  </pic:nvPicPr>
                  <pic:blipFill>
                    <a:blip r:embed="rId35" cstate="print"/>
                    <a:srcRect t="2054" r="28046" b="30597"/>
                    <a:stretch>
                      <a:fillRect/>
                    </a:stretch>
                  </pic:blipFill>
                  <pic:spPr>
                    <a:xfrm>
                      <a:off x="0" y="0"/>
                      <a:ext cx="7825740" cy="5059680"/>
                    </a:xfrm>
                    <a:prstGeom prst="rect">
                      <a:avLst/>
                    </a:prstGeom>
                    <a:noFill/>
                    <a:ln w="9525">
                      <a:noFill/>
                      <a:miter lim="800000"/>
                      <a:headEnd/>
                      <a:tailEnd/>
                    </a:ln>
                  </pic:spPr>
                </pic:pic>
              </a:graphicData>
            </a:graphic>
          </wp:inline>
        </w:drawing>
      </w:r>
    </w:p>
    <w:p>
      <w:pPr>
        <w:spacing w:line="440" w:lineRule="atLeast"/>
        <w:ind w:firstLine="420"/>
        <w:jc w:val="center"/>
        <w:rPr>
          <w:rFonts w:eastAsia="黑体"/>
          <w:sz w:val="21"/>
          <w:szCs w:val="21"/>
          <w:highlight w:val="green"/>
        </w:rPr>
        <w:sectPr>
          <w:pgSz w:w="16840" w:h="11907" w:orient="landscape"/>
          <w:pgMar w:top="1644" w:right="1361" w:bottom="1361" w:left="1361" w:header="720" w:footer="720" w:gutter="0"/>
          <w:pgBorders>
            <w:top w:val="none" w:sz="0" w:space="0"/>
            <w:left w:val="none" w:sz="0" w:space="0"/>
            <w:bottom w:val="none" w:sz="0" w:space="0"/>
            <w:right w:val="none" w:sz="0" w:space="0"/>
          </w:pgBorders>
          <w:cols w:space="720" w:num="1"/>
          <w:docGrid w:linePitch="312" w:charSpace="0"/>
        </w:sectPr>
      </w:pPr>
      <w:r>
        <w:rPr>
          <w:rFonts w:eastAsia="黑体"/>
          <w:sz w:val="21"/>
          <w:szCs w:val="21"/>
          <w:highlight w:val="green"/>
        </w:rPr>
        <w:t>图4.1-3    区域地质图</w:t>
      </w:r>
    </w:p>
    <w:p>
      <w:pPr>
        <w:pStyle w:val="3"/>
        <w:rPr>
          <w:rFonts w:eastAsia="宋体"/>
          <w:b/>
          <w:szCs w:val="24"/>
          <w:highlight w:val="green"/>
        </w:rPr>
      </w:pPr>
      <w:r>
        <w:rPr>
          <w:rFonts w:eastAsia="宋体"/>
          <w:b/>
          <w:szCs w:val="24"/>
          <w:highlight w:val="green"/>
        </w:rPr>
        <w:t>4.1.5.3地质构造特征</w:t>
      </w:r>
    </w:p>
    <w:p>
      <w:pPr>
        <w:ind w:firstLine="480"/>
        <w:rPr>
          <w:sz w:val="24"/>
          <w:highlight w:val="green"/>
        </w:rPr>
      </w:pPr>
      <w:r>
        <w:rPr>
          <w:sz w:val="24"/>
          <w:highlight w:val="green"/>
        </w:rPr>
        <w:t>本区太古界变质岩构成的基底构造近南北向，由中元古界长城系构成近东西向的褶皱群是区内的主体构造；自北向南的应力场形成一系列中晚期近南北向的张性断裂和平推断裂；古生带以来的历次构造运动使盖层构造复杂化，并有两次岩浆活动，北东和东西的菱形断裂控制断陷盆地的形成，断块构造构成本区的宏观构造格局。</w:t>
      </w:r>
    </w:p>
    <w:p>
      <w:pPr>
        <w:ind w:firstLine="480"/>
        <w:rPr>
          <w:sz w:val="24"/>
          <w:highlight w:val="green"/>
        </w:rPr>
      </w:pPr>
      <w:r>
        <w:rPr>
          <w:sz w:val="24"/>
          <w:highlight w:val="green"/>
        </w:rPr>
        <w:t>新构造运动活跃，在老构造的基础上有继承性的发展，在区域上受北东和东西向菱形断裂的控制，形成本区第四纪断陷盆地，周边断裂控制着盆地的发育。盆地的主体延展方向近东西向，与区域构造一致。山区和平原的差异运动，不仅在山前形成广部的山麓基座阶地，也使盆地进一步下沉，盆地内呈东西向展布的阶梯断裂，使盆地中部深陷，在南北山前断裂之间，相成本区最深的幼陷带，据物探资料，最深达300余m。根据</w:t>
      </w:r>
      <w:r>
        <w:rPr>
          <w:sz w:val="24"/>
          <w:highlight w:val="green"/>
          <w:vertAlign w:val="superscript"/>
        </w:rPr>
        <w:t>14</w:t>
      </w:r>
      <w:r>
        <w:rPr>
          <w:sz w:val="24"/>
          <w:highlight w:val="green"/>
        </w:rPr>
        <w:t>Ｃ侧年资料，上更新世沉降速度4～7mm/a。</w:t>
      </w:r>
    </w:p>
    <w:p>
      <w:pPr>
        <w:ind w:firstLine="480"/>
        <w:rPr>
          <w:sz w:val="24"/>
          <w:highlight w:val="green"/>
        </w:rPr>
      </w:pPr>
      <w:r>
        <w:rPr>
          <w:sz w:val="24"/>
          <w:highlight w:val="green"/>
        </w:rPr>
        <w:t>在北部变质岩地区，一般呈单斜构造，片麻理走向近于南北或东北，向西或北西方向倾斜，倾角一般30～70°不等。局部地区出现直立和倒转现象。较大的断裂以北东、北西或近南北向为主。其它方向规模较小。</w:t>
      </w:r>
    </w:p>
    <w:p>
      <w:pPr>
        <w:ind w:firstLine="480"/>
        <w:rPr>
          <w:sz w:val="24"/>
          <w:highlight w:val="green"/>
        </w:rPr>
      </w:pPr>
      <w:r>
        <w:rPr>
          <w:sz w:val="24"/>
          <w:highlight w:val="green"/>
        </w:rPr>
        <w:t>在南部沉积岩地区，基岩总体走向近东西方向，向南倾斜。在莫台寺～大虫峪～吊虎崖形成向斜构造；而在党峪～大官屯～刘庄形成背斜构造。断裂也很发育，主要是北西向和东西向的断裂规模比较大，而北西方向的断裂大部分被后期煌斑岩脉充填。</w:t>
      </w:r>
    </w:p>
    <w:p>
      <w:pPr>
        <w:pStyle w:val="6"/>
        <w:spacing w:before="0" w:after="0"/>
        <w:rPr>
          <w:szCs w:val="28"/>
          <w:highlight w:val="green"/>
        </w:rPr>
      </w:pPr>
      <w:bookmarkStart w:id="350" w:name="_Toc5005"/>
      <w:bookmarkStart w:id="351" w:name="_Toc521591779"/>
      <w:r>
        <w:rPr>
          <w:szCs w:val="28"/>
          <w:highlight w:val="green"/>
        </w:rPr>
        <w:t>4.1.6区域水文地质条件</w:t>
      </w:r>
      <w:bookmarkEnd w:id="350"/>
      <w:bookmarkEnd w:id="351"/>
    </w:p>
    <w:p>
      <w:pPr>
        <w:pStyle w:val="3"/>
        <w:rPr>
          <w:highlight w:val="green"/>
        </w:rPr>
      </w:pPr>
      <w:r>
        <w:rPr>
          <w:highlight w:val="green"/>
        </w:rPr>
        <w:t>4.1.6.1含水层组划分</w:t>
      </w:r>
    </w:p>
    <w:p>
      <w:pPr>
        <w:ind w:firstLine="480"/>
        <w:rPr>
          <w:sz w:val="24"/>
          <w:highlight w:val="green"/>
        </w:rPr>
      </w:pPr>
      <w:r>
        <w:rPr>
          <w:sz w:val="24"/>
          <w:highlight w:val="green"/>
        </w:rPr>
        <w:t>根据研究区的含水层介质条件，可以分为第四系孔隙水含水岩组、碳酸岩类岩溶裂隙水含水岩组、碎屑岩、变质岩岩浆岩裂隙水含水岩组。</w:t>
      </w:r>
    </w:p>
    <w:p>
      <w:pPr>
        <w:ind w:firstLine="480"/>
        <w:rPr>
          <w:sz w:val="24"/>
          <w:highlight w:val="green"/>
        </w:rPr>
      </w:pPr>
      <w:r>
        <w:rPr>
          <w:sz w:val="24"/>
          <w:highlight w:val="green"/>
        </w:rPr>
        <w:t>（1）碳酸岩类岩溶裂隙含水岩组</w:t>
      </w:r>
    </w:p>
    <w:p>
      <w:pPr>
        <w:ind w:firstLine="480"/>
        <w:rPr>
          <w:sz w:val="24"/>
          <w:highlight w:val="green"/>
        </w:rPr>
      </w:pPr>
      <w:r>
        <w:rPr>
          <w:sz w:val="24"/>
          <w:highlight w:val="green"/>
        </w:rPr>
        <w:t>该含水岩组主要为长城系大红峪组、团山子组碳酸盐岩夹碎屑岩岩溶裂隙含水岩组，呈东西向条带状分布于南北盆地之间的弧形山南缘，部分裸露，大部分为半裸露浅埋区。岩溶裂隙不发育，富水性较差，单井涌水量一般小于500m</w:t>
      </w:r>
      <w:r>
        <w:rPr>
          <w:sz w:val="24"/>
          <w:highlight w:val="green"/>
          <w:vertAlign w:val="superscript"/>
        </w:rPr>
        <w:t>3</w:t>
      </w:r>
      <w:r>
        <w:rPr>
          <w:sz w:val="24"/>
          <w:highlight w:val="green"/>
        </w:rPr>
        <w:t>/d。局部团山子组中白云岩岩溶裂隙较为发育，水量较大，可达1000～2000m</w:t>
      </w:r>
      <w:r>
        <w:rPr>
          <w:sz w:val="24"/>
          <w:highlight w:val="green"/>
          <w:vertAlign w:val="superscript"/>
        </w:rPr>
        <w:t>3</w:t>
      </w:r>
      <w:r>
        <w:rPr>
          <w:sz w:val="24"/>
          <w:highlight w:val="green"/>
        </w:rPr>
        <w:t>/d。</w:t>
      </w:r>
    </w:p>
    <w:p>
      <w:pPr>
        <w:ind w:firstLine="480"/>
        <w:rPr>
          <w:sz w:val="24"/>
          <w:highlight w:val="green"/>
        </w:rPr>
      </w:pPr>
      <w:r>
        <w:rPr>
          <w:sz w:val="24"/>
          <w:highlight w:val="green"/>
        </w:rPr>
        <w:t>（2）碎屑岩、变质岩岩浆岩裂隙水含水岩组</w:t>
      </w:r>
    </w:p>
    <w:p>
      <w:pPr>
        <w:ind w:firstLine="480"/>
        <w:rPr>
          <w:sz w:val="24"/>
          <w:highlight w:val="green"/>
        </w:rPr>
      </w:pPr>
      <w:r>
        <w:rPr>
          <w:sz w:val="24"/>
          <w:highlight w:val="green"/>
        </w:rPr>
        <w:t>碎屑岩裂隙含水岩组主要为长城系的串岭沟组、常州沟组，呈东西向条带状分布于南北盆地之间的弧形山，是南北盆地的分界体。裂隙不发育，富水性差，单井涌水量一般小于500m</w:t>
      </w:r>
      <w:r>
        <w:rPr>
          <w:sz w:val="24"/>
          <w:highlight w:val="green"/>
          <w:vertAlign w:val="superscript"/>
        </w:rPr>
        <w:t>3</w:t>
      </w:r>
      <w:r>
        <w:rPr>
          <w:sz w:val="24"/>
          <w:highlight w:val="green"/>
        </w:rPr>
        <w:t>/d。由于弧形山为张性断裂群穿切，局部地段裂隙发育，岩层含水量较大，涌水量可达500～1000 m</w:t>
      </w:r>
      <w:r>
        <w:rPr>
          <w:sz w:val="24"/>
          <w:highlight w:val="green"/>
          <w:vertAlign w:val="superscript"/>
        </w:rPr>
        <w:t>3</w:t>
      </w:r>
      <w:r>
        <w:rPr>
          <w:sz w:val="24"/>
          <w:highlight w:val="green"/>
        </w:rPr>
        <w:t>/d。水位埋深受地形影响，变化较大多在10～50m。该岩组含水微弱，可视为相对隔水层。</w:t>
      </w:r>
    </w:p>
    <w:p>
      <w:pPr>
        <w:ind w:firstLine="480"/>
        <w:rPr>
          <w:sz w:val="24"/>
          <w:highlight w:val="green"/>
        </w:rPr>
      </w:pPr>
      <w:r>
        <w:rPr>
          <w:sz w:val="24"/>
          <w:highlight w:val="green"/>
        </w:rPr>
        <w:t>变质岩、火成岩裂隙含水组，主要分布于北盆地。盆地北部周边山区为裸露区，盆地内被第四系覆盖。片麻岩主要为风化裂隙水和局部构造裂隙脉状水，含水性差，一般水量甚小，多小于200 m</w:t>
      </w:r>
      <w:r>
        <w:rPr>
          <w:sz w:val="24"/>
          <w:highlight w:val="green"/>
          <w:vertAlign w:val="superscript"/>
        </w:rPr>
        <w:t>3</w:t>
      </w:r>
      <w:r>
        <w:rPr>
          <w:sz w:val="24"/>
          <w:highlight w:val="green"/>
        </w:rPr>
        <w:t>/d，破碎地段可达500～1000 m</w:t>
      </w:r>
      <w:r>
        <w:rPr>
          <w:sz w:val="24"/>
          <w:highlight w:val="green"/>
          <w:vertAlign w:val="superscript"/>
        </w:rPr>
        <w:t>3</w:t>
      </w:r>
      <w:r>
        <w:rPr>
          <w:sz w:val="24"/>
          <w:highlight w:val="green"/>
        </w:rPr>
        <w:t>/d，泉水较发育，但流量不大，一般200 m</w:t>
      </w:r>
      <w:r>
        <w:rPr>
          <w:sz w:val="24"/>
          <w:highlight w:val="green"/>
          <w:vertAlign w:val="superscript"/>
        </w:rPr>
        <w:t>3</w:t>
      </w:r>
      <w:r>
        <w:rPr>
          <w:sz w:val="24"/>
          <w:highlight w:val="green"/>
        </w:rPr>
        <w:t>/d小于，泉群流量往往较大，可达300～800 m</w:t>
      </w:r>
      <w:r>
        <w:rPr>
          <w:sz w:val="24"/>
          <w:highlight w:val="green"/>
          <w:vertAlign w:val="superscript"/>
        </w:rPr>
        <w:t>3</w:t>
      </w:r>
      <w:r>
        <w:rPr>
          <w:sz w:val="24"/>
          <w:highlight w:val="green"/>
        </w:rPr>
        <w:t>/d。裸露的片麻岩片麻理近南北向，且与地形坡向一致，有利于降水的入渗补给。水位埋深变化较大，一般在0～20m。</w:t>
      </w:r>
    </w:p>
    <w:p>
      <w:pPr>
        <w:ind w:firstLine="480"/>
        <w:rPr>
          <w:sz w:val="24"/>
          <w:highlight w:val="green"/>
        </w:rPr>
      </w:pPr>
      <w:r>
        <w:rPr>
          <w:sz w:val="24"/>
          <w:highlight w:val="green"/>
        </w:rPr>
        <w:t>（3）第四系孔隙水含水岩组</w:t>
      </w:r>
    </w:p>
    <w:p>
      <w:pPr>
        <w:ind w:firstLine="480"/>
        <w:rPr>
          <w:sz w:val="24"/>
          <w:highlight w:val="green"/>
        </w:rPr>
      </w:pPr>
      <w:r>
        <w:rPr>
          <w:sz w:val="24"/>
          <w:highlight w:val="green"/>
        </w:rPr>
        <w:t>受古沉积环境的影响，论证区第四系含水层厚度变化较大，在山前地带，第四系厚度仅为几米到十余米，有山前到沉积盆地中心，第四系厚度达到280余米，由于第四系地层的沉积特点，决定了该区地层的含水条件变化较大。第四系含水层是本区的主要含水层，也是本次水源地的开采层。</w:t>
      </w:r>
    </w:p>
    <w:p>
      <w:pPr>
        <w:ind w:firstLine="480"/>
        <w:rPr>
          <w:sz w:val="24"/>
          <w:highlight w:val="green"/>
        </w:rPr>
      </w:pPr>
      <w:r>
        <w:rPr>
          <w:sz w:val="24"/>
          <w:highlight w:val="green"/>
        </w:rPr>
        <w:t>遵化北盆地，上部含水层为冲洪积层，主要为全新统和上更新统及中更新统的上段地层，底界埋深一般在40～110m，水力学性质为潜水－微承压水，含水层岩性有从东向西、由北至南逐渐变粗、变厚的特征，在西留村－蒲池河地区以细砂为主，砂层厚19.0～25.2m，在夏庄子地区最薄仅8.08m，到纪各庄－小渤海寨一带以砾卵石、砂卵砾石为主，砂层最厚可达50m。浅层潜水－微承压水的含水层颗粒粗，水量丰富，单井涌水量（按井深40m、井径0.25m、降深2m的出水量）最大可达3102.77m</w:t>
      </w:r>
      <w:r>
        <w:rPr>
          <w:sz w:val="24"/>
          <w:highlight w:val="green"/>
          <w:vertAlign w:val="superscript"/>
        </w:rPr>
        <w:t>3</w:t>
      </w:r>
      <w:r>
        <w:rPr>
          <w:sz w:val="24"/>
          <w:highlight w:val="green"/>
        </w:rPr>
        <w:t>/h，主要分布在提举坞至小渤海寨一带，其它地区一般在200～500 m</w:t>
      </w:r>
      <w:r>
        <w:rPr>
          <w:sz w:val="24"/>
          <w:highlight w:val="green"/>
          <w:vertAlign w:val="superscript"/>
        </w:rPr>
        <w:t>3</w:t>
      </w:r>
      <w:r>
        <w:rPr>
          <w:sz w:val="24"/>
          <w:highlight w:val="green"/>
        </w:rPr>
        <w:t>/h。该含水组水量丰富，补给量充沛，含水层埋藏浅，成井容易，开采方便，是生活用水和农业用水的主要水源。但是由于该含水组的上覆地层以亚砂土为主，且厚度较薄，防护能力差，受当地人类活动的影响较大，个别地区近年来污染较为严重，主要表现在水中NO</w:t>
      </w:r>
      <w:r>
        <w:rPr>
          <w:sz w:val="24"/>
          <w:highlight w:val="green"/>
          <w:vertAlign w:val="subscript"/>
        </w:rPr>
        <w:t>3</w:t>
      </w:r>
      <w:r>
        <w:rPr>
          <w:sz w:val="24"/>
          <w:highlight w:val="green"/>
          <w:vertAlign w:val="superscript"/>
        </w:rPr>
        <w:t>－</w:t>
      </w:r>
      <w:r>
        <w:rPr>
          <w:sz w:val="24"/>
          <w:highlight w:val="green"/>
        </w:rPr>
        <w:t>和NH</w:t>
      </w:r>
      <w:r>
        <w:rPr>
          <w:sz w:val="24"/>
          <w:highlight w:val="green"/>
          <w:vertAlign w:val="subscript"/>
        </w:rPr>
        <w:t>4</w:t>
      </w:r>
      <w:r>
        <w:rPr>
          <w:sz w:val="24"/>
          <w:highlight w:val="green"/>
          <w:vertAlign w:val="superscript"/>
        </w:rPr>
        <w:t>+</w:t>
      </w:r>
      <w:r>
        <w:rPr>
          <w:sz w:val="24"/>
          <w:highlight w:val="green"/>
        </w:rPr>
        <w:t>含量较高。</w:t>
      </w:r>
    </w:p>
    <w:p>
      <w:pPr>
        <w:ind w:firstLine="480"/>
        <w:rPr>
          <w:sz w:val="24"/>
          <w:highlight w:val="green"/>
        </w:rPr>
      </w:pPr>
      <w:r>
        <w:rPr>
          <w:sz w:val="24"/>
          <w:highlight w:val="green"/>
        </w:rPr>
        <w:t>下部含水层主要是中更新统下段和早更新统地层，该段地层厚度变化较大，主要分布在盆地的低洼地段，含水组底界最大埋深一般在150～240m，局部地区大于270m，在小埝庄－纪各庄一带最深大于250m。含水层岩性沿北阁老湾－南岭－北岭一线可分为东西两部分，在东部地区含水层岩性以粉细砂、中砂为主，而在西部地区以卵石、卵砾石为主。该段含水层由于风化较强烈，含水层颗粒多被风化为粘性土和粉细砂，富水性较差。</w:t>
      </w:r>
    </w:p>
    <w:p>
      <w:pPr>
        <w:ind w:firstLine="480"/>
        <w:rPr>
          <w:sz w:val="24"/>
          <w:highlight w:val="green"/>
        </w:rPr>
      </w:pPr>
      <w:r>
        <w:rPr>
          <w:sz w:val="24"/>
          <w:highlight w:val="green"/>
        </w:rPr>
        <w:t>根据钻孔资料和钻孔物探资料分析、以及水源地的勘探钻孔资料，我们可以看出，勘探孔的出水量与含水层的利用厚度不成正相关，而出水量却与利用上部含水层利用情况成正相关，如ZS04、ZS06、ZS07号孔，利用段是从60m左右开始利用，单位出水量18.65～48.68m</w:t>
      </w:r>
      <w:r>
        <w:rPr>
          <w:sz w:val="24"/>
          <w:highlight w:val="green"/>
          <w:vertAlign w:val="superscript"/>
        </w:rPr>
        <w:t>3</w:t>
      </w:r>
      <w:r>
        <w:rPr>
          <w:sz w:val="24"/>
          <w:highlight w:val="green"/>
        </w:rPr>
        <w:t>/h·m，而其它钻孔利用段大多在80m以下，单位出水量却比较小，因此可以看出，深部含水层富水性较差，含水层风化或含泥质成分较高。</w:t>
      </w:r>
    </w:p>
    <w:p>
      <w:pPr>
        <w:ind w:firstLine="480"/>
        <w:rPr>
          <w:sz w:val="24"/>
          <w:highlight w:val="green"/>
        </w:rPr>
      </w:pPr>
      <w:r>
        <w:rPr>
          <w:sz w:val="24"/>
          <w:highlight w:val="green"/>
        </w:rPr>
        <w:t>从总体上分析，该盆地的主要富水地段为上部含水层。根据地层结构分析，该区含水层为一个统一的第四系含水层，各含水层之间没有稳定的隔水层，因此该区的地下水含水层为一潜水微承压水含水系统。</w:t>
      </w:r>
    </w:p>
    <w:p>
      <w:pPr>
        <w:pStyle w:val="3"/>
        <w:rPr>
          <w:highlight w:val="green"/>
        </w:rPr>
      </w:pPr>
      <w:r>
        <w:rPr>
          <w:highlight w:val="green"/>
        </w:rPr>
        <w:t>4.1.6.2水文地质分区</w:t>
      </w:r>
    </w:p>
    <w:p>
      <w:pPr>
        <w:widowControl/>
        <w:ind w:firstLine="480"/>
        <w:rPr>
          <w:sz w:val="24"/>
          <w:szCs w:val="24"/>
          <w:highlight w:val="green"/>
        </w:rPr>
      </w:pPr>
      <w:r>
        <w:rPr>
          <w:sz w:val="24"/>
          <w:szCs w:val="24"/>
          <w:highlight w:val="green"/>
        </w:rPr>
        <w:t>遵化市城区饮用水地下水水源分布于遵化市北川平原境内，根据地下水水源地附近区域地下水赋存条件及富水程度、岩性、地貌以及地下水补给条件，依据不同岩类地下水赋存特征，将遵化市北川平原划分为二个水文地质区，并根据各含水组的富水强弱，划分为四个含水亚区（见图</w:t>
      </w:r>
      <w:r>
        <w:rPr>
          <w:rFonts w:hint="eastAsia"/>
          <w:sz w:val="24"/>
          <w:szCs w:val="24"/>
          <w:highlight w:val="green"/>
        </w:rPr>
        <w:t>4.1-4</w:t>
      </w:r>
      <w:r>
        <w:rPr>
          <w:sz w:val="24"/>
          <w:szCs w:val="24"/>
          <w:highlight w:val="green"/>
        </w:rPr>
        <w:t>），如下：</w:t>
      </w:r>
    </w:p>
    <w:p>
      <w:pPr>
        <w:widowControl/>
        <w:ind w:firstLine="480"/>
        <w:rPr>
          <w:sz w:val="24"/>
          <w:szCs w:val="24"/>
          <w:highlight w:val="green"/>
        </w:rPr>
      </w:pPr>
      <w:r>
        <w:rPr>
          <w:sz w:val="24"/>
          <w:szCs w:val="24"/>
          <w:highlight w:val="green"/>
        </w:rPr>
        <w:t>（1）松散岩类孔隙潜水含水区（I）</w:t>
      </w:r>
    </w:p>
    <w:p>
      <w:pPr>
        <w:widowControl/>
        <w:ind w:firstLine="480"/>
        <w:rPr>
          <w:sz w:val="24"/>
          <w:szCs w:val="24"/>
          <w:highlight w:val="green"/>
        </w:rPr>
      </w:pPr>
      <w:r>
        <w:rPr>
          <w:rFonts w:hint="eastAsia" w:ascii="宋体" w:hAnsi="宋体" w:cs="宋体"/>
          <w:sz w:val="24"/>
          <w:szCs w:val="24"/>
          <w:highlight w:val="green"/>
        </w:rPr>
        <w:t>①</w:t>
      </w:r>
      <w:r>
        <w:rPr>
          <w:sz w:val="24"/>
          <w:szCs w:val="24"/>
          <w:highlight w:val="green"/>
        </w:rPr>
        <w:t>极富水亚区（I</w:t>
      </w:r>
      <w:r>
        <w:rPr>
          <w:sz w:val="24"/>
          <w:szCs w:val="24"/>
          <w:highlight w:val="green"/>
          <w:vertAlign w:val="subscript"/>
        </w:rPr>
        <w:t>1</w:t>
      </w:r>
      <w:r>
        <w:rPr>
          <w:sz w:val="24"/>
          <w:szCs w:val="24"/>
          <w:highlight w:val="green"/>
        </w:rPr>
        <w:t>）：为Q</w:t>
      </w:r>
      <w:r>
        <w:rPr>
          <w:sz w:val="24"/>
          <w:szCs w:val="24"/>
          <w:highlight w:val="green"/>
          <w:vertAlign w:val="subscript"/>
        </w:rPr>
        <w:t>4</w:t>
      </w:r>
      <w:r>
        <w:rPr>
          <w:sz w:val="24"/>
          <w:szCs w:val="24"/>
          <w:highlight w:val="green"/>
        </w:rPr>
        <w:t>及Q</w:t>
      </w:r>
      <w:r>
        <w:rPr>
          <w:sz w:val="24"/>
          <w:szCs w:val="24"/>
          <w:highlight w:val="green"/>
          <w:vertAlign w:val="subscript"/>
        </w:rPr>
        <w:t>3</w:t>
      </w:r>
      <w:r>
        <w:rPr>
          <w:sz w:val="24"/>
          <w:szCs w:val="24"/>
          <w:highlight w:val="green"/>
        </w:rPr>
        <w:t>冲洪积卵砾石层，及Q</w:t>
      </w:r>
      <w:r>
        <w:rPr>
          <w:sz w:val="24"/>
          <w:szCs w:val="24"/>
          <w:highlight w:val="green"/>
          <w:vertAlign w:val="subscript"/>
        </w:rPr>
        <w:t>2</w:t>
      </w:r>
      <w:r>
        <w:rPr>
          <w:sz w:val="24"/>
          <w:szCs w:val="24"/>
          <w:highlight w:val="green"/>
        </w:rPr>
        <w:t>的砾石层。卵砾石层占开采深度的70～80％，单井单位涌水量100m</w:t>
      </w:r>
      <w:r>
        <w:rPr>
          <w:sz w:val="24"/>
          <w:szCs w:val="24"/>
          <w:highlight w:val="green"/>
          <w:vertAlign w:val="superscript"/>
        </w:rPr>
        <w:t>3</w:t>
      </w:r>
      <w:r>
        <w:rPr>
          <w:sz w:val="24"/>
          <w:szCs w:val="24"/>
          <w:highlight w:val="green"/>
        </w:rPr>
        <w:t>/h·m。分布在北川平原，其东部位于冲洪积扇上部，西部位于冲洪积扇下部。此含水组为遵化市地下水水源地开采的主要组段。</w:t>
      </w:r>
    </w:p>
    <w:p>
      <w:pPr>
        <w:widowControl/>
        <w:ind w:firstLine="480"/>
        <w:rPr>
          <w:sz w:val="24"/>
          <w:szCs w:val="24"/>
          <w:highlight w:val="green"/>
        </w:rPr>
      </w:pPr>
      <w:r>
        <w:rPr>
          <w:rFonts w:hint="eastAsia" w:ascii="宋体" w:hAnsi="宋体" w:cs="宋体"/>
          <w:sz w:val="24"/>
          <w:szCs w:val="24"/>
          <w:highlight w:val="green"/>
        </w:rPr>
        <w:t>②</w:t>
      </w:r>
      <w:r>
        <w:rPr>
          <w:sz w:val="24"/>
          <w:szCs w:val="24"/>
          <w:highlight w:val="green"/>
        </w:rPr>
        <w:t>富水亚区（I</w:t>
      </w:r>
      <w:r>
        <w:rPr>
          <w:sz w:val="24"/>
          <w:szCs w:val="24"/>
          <w:highlight w:val="green"/>
          <w:vertAlign w:val="subscript"/>
        </w:rPr>
        <w:t>2</w:t>
      </w:r>
      <w:r>
        <w:rPr>
          <w:sz w:val="24"/>
          <w:szCs w:val="24"/>
          <w:highlight w:val="green"/>
        </w:rPr>
        <w:t>）：为Q</w:t>
      </w:r>
      <w:r>
        <w:rPr>
          <w:sz w:val="24"/>
          <w:szCs w:val="24"/>
          <w:highlight w:val="green"/>
          <w:vertAlign w:val="subscript"/>
        </w:rPr>
        <w:t>3</w:t>
      </w:r>
      <w:r>
        <w:rPr>
          <w:sz w:val="24"/>
          <w:szCs w:val="24"/>
          <w:highlight w:val="green"/>
        </w:rPr>
        <w:t>及Q</w:t>
      </w:r>
      <w:r>
        <w:rPr>
          <w:sz w:val="24"/>
          <w:szCs w:val="24"/>
          <w:highlight w:val="green"/>
          <w:vertAlign w:val="subscript"/>
        </w:rPr>
        <w:t>4</w:t>
      </w:r>
      <w:r>
        <w:rPr>
          <w:sz w:val="24"/>
          <w:szCs w:val="24"/>
          <w:highlight w:val="green"/>
        </w:rPr>
        <w:t>冲洪积及洪积砂砾石和卵砾石层。砂砾石层厚一般5～15m，单井单位涌水量50～100m</w:t>
      </w:r>
      <w:r>
        <w:rPr>
          <w:sz w:val="24"/>
          <w:szCs w:val="24"/>
          <w:highlight w:val="green"/>
          <w:vertAlign w:val="superscript"/>
        </w:rPr>
        <w:t>3</w:t>
      </w:r>
      <w:r>
        <w:rPr>
          <w:sz w:val="24"/>
          <w:szCs w:val="24"/>
          <w:highlight w:val="green"/>
        </w:rPr>
        <w:t>/h·m。分布于冲洪积扇前缘及近洪积扇地带。</w:t>
      </w:r>
    </w:p>
    <w:p>
      <w:pPr>
        <w:widowControl/>
        <w:ind w:firstLine="480"/>
        <w:rPr>
          <w:sz w:val="24"/>
          <w:szCs w:val="24"/>
          <w:highlight w:val="green"/>
        </w:rPr>
      </w:pPr>
      <w:r>
        <w:rPr>
          <w:rFonts w:hint="eastAsia" w:ascii="宋体" w:hAnsi="宋体" w:cs="宋体"/>
          <w:sz w:val="24"/>
          <w:szCs w:val="24"/>
          <w:highlight w:val="green"/>
        </w:rPr>
        <w:t>③</w:t>
      </w:r>
      <w:r>
        <w:rPr>
          <w:sz w:val="24"/>
          <w:szCs w:val="24"/>
          <w:highlight w:val="green"/>
        </w:rPr>
        <w:t>中等富水亚区（I</w:t>
      </w:r>
      <w:r>
        <w:rPr>
          <w:sz w:val="24"/>
          <w:szCs w:val="24"/>
          <w:highlight w:val="green"/>
          <w:vertAlign w:val="subscript"/>
        </w:rPr>
        <w:t>3</w:t>
      </w:r>
      <w:r>
        <w:rPr>
          <w:sz w:val="24"/>
          <w:szCs w:val="24"/>
          <w:highlight w:val="green"/>
        </w:rPr>
        <w:t>）：为Q</w:t>
      </w:r>
      <w:r>
        <w:rPr>
          <w:sz w:val="24"/>
          <w:szCs w:val="24"/>
          <w:highlight w:val="green"/>
          <w:vertAlign w:val="subscript"/>
        </w:rPr>
        <w:t>3</w:t>
      </w:r>
      <w:r>
        <w:rPr>
          <w:sz w:val="24"/>
          <w:szCs w:val="24"/>
          <w:highlight w:val="green"/>
        </w:rPr>
        <w:t>冲洪积砂砾石及砂含砾石层。砂砾石层厚一般10m左右，该组下部个别地段夹有薄层淤泥质砂粘土。单井单位涌水量25～50m</w:t>
      </w:r>
      <w:r>
        <w:rPr>
          <w:sz w:val="24"/>
          <w:szCs w:val="24"/>
          <w:highlight w:val="green"/>
          <w:vertAlign w:val="superscript"/>
        </w:rPr>
        <w:t>3</w:t>
      </w:r>
      <w:r>
        <w:rPr>
          <w:sz w:val="24"/>
          <w:szCs w:val="24"/>
          <w:highlight w:val="green"/>
        </w:rPr>
        <w:t>/h·m。分布于北川平原的扇间地带。</w:t>
      </w:r>
    </w:p>
    <w:p>
      <w:pPr>
        <w:ind w:firstLine="480"/>
        <w:rPr>
          <w:sz w:val="24"/>
          <w:highlight w:val="green"/>
        </w:rPr>
      </w:pPr>
      <w:r>
        <w:rPr>
          <w:rFonts w:hint="eastAsia" w:ascii="宋体" w:hAnsi="宋体" w:cs="宋体"/>
          <w:sz w:val="24"/>
          <w:highlight w:val="green"/>
        </w:rPr>
        <w:t>④</w:t>
      </w:r>
      <w:r>
        <w:rPr>
          <w:sz w:val="24"/>
          <w:highlight w:val="green"/>
        </w:rPr>
        <w:t>弱富水亚组(I</w:t>
      </w:r>
      <w:r>
        <w:rPr>
          <w:sz w:val="24"/>
          <w:highlight w:val="green"/>
          <w:vertAlign w:val="subscript"/>
        </w:rPr>
        <w:t>4</w:t>
      </w:r>
      <w:r>
        <w:rPr>
          <w:sz w:val="24"/>
          <w:highlight w:val="green"/>
        </w:rPr>
        <w:t>)：为Q</w:t>
      </w:r>
      <w:r>
        <w:rPr>
          <w:sz w:val="24"/>
          <w:highlight w:val="green"/>
          <w:vertAlign w:val="subscript"/>
        </w:rPr>
        <w:t>3</w:t>
      </w:r>
      <w:r>
        <w:rPr>
          <w:sz w:val="24"/>
          <w:highlight w:val="green"/>
        </w:rPr>
        <w:t>及Q</w:t>
      </w:r>
      <w:r>
        <w:rPr>
          <w:sz w:val="24"/>
          <w:highlight w:val="green"/>
          <w:vertAlign w:val="subscript"/>
        </w:rPr>
        <w:t>4</w:t>
      </w:r>
      <w:r>
        <w:rPr>
          <w:sz w:val="24"/>
          <w:highlight w:val="green"/>
        </w:rPr>
        <w:t>冲洪积砂砾石层，单井涌水量小于50t/h。水位埋深一般2～5m，个别地段15～25m。分布于沟谷地带，以及地北头、枣林一带。</w:t>
      </w:r>
    </w:p>
    <w:p>
      <w:pPr>
        <w:ind w:firstLine="480"/>
        <w:rPr>
          <w:sz w:val="24"/>
          <w:highlight w:val="green"/>
        </w:rPr>
      </w:pPr>
      <w:r>
        <w:rPr>
          <w:rFonts w:hint="eastAsia" w:ascii="宋体" w:hAnsi="宋体" w:cs="宋体"/>
          <w:sz w:val="24"/>
          <w:highlight w:val="green"/>
        </w:rPr>
        <w:t>⑤</w:t>
      </w:r>
      <w:r>
        <w:rPr>
          <w:sz w:val="24"/>
          <w:highlight w:val="green"/>
        </w:rPr>
        <w:t>贫水亚组(I</w:t>
      </w:r>
      <w:r>
        <w:rPr>
          <w:sz w:val="24"/>
          <w:highlight w:val="green"/>
          <w:vertAlign w:val="subscript"/>
        </w:rPr>
        <w:t>5</w:t>
      </w:r>
      <w:r>
        <w:rPr>
          <w:sz w:val="24"/>
          <w:highlight w:val="green"/>
        </w:rPr>
        <w:t>)：为Q</w:t>
      </w:r>
      <w:r>
        <w:rPr>
          <w:sz w:val="24"/>
          <w:highlight w:val="green"/>
          <w:vertAlign w:val="subscript"/>
        </w:rPr>
        <w:t>3</w:t>
      </w:r>
      <w:r>
        <w:rPr>
          <w:sz w:val="24"/>
          <w:highlight w:val="green"/>
        </w:rPr>
        <w:t>及Q</w:t>
      </w:r>
      <w:r>
        <w:rPr>
          <w:sz w:val="24"/>
          <w:highlight w:val="green"/>
          <w:vertAlign w:val="subscript"/>
        </w:rPr>
        <w:t>4</w:t>
      </w:r>
      <w:r>
        <w:rPr>
          <w:sz w:val="24"/>
          <w:highlight w:val="green"/>
        </w:rPr>
        <w:t>冲洪积砂砾卵石层，单井涌水量小于30t/h。水位埋深3～5m。分布于山间沟谷地带。</w:t>
      </w:r>
    </w:p>
    <w:p>
      <w:pPr>
        <w:ind w:firstLine="480"/>
        <w:rPr>
          <w:sz w:val="24"/>
          <w:highlight w:val="green"/>
        </w:rPr>
      </w:pPr>
      <w:r>
        <w:rPr>
          <w:rFonts w:hint="eastAsia" w:ascii="宋体" w:hAnsi="宋体" w:cs="宋体"/>
          <w:sz w:val="24"/>
          <w:highlight w:val="green"/>
        </w:rPr>
        <w:t>⑥</w:t>
      </w:r>
      <w:r>
        <w:rPr>
          <w:sz w:val="24"/>
          <w:highlight w:val="green"/>
        </w:rPr>
        <w:t>微含水或不含水亚组(I</w:t>
      </w:r>
      <w:r>
        <w:rPr>
          <w:sz w:val="24"/>
          <w:highlight w:val="green"/>
          <w:vertAlign w:val="subscript"/>
        </w:rPr>
        <w:t>6</w:t>
      </w:r>
      <w:r>
        <w:rPr>
          <w:sz w:val="24"/>
          <w:highlight w:val="green"/>
        </w:rPr>
        <w:t>)：为Q</w:t>
      </w:r>
      <w:r>
        <w:rPr>
          <w:sz w:val="24"/>
          <w:highlight w:val="green"/>
          <w:vertAlign w:val="subscript"/>
        </w:rPr>
        <w:t>2</w:t>
      </w:r>
      <w:r>
        <w:rPr>
          <w:sz w:val="24"/>
          <w:highlight w:val="green"/>
        </w:rPr>
        <w:t>及Q</w:t>
      </w:r>
      <w:r>
        <w:rPr>
          <w:sz w:val="24"/>
          <w:highlight w:val="green"/>
          <w:vertAlign w:val="subscript"/>
        </w:rPr>
        <w:t>3</w:t>
      </w:r>
      <w:r>
        <w:rPr>
          <w:sz w:val="24"/>
          <w:highlight w:val="green"/>
        </w:rPr>
        <w:t>坡洪积层，主要岩性为粘砂土，或砂粘土含碎石，不含水或微含水。分布于山丘边缘。</w:t>
      </w:r>
    </w:p>
    <w:p>
      <w:pPr>
        <w:ind w:firstLine="480"/>
        <w:rPr>
          <w:sz w:val="24"/>
          <w:szCs w:val="24"/>
          <w:highlight w:val="green"/>
        </w:rPr>
      </w:pPr>
      <w:r>
        <w:rPr>
          <w:sz w:val="24"/>
          <w:szCs w:val="24"/>
          <w:highlight w:val="green"/>
        </w:rPr>
        <w:t>（2）碳酸盐岩类裂隙、岩溶裂隙含水区（II）</w:t>
      </w:r>
    </w:p>
    <w:p>
      <w:pPr>
        <w:ind w:firstLine="480"/>
        <w:rPr>
          <w:sz w:val="24"/>
          <w:szCs w:val="24"/>
          <w:highlight w:val="green"/>
        </w:rPr>
      </w:pPr>
      <w:r>
        <w:rPr>
          <w:rFonts w:hint="eastAsia" w:ascii="宋体" w:hAnsi="宋体" w:cs="宋体"/>
          <w:sz w:val="24"/>
          <w:szCs w:val="24"/>
          <w:highlight w:val="green"/>
        </w:rPr>
        <w:t>①</w:t>
      </w:r>
      <w:r>
        <w:rPr>
          <w:sz w:val="24"/>
          <w:szCs w:val="24"/>
          <w:highlight w:val="green"/>
        </w:rPr>
        <w:t>富水亚组（II</w:t>
      </w:r>
      <w:r>
        <w:rPr>
          <w:sz w:val="24"/>
          <w:szCs w:val="24"/>
          <w:highlight w:val="green"/>
          <w:vertAlign w:val="subscript"/>
        </w:rPr>
        <w:t>1</w:t>
      </w:r>
      <w:r>
        <w:rPr>
          <w:sz w:val="24"/>
          <w:szCs w:val="24"/>
          <w:highlight w:val="green"/>
        </w:rPr>
        <w:t>）：由于高于庄组和雾迷山两组构成，分布广泛。裂隙、岩溶裂隙发育，局部见有小溶洞，富水性强，但不均一，单井涌水量一般30～50m3/h，构造破碎带地段可达 100～250m</w:t>
      </w:r>
      <w:r>
        <w:rPr>
          <w:sz w:val="24"/>
          <w:szCs w:val="24"/>
          <w:highlight w:val="green"/>
          <w:vertAlign w:val="superscript"/>
        </w:rPr>
        <w:t>3</w:t>
      </w:r>
      <w:r>
        <w:rPr>
          <w:sz w:val="24"/>
          <w:szCs w:val="24"/>
          <w:highlight w:val="green"/>
        </w:rPr>
        <w:t>/h。</w:t>
      </w:r>
    </w:p>
    <w:p>
      <w:pPr>
        <w:ind w:firstLine="480"/>
        <w:rPr>
          <w:sz w:val="24"/>
          <w:szCs w:val="24"/>
          <w:highlight w:val="green"/>
        </w:rPr>
      </w:pPr>
      <w:r>
        <w:rPr>
          <w:sz w:val="24"/>
          <w:szCs w:val="24"/>
          <w:highlight w:val="green"/>
        </w:rPr>
        <w:t>雾迷山组以白云质灰岩部位的层间裂隙水为最好，富水性强。在山区与平原交界地段高于庄组地下水年变幅一般25～30m，而雾迷山组为10～20m，但地形高处可达50m以上。</w:t>
      </w:r>
    </w:p>
    <w:p>
      <w:pPr>
        <w:ind w:firstLine="480"/>
        <w:rPr>
          <w:sz w:val="24"/>
          <w:szCs w:val="24"/>
          <w:highlight w:val="green"/>
        </w:rPr>
      </w:pPr>
      <w:r>
        <w:rPr>
          <w:rFonts w:hint="eastAsia" w:ascii="宋体" w:hAnsi="宋体" w:cs="宋体"/>
          <w:sz w:val="24"/>
          <w:szCs w:val="24"/>
          <w:highlight w:val="green"/>
        </w:rPr>
        <w:t>②</w:t>
      </w:r>
      <w:r>
        <w:rPr>
          <w:sz w:val="24"/>
          <w:szCs w:val="24"/>
          <w:highlight w:val="green"/>
        </w:rPr>
        <w:t>中等富水亚组（II</w:t>
      </w:r>
      <w:r>
        <w:rPr>
          <w:sz w:val="24"/>
          <w:szCs w:val="24"/>
          <w:highlight w:val="green"/>
          <w:vertAlign w:val="subscript"/>
        </w:rPr>
        <w:t>2</w:t>
      </w:r>
      <w:r>
        <w:rPr>
          <w:sz w:val="24"/>
          <w:szCs w:val="24"/>
          <w:highlight w:val="green"/>
        </w:rPr>
        <w:t>）：由大洪峪组和杨庄组构成，裂隙、岩溶裂隙较为发育，单井涌水量一般为 20～30m</w:t>
      </w:r>
      <w:r>
        <w:rPr>
          <w:sz w:val="24"/>
          <w:szCs w:val="24"/>
          <w:highlight w:val="green"/>
          <w:vertAlign w:val="superscript"/>
        </w:rPr>
        <w:t>3</w:t>
      </w:r>
      <w:r>
        <w:rPr>
          <w:sz w:val="24"/>
          <w:szCs w:val="24"/>
          <w:highlight w:val="green"/>
        </w:rPr>
        <w:t>/h，构造破碎带地段可达70 m</w:t>
      </w:r>
      <w:r>
        <w:rPr>
          <w:sz w:val="24"/>
          <w:szCs w:val="24"/>
          <w:highlight w:val="green"/>
          <w:vertAlign w:val="superscript"/>
        </w:rPr>
        <w:t>3</w:t>
      </w:r>
      <w:r>
        <w:rPr>
          <w:sz w:val="24"/>
          <w:szCs w:val="24"/>
          <w:highlight w:val="green"/>
        </w:rPr>
        <w:t>/h 以上。</w:t>
      </w:r>
    </w:p>
    <w:p>
      <w:pPr>
        <w:ind w:firstLine="480"/>
        <w:rPr>
          <w:sz w:val="24"/>
          <w:szCs w:val="24"/>
          <w:highlight w:val="green"/>
        </w:rPr>
      </w:pPr>
      <w:r>
        <w:rPr>
          <w:sz w:val="24"/>
          <w:szCs w:val="24"/>
          <w:highlight w:val="green"/>
        </w:rPr>
        <w:t>（3）碎屑岩类裂隙含水岩区（III）</w:t>
      </w:r>
    </w:p>
    <w:p>
      <w:pPr>
        <w:ind w:firstLine="480"/>
        <w:rPr>
          <w:sz w:val="24"/>
          <w:szCs w:val="24"/>
          <w:highlight w:val="green"/>
        </w:rPr>
      </w:pPr>
      <w:r>
        <w:rPr>
          <w:rFonts w:hint="eastAsia" w:ascii="宋体" w:hAnsi="宋体" w:cs="宋体"/>
          <w:sz w:val="24"/>
          <w:szCs w:val="24"/>
          <w:highlight w:val="green"/>
        </w:rPr>
        <w:t>①</w:t>
      </w:r>
      <w:r>
        <w:rPr>
          <w:sz w:val="24"/>
          <w:szCs w:val="24"/>
          <w:highlight w:val="green"/>
        </w:rPr>
        <w:t>弱富水亚组（III</w:t>
      </w:r>
      <w:r>
        <w:rPr>
          <w:sz w:val="24"/>
          <w:szCs w:val="24"/>
          <w:highlight w:val="green"/>
          <w:vertAlign w:val="subscript"/>
        </w:rPr>
        <w:t>1</w:t>
      </w:r>
      <w:r>
        <w:rPr>
          <w:sz w:val="24"/>
          <w:szCs w:val="24"/>
          <w:highlight w:val="green"/>
        </w:rPr>
        <w:t>）：主要为常州沟组底层，为含水弱的层间裂隙水，据成井资料统计，单井涌水量一般只有 3～20 m</w:t>
      </w:r>
      <w:r>
        <w:rPr>
          <w:sz w:val="24"/>
          <w:szCs w:val="24"/>
          <w:highlight w:val="green"/>
          <w:vertAlign w:val="superscript"/>
        </w:rPr>
        <w:t>3</w:t>
      </w:r>
      <w:r>
        <w:rPr>
          <w:sz w:val="24"/>
          <w:szCs w:val="24"/>
          <w:highlight w:val="green"/>
        </w:rPr>
        <w:t>/h。</w:t>
      </w:r>
    </w:p>
    <w:p>
      <w:pPr>
        <w:ind w:firstLine="480"/>
        <w:rPr>
          <w:sz w:val="24"/>
          <w:szCs w:val="24"/>
          <w:highlight w:val="green"/>
        </w:rPr>
      </w:pPr>
      <w:r>
        <w:rPr>
          <w:rFonts w:hint="eastAsia" w:ascii="宋体" w:hAnsi="宋体" w:cs="宋体"/>
          <w:sz w:val="24"/>
          <w:szCs w:val="24"/>
          <w:highlight w:val="green"/>
        </w:rPr>
        <w:t>②</w:t>
      </w:r>
      <w:r>
        <w:rPr>
          <w:sz w:val="24"/>
          <w:szCs w:val="24"/>
          <w:highlight w:val="green"/>
        </w:rPr>
        <w:t>贫水亚组（III</w:t>
      </w:r>
      <w:r>
        <w:rPr>
          <w:sz w:val="24"/>
          <w:szCs w:val="24"/>
          <w:highlight w:val="green"/>
          <w:vertAlign w:val="subscript"/>
        </w:rPr>
        <w:t>2</w:t>
      </w:r>
      <w:r>
        <w:rPr>
          <w:sz w:val="24"/>
          <w:szCs w:val="24"/>
          <w:highlight w:val="green"/>
        </w:rPr>
        <w:t>）：由串岭沟、团山子两组构成，本岩组裂隙多呈闭合状态。含水微弱，但在泥质白云岩分布地段亦有少量层间裂隙水。</w:t>
      </w:r>
    </w:p>
    <w:p>
      <w:pPr>
        <w:widowControl/>
        <w:ind w:firstLine="480"/>
        <w:rPr>
          <w:sz w:val="24"/>
          <w:szCs w:val="24"/>
          <w:highlight w:val="green"/>
        </w:rPr>
      </w:pPr>
      <w:r>
        <w:rPr>
          <w:sz w:val="24"/>
          <w:szCs w:val="24"/>
          <w:highlight w:val="green"/>
        </w:rPr>
        <w:t>（4）变质岩风化裂隙含水岩区（IV）</w:t>
      </w:r>
    </w:p>
    <w:p>
      <w:pPr>
        <w:ind w:firstLine="480"/>
        <w:rPr>
          <w:sz w:val="24"/>
          <w:highlight w:val="green"/>
        </w:rPr>
        <w:sectPr>
          <w:pgSz w:w="11907" w:h="16840"/>
          <w:pgMar w:top="1361" w:right="1361" w:bottom="1361" w:left="1644" w:header="720" w:footer="720" w:gutter="0"/>
          <w:pgBorders>
            <w:top w:val="none" w:sz="0" w:space="0"/>
            <w:left w:val="none" w:sz="0" w:space="0"/>
            <w:bottom w:val="none" w:sz="0" w:space="0"/>
            <w:right w:val="none" w:sz="0" w:space="0"/>
          </w:pgBorders>
          <w:cols w:space="720" w:num="1"/>
          <w:docGrid w:linePitch="312" w:charSpace="0"/>
        </w:sectPr>
      </w:pPr>
      <w:r>
        <w:rPr>
          <w:sz w:val="24"/>
          <w:szCs w:val="24"/>
          <w:highlight w:val="green"/>
        </w:rPr>
        <w:t>为太古界片麻岩，主要为上部风化裂隙水和局部脉状构造裂隙水。单井涌水量一般0.6～1.3m</w:t>
      </w:r>
      <w:r>
        <w:rPr>
          <w:sz w:val="24"/>
          <w:szCs w:val="24"/>
          <w:highlight w:val="green"/>
          <w:vertAlign w:val="superscript"/>
        </w:rPr>
        <w:t>3</w:t>
      </w:r>
      <w:r>
        <w:rPr>
          <w:sz w:val="24"/>
          <w:szCs w:val="24"/>
          <w:highlight w:val="green"/>
        </w:rPr>
        <w:t>/h，构造破碎带地段可达30～40m</w:t>
      </w:r>
      <w:r>
        <w:rPr>
          <w:sz w:val="24"/>
          <w:szCs w:val="24"/>
          <w:highlight w:val="green"/>
          <w:vertAlign w:val="superscript"/>
        </w:rPr>
        <w:t>3</w:t>
      </w:r>
      <w:r>
        <w:rPr>
          <w:sz w:val="24"/>
          <w:szCs w:val="24"/>
          <w:highlight w:val="green"/>
        </w:rPr>
        <w:t>/h。此含水组与上部松散岩类孔隙潜水含水组水力联系密切。</w:t>
      </w:r>
    </w:p>
    <w:p>
      <w:pPr>
        <w:spacing w:line="440" w:lineRule="atLeast"/>
        <w:ind w:firstLine="480"/>
        <w:jc w:val="center"/>
        <w:rPr>
          <w:sz w:val="24"/>
          <w:highlight w:val="green"/>
        </w:rPr>
      </w:pPr>
      <w:r>
        <w:rPr>
          <w:sz w:val="24"/>
          <w:highlight w:val="green"/>
        </w:rPr>
        <w:pict>
          <v:shape id="自选图形 23" o:spid="_x0000_s1282" o:spt="62" type="#_x0000_t62" style="position:absolute;left:0pt;margin-left:202.7pt;margin-top:190.8pt;height:27pt;width:72.35pt;z-index:251671552;mso-width-relative:page;mso-height-relative:page;" filled="f" stroked="t" coordsize="21600,21600" adj="-3403,-22480">
            <v:path/>
            <v:fill on="f" focussize="0,0"/>
            <v:stroke color="#FF0000" joinstyle="miter"/>
            <v:imagedata o:title=""/>
            <o:lock v:ext="edit"/>
            <v:textbox>
              <w:txbxContent>
                <w:p>
                  <w:pPr>
                    <w:ind w:firstLine="0" w:firstLineChars="0"/>
                    <w:rPr>
                      <w:b/>
                      <w:color w:val="000000"/>
                      <w:sz w:val="21"/>
                      <w:szCs w:val="21"/>
                    </w:rPr>
                  </w:pPr>
                  <w:r>
                    <w:rPr>
                      <w:rFonts w:hint="eastAsia"/>
                      <w:b/>
                      <w:color w:val="000000"/>
                      <w:sz w:val="21"/>
                      <w:szCs w:val="21"/>
                    </w:rPr>
                    <w:t>本项目位置</w:t>
                  </w:r>
                </w:p>
              </w:txbxContent>
            </v:textbox>
          </v:shape>
        </w:pict>
      </w:r>
      <w:r>
        <w:rPr>
          <w:szCs w:val="24"/>
          <w:highlight w:val="green"/>
        </w:rPr>
        <w:drawing>
          <wp:inline distT="0" distB="0" distL="0" distR="0">
            <wp:extent cx="7421880" cy="5280660"/>
            <wp:effectExtent l="19050" t="0" r="7620" b="0"/>
            <wp:docPr id="19" name="图片 6" descr="147[NY38)]ZEAZWBG9TGR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147[NY38)]ZEAZWBG9TGR4O"/>
                    <pic:cNvPicPr>
                      <a:picLocks noChangeAspect="1" noChangeArrowheads="1"/>
                    </pic:cNvPicPr>
                  </pic:nvPicPr>
                  <pic:blipFill>
                    <a:blip r:embed="rId36" cstate="print"/>
                    <a:srcRect/>
                    <a:stretch>
                      <a:fillRect/>
                    </a:stretch>
                  </pic:blipFill>
                  <pic:spPr>
                    <a:xfrm>
                      <a:off x="0" y="0"/>
                      <a:ext cx="7421880" cy="5280660"/>
                    </a:xfrm>
                    <a:prstGeom prst="rect">
                      <a:avLst/>
                    </a:prstGeom>
                    <a:noFill/>
                    <a:ln w="9525">
                      <a:noFill/>
                      <a:miter lim="800000"/>
                      <a:headEnd/>
                      <a:tailEnd/>
                    </a:ln>
                  </pic:spPr>
                </pic:pic>
              </a:graphicData>
            </a:graphic>
          </wp:inline>
        </w:drawing>
      </w:r>
    </w:p>
    <w:p>
      <w:pPr>
        <w:spacing w:line="440" w:lineRule="atLeast"/>
        <w:ind w:firstLine="420"/>
        <w:jc w:val="center"/>
        <w:rPr>
          <w:rFonts w:eastAsia="黑体"/>
          <w:sz w:val="21"/>
          <w:szCs w:val="21"/>
          <w:highlight w:val="green"/>
        </w:rPr>
      </w:pPr>
      <w:r>
        <w:rPr>
          <w:rFonts w:eastAsia="黑体"/>
          <w:sz w:val="21"/>
          <w:szCs w:val="21"/>
          <w:highlight w:val="green"/>
        </w:rPr>
        <w:t>图4.1-4    遵化市区域水文地质图</w:t>
      </w:r>
    </w:p>
    <w:p>
      <w:pPr>
        <w:spacing w:line="440" w:lineRule="atLeast"/>
        <w:ind w:firstLine="480"/>
        <w:rPr>
          <w:sz w:val="24"/>
          <w:highlight w:val="green"/>
        </w:rPr>
        <w:sectPr>
          <w:pgSz w:w="16840" w:h="11907" w:orient="landscape"/>
          <w:pgMar w:top="1644" w:right="1361" w:bottom="1361" w:left="1361" w:header="720" w:footer="720" w:gutter="0"/>
          <w:pgBorders>
            <w:top w:val="none" w:sz="0" w:space="0"/>
            <w:left w:val="none" w:sz="0" w:space="0"/>
            <w:bottom w:val="none" w:sz="0" w:space="0"/>
            <w:right w:val="none" w:sz="0" w:space="0"/>
          </w:pgBorders>
          <w:cols w:space="720" w:num="1"/>
          <w:docGrid w:linePitch="312" w:charSpace="0"/>
        </w:sectPr>
      </w:pPr>
    </w:p>
    <w:p>
      <w:pPr>
        <w:pStyle w:val="3"/>
        <w:rPr>
          <w:highlight w:val="green"/>
        </w:rPr>
      </w:pPr>
      <w:r>
        <w:rPr>
          <w:highlight w:val="green"/>
        </w:rPr>
        <w:t>4.1.6.3地下水埋藏条件</w:t>
      </w:r>
    </w:p>
    <w:p>
      <w:pPr>
        <w:spacing w:line="440" w:lineRule="atLeast"/>
        <w:ind w:firstLine="480"/>
        <w:rPr>
          <w:sz w:val="24"/>
          <w:highlight w:val="green"/>
        </w:rPr>
      </w:pPr>
      <w:r>
        <w:rPr>
          <w:sz w:val="24"/>
          <w:highlight w:val="green"/>
        </w:rPr>
        <w:t>根据区域水文地质剖面图（图4.1-5），按含水层岩性和地下水的埋藏条件，自上而下分述如下：</w:t>
      </w:r>
    </w:p>
    <w:p>
      <w:pPr>
        <w:spacing w:line="440" w:lineRule="atLeast"/>
        <w:ind w:firstLine="480"/>
        <w:rPr>
          <w:sz w:val="24"/>
          <w:highlight w:val="green"/>
        </w:rPr>
      </w:pPr>
      <w:r>
        <w:rPr>
          <w:sz w:val="24"/>
          <w:highlight w:val="green"/>
        </w:rPr>
        <w:t>（1）第四系含水组</w:t>
      </w:r>
    </w:p>
    <w:p>
      <w:pPr>
        <w:spacing w:line="440" w:lineRule="atLeast"/>
        <w:ind w:firstLine="480"/>
        <w:rPr>
          <w:sz w:val="24"/>
          <w:highlight w:val="green"/>
        </w:rPr>
      </w:pPr>
      <w:r>
        <w:rPr>
          <w:rFonts w:hint="eastAsia" w:ascii="宋体" w:hAnsi="宋体" w:cs="宋体"/>
          <w:sz w:val="24"/>
          <w:highlight w:val="green"/>
        </w:rPr>
        <w:t>①</w:t>
      </w:r>
      <w:r>
        <w:rPr>
          <w:sz w:val="24"/>
          <w:highlight w:val="green"/>
        </w:rPr>
        <w:t>第一含水段（孔隙潜水-微承压水含水段）</w:t>
      </w:r>
    </w:p>
    <w:p>
      <w:pPr>
        <w:spacing w:line="440" w:lineRule="atLeast"/>
        <w:ind w:firstLine="480"/>
        <w:rPr>
          <w:sz w:val="24"/>
          <w:highlight w:val="green"/>
        </w:rPr>
      </w:pPr>
      <w:r>
        <w:rPr>
          <w:sz w:val="24"/>
          <w:highlight w:val="green"/>
        </w:rPr>
        <w:t>主要岩性为砾卵石，中粗砂、中细砂夹少量粉土、粉质粘土。厚度19.0~25.0m，最厚50m，底板埋深51.0~58.0m。据本次勘察抽水资料，单位涌水量q=29.08L/s·m。渗透系数K=88.77m/d。当地农业灌溉及生活用水均取自该层。</w:t>
      </w:r>
    </w:p>
    <w:p>
      <w:pPr>
        <w:spacing w:line="440" w:lineRule="atLeast"/>
        <w:ind w:firstLine="480"/>
        <w:rPr>
          <w:sz w:val="24"/>
          <w:highlight w:val="green"/>
        </w:rPr>
      </w:pPr>
      <w:r>
        <w:rPr>
          <w:rFonts w:hint="eastAsia" w:ascii="宋体" w:hAnsi="宋体" w:cs="宋体"/>
          <w:sz w:val="24"/>
          <w:highlight w:val="green"/>
        </w:rPr>
        <w:t>②</w:t>
      </w:r>
      <w:r>
        <w:rPr>
          <w:sz w:val="24"/>
          <w:highlight w:val="green"/>
        </w:rPr>
        <w:t>第一隔水层</w:t>
      </w:r>
    </w:p>
    <w:p>
      <w:pPr>
        <w:spacing w:line="440" w:lineRule="atLeast"/>
        <w:ind w:firstLine="480"/>
        <w:rPr>
          <w:sz w:val="24"/>
          <w:highlight w:val="green"/>
        </w:rPr>
      </w:pPr>
      <w:r>
        <w:rPr>
          <w:sz w:val="24"/>
          <w:highlight w:val="green"/>
        </w:rPr>
        <w:t>主要岩性为粉土，厚度2~4m，底板埋深55~60m，水平延展性差，不连续。</w:t>
      </w:r>
    </w:p>
    <w:p>
      <w:pPr>
        <w:spacing w:line="440" w:lineRule="atLeast"/>
        <w:ind w:firstLine="480"/>
        <w:rPr>
          <w:sz w:val="24"/>
          <w:highlight w:val="green"/>
        </w:rPr>
      </w:pPr>
      <w:r>
        <w:rPr>
          <w:rFonts w:hint="eastAsia" w:ascii="宋体" w:hAnsi="宋体" w:cs="宋体"/>
          <w:sz w:val="24"/>
          <w:highlight w:val="green"/>
        </w:rPr>
        <w:t>③</w:t>
      </w:r>
      <w:r>
        <w:rPr>
          <w:sz w:val="24"/>
          <w:highlight w:val="green"/>
        </w:rPr>
        <w:t>第二含水段（深层承压水含水段）</w:t>
      </w:r>
    </w:p>
    <w:p>
      <w:pPr>
        <w:spacing w:line="440" w:lineRule="atLeast"/>
        <w:ind w:firstLine="480"/>
        <w:rPr>
          <w:sz w:val="24"/>
          <w:highlight w:val="green"/>
        </w:rPr>
      </w:pPr>
      <w:r>
        <w:rPr>
          <w:sz w:val="24"/>
          <w:highlight w:val="green"/>
        </w:rPr>
        <w:t>主要岩性为中粗砂及砾卵石。厚度150m左右，底板埋深一般224~235m，涌水量140~159m</w:t>
      </w:r>
      <w:r>
        <w:rPr>
          <w:sz w:val="24"/>
          <w:highlight w:val="green"/>
          <w:vertAlign w:val="superscript"/>
        </w:rPr>
        <w:t>3</w:t>
      </w:r>
      <w:r>
        <w:rPr>
          <w:sz w:val="24"/>
          <w:highlight w:val="green"/>
        </w:rPr>
        <w:t>/h，单位涌水量q=1.84~2.93L/s·m，地下水类型为：HCO</w:t>
      </w:r>
      <w:r>
        <w:rPr>
          <w:sz w:val="24"/>
          <w:highlight w:val="green"/>
          <w:vertAlign w:val="subscript"/>
        </w:rPr>
        <w:t>3</w:t>
      </w:r>
      <w:r>
        <w:rPr>
          <w:sz w:val="24"/>
          <w:highlight w:val="green"/>
        </w:rPr>
        <w:t>.SO</w:t>
      </w:r>
      <w:r>
        <w:rPr>
          <w:sz w:val="24"/>
          <w:highlight w:val="green"/>
          <w:vertAlign w:val="subscript"/>
        </w:rPr>
        <w:t>4</w:t>
      </w:r>
      <w:r>
        <w:rPr>
          <w:sz w:val="24"/>
          <w:highlight w:val="green"/>
        </w:rPr>
        <w:t>-Ca·Mg、HCO</w:t>
      </w:r>
      <w:r>
        <w:rPr>
          <w:sz w:val="24"/>
          <w:highlight w:val="green"/>
          <w:vertAlign w:val="subscript"/>
        </w:rPr>
        <w:t>3</w:t>
      </w:r>
      <w:r>
        <w:rPr>
          <w:sz w:val="24"/>
          <w:highlight w:val="green"/>
        </w:rPr>
        <w:t>·SO</w:t>
      </w:r>
      <w:r>
        <w:rPr>
          <w:sz w:val="24"/>
          <w:highlight w:val="green"/>
          <w:vertAlign w:val="subscript"/>
        </w:rPr>
        <w:t>4</w:t>
      </w:r>
      <w:r>
        <w:rPr>
          <w:sz w:val="24"/>
          <w:highlight w:val="green"/>
        </w:rPr>
        <w:t>-Na·Ca型，是当地工农业供水的后备水源。</w:t>
      </w:r>
    </w:p>
    <w:p>
      <w:pPr>
        <w:spacing w:line="440" w:lineRule="atLeast"/>
        <w:ind w:firstLine="480"/>
        <w:rPr>
          <w:sz w:val="24"/>
          <w:highlight w:val="green"/>
        </w:rPr>
      </w:pPr>
      <w:r>
        <w:rPr>
          <w:rFonts w:hint="eastAsia" w:ascii="宋体" w:hAnsi="宋体" w:cs="宋体"/>
          <w:sz w:val="24"/>
          <w:highlight w:val="green"/>
        </w:rPr>
        <w:t>④</w:t>
      </w:r>
      <w:r>
        <w:rPr>
          <w:sz w:val="24"/>
          <w:highlight w:val="green"/>
        </w:rPr>
        <w:t>第二隔水层</w:t>
      </w:r>
    </w:p>
    <w:p>
      <w:pPr>
        <w:spacing w:line="440" w:lineRule="atLeast"/>
        <w:ind w:firstLine="480"/>
        <w:rPr>
          <w:sz w:val="24"/>
          <w:highlight w:val="green"/>
        </w:rPr>
      </w:pPr>
      <w:r>
        <w:rPr>
          <w:sz w:val="24"/>
          <w:highlight w:val="green"/>
        </w:rPr>
        <w:t>根据水文地质剖面图，该剖面线起自八户庄，终至冷咀头河，包括ZS01~ZS088个钻孔，ZS02、ZS01、ZS05、ZS04钻孔揭露了基岩之上的隔水层，其余钻孔孔深均未达到该层深度，终孔于含水层中，根据揭露的隔水层情况，该层岩性主要为粉质粘土、粉土，厚度10~20m，底板埋深230~253m，地质时代为Q</w:t>
      </w:r>
      <w:r>
        <w:rPr>
          <w:sz w:val="24"/>
          <w:highlight w:val="green"/>
          <w:vertAlign w:val="subscript"/>
        </w:rPr>
        <w:t>1</w:t>
      </w:r>
      <w:r>
        <w:rPr>
          <w:sz w:val="24"/>
          <w:highlight w:val="green"/>
        </w:rPr>
        <w:t>。</w:t>
      </w:r>
    </w:p>
    <w:p>
      <w:pPr>
        <w:spacing w:line="440" w:lineRule="atLeast"/>
        <w:ind w:firstLine="480"/>
        <w:rPr>
          <w:sz w:val="24"/>
          <w:highlight w:val="green"/>
        </w:rPr>
      </w:pPr>
      <w:r>
        <w:rPr>
          <w:sz w:val="24"/>
          <w:highlight w:val="green"/>
        </w:rPr>
        <w:t>（2）基岩含水组</w:t>
      </w:r>
    </w:p>
    <w:p>
      <w:pPr>
        <w:spacing w:line="440" w:lineRule="atLeast"/>
        <w:ind w:firstLine="480"/>
        <w:rPr>
          <w:sz w:val="24"/>
          <w:highlight w:val="green"/>
        </w:rPr>
      </w:pPr>
      <w:r>
        <w:rPr>
          <w:rFonts w:hint="eastAsia" w:ascii="宋体" w:hAnsi="宋体" w:cs="宋体"/>
          <w:sz w:val="24"/>
          <w:highlight w:val="green"/>
        </w:rPr>
        <w:t>①</w:t>
      </w:r>
      <w:r>
        <w:rPr>
          <w:sz w:val="24"/>
          <w:highlight w:val="green"/>
        </w:rPr>
        <w:t>风化裂隙含水段</w:t>
      </w:r>
    </w:p>
    <w:p>
      <w:pPr>
        <w:spacing w:line="440" w:lineRule="atLeast"/>
        <w:ind w:firstLine="480"/>
        <w:rPr>
          <w:sz w:val="24"/>
          <w:highlight w:val="green"/>
        </w:rPr>
      </w:pPr>
      <w:r>
        <w:rPr>
          <w:sz w:val="24"/>
          <w:highlight w:val="green"/>
        </w:rPr>
        <w:t>根据本次收集钻孔资料，该区强风化带底板埋深239.06~272.72m，厚度0.60~4.30m。弱风化带底板埋深252.20~281.90m，厚度6.30~20.22m，岩性以斜长角闪片麻岩为主，少量铁石英岩，强风化带岩心多呈砂、土状，弱风化带岩心多为块状~柱状，裂隙较发育。</w:t>
      </w:r>
    </w:p>
    <w:p>
      <w:pPr>
        <w:spacing w:line="440" w:lineRule="atLeast"/>
        <w:ind w:firstLine="480"/>
        <w:rPr>
          <w:sz w:val="24"/>
          <w:highlight w:val="green"/>
        </w:rPr>
      </w:pPr>
      <w:r>
        <w:rPr>
          <w:rFonts w:hint="eastAsia" w:ascii="宋体" w:hAnsi="宋体" w:cs="宋体"/>
          <w:sz w:val="24"/>
          <w:highlight w:val="green"/>
        </w:rPr>
        <w:t>②</w:t>
      </w:r>
      <w:r>
        <w:rPr>
          <w:sz w:val="24"/>
          <w:highlight w:val="green"/>
        </w:rPr>
        <w:t>构造裂隙含水段</w:t>
      </w:r>
    </w:p>
    <w:p>
      <w:pPr>
        <w:spacing w:line="440" w:lineRule="atLeast"/>
        <w:ind w:firstLine="480"/>
        <w:rPr>
          <w:sz w:val="24"/>
          <w:highlight w:val="green"/>
        </w:rPr>
      </w:pPr>
      <w:r>
        <w:rPr>
          <w:sz w:val="24"/>
          <w:highlight w:val="green"/>
        </w:rPr>
        <w:t>矿层顶、底板围岩主要为斜长角闪片麻岩，岩心较完整，无明显的断裂构造，只在ZK17-3孔见到厚2.05的破碎带。根据DSJ-02井抽水试验结果Q=1.008m</w:t>
      </w:r>
      <w:r>
        <w:rPr>
          <w:sz w:val="24"/>
          <w:highlight w:val="green"/>
          <w:vertAlign w:val="superscript"/>
        </w:rPr>
        <w:t>3</w:t>
      </w:r>
      <w:r>
        <w:rPr>
          <w:sz w:val="24"/>
          <w:highlight w:val="green"/>
        </w:rPr>
        <w:t>/d，q=0.0036L/s·m，K=0.0276m/d。</w:t>
      </w:r>
    </w:p>
    <w:p>
      <w:pPr>
        <w:spacing w:line="440" w:lineRule="atLeast"/>
        <w:ind w:firstLine="480"/>
        <w:rPr>
          <w:sz w:val="24"/>
          <w:highlight w:val="green"/>
        </w:rPr>
      </w:pPr>
      <w:r>
        <w:rPr>
          <w:sz w:val="24"/>
          <w:highlight w:val="green"/>
        </w:rPr>
        <w:t>（3）不同含水岩组水位情况</w:t>
      </w:r>
    </w:p>
    <w:p>
      <w:pPr>
        <w:spacing w:line="440" w:lineRule="atLeast"/>
        <w:ind w:firstLine="480"/>
        <w:rPr>
          <w:sz w:val="24"/>
          <w:highlight w:val="green"/>
        </w:rPr>
      </w:pPr>
      <w:r>
        <w:rPr>
          <w:sz w:val="24"/>
          <w:highlight w:val="green"/>
        </w:rPr>
        <w:t>本区地下水类型主要分为三类：松散岩类潜水-微承压水、松散岩类深层承压水、基岩水。通过水位调查，可知区内潜水水位标高大于30m，且由东南向西北水位标高逐步升高；根据《河北省遵化市堡子店水源地保护区调整技术报告》提供的水源地情况，堡子店水源地开采松散岩类深层承压水，水源地平均水位埋深14.85m，平均水位标高30.21m，平均水位坡度0.0013左右。</w:t>
      </w:r>
    </w:p>
    <w:p>
      <w:pPr>
        <w:spacing w:line="440" w:lineRule="atLeast"/>
        <w:ind w:firstLine="0" w:firstLineChars="0"/>
        <w:jc w:val="center"/>
        <w:rPr>
          <w:sz w:val="24"/>
          <w:highlight w:val="green"/>
        </w:rPr>
      </w:pPr>
      <w:r>
        <w:rPr>
          <w:bCs/>
          <w:highlight w:val="green"/>
        </w:rPr>
        <w:drawing>
          <wp:inline distT="0" distB="0" distL="0" distR="0">
            <wp:extent cx="5364480" cy="7429500"/>
            <wp:effectExtent l="19050" t="0" r="7620" b="0"/>
            <wp:docPr id="20" name="图片 6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3" descr="111"/>
                    <pic:cNvPicPr>
                      <a:picLocks noChangeAspect="1" noChangeArrowheads="1"/>
                    </pic:cNvPicPr>
                  </pic:nvPicPr>
                  <pic:blipFill>
                    <a:blip r:embed="rId37" cstate="print"/>
                    <a:srcRect/>
                    <a:stretch>
                      <a:fillRect/>
                    </a:stretch>
                  </pic:blipFill>
                  <pic:spPr>
                    <a:xfrm>
                      <a:off x="0" y="0"/>
                      <a:ext cx="5364480" cy="7429500"/>
                    </a:xfrm>
                    <a:prstGeom prst="rect">
                      <a:avLst/>
                    </a:prstGeom>
                    <a:noFill/>
                    <a:ln w="9525">
                      <a:noFill/>
                      <a:miter lim="800000"/>
                      <a:headEnd/>
                      <a:tailEnd/>
                    </a:ln>
                    <a:effectLst/>
                  </pic:spPr>
                </pic:pic>
              </a:graphicData>
            </a:graphic>
          </wp:inline>
        </w:drawing>
      </w:r>
    </w:p>
    <w:p>
      <w:pPr>
        <w:spacing w:line="440" w:lineRule="atLeast"/>
        <w:ind w:firstLine="420"/>
        <w:jc w:val="center"/>
        <w:rPr>
          <w:rFonts w:eastAsia="黑体"/>
          <w:sz w:val="21"/>
          <w:szCs w:val="21"/>
          <w:highlight w:val="green"/>
        </w:rPr>
      </w:pPr>
      <w:r>
        <w:rPr>
          <w:rFonts w:eastAsia="黑体"/>
          <w:sz w:val="21"/>
          <w:szCs w:val="21"/>
          <w:highlight w:val="green"/>
        </w:rPr>
        <w:t>图4.1-5   1：50000水文地质剖面图</w:t>
      </w:r>
    </w:p>
    <w:p>
      <w:pPr>
        <w:pStyle w:val="3"/>
        <w:rPr>
          <w:highlight w:val="green"/>
        </w:rPr>
      </w:pPr>
      <w:r>
        <w:rPr>
          <w:highlight w:val="green"/>
        </w:rPr>
        <w:t>4.1.6.4地下水补径排条件</w:t>
      </w:r>
    </w:p>
    <w:p>
      <w:pPr>
        <w:ind w:firstLine="480"/>
        <w:rPr>
          <w:sz w:val="24"/>
          <w:highlight w:val="green"/>
        </w:rPr>
      </w:pPr>
      <w:r>
        <w:rPr>
          <w:sz w:val="24"/>
          <w:highlight w:val="green"/>
        </w:rPr>
        <w:t>遵化北盆地是一个相对独立的水文地质单元，四周地表水分水岭和地下水分水岭基本一致，北部分水岭为冀北山地与冀东丘陵区的分界线，东边界为潮白河水系与滦河水系的分水岭，西边界大致为河北省与天津市的分界线，南边界为遵化南、北盆地的分界线，盆地流域面积1107km</w:t>
      </w:r>
      <w:r>
        <w:rPr>
          <w:sz w:val="24"/>
          <w:highlight w:val="green"/>
          <w:vertAlign w:val="superscript"/>
        </w:rPr>
        <w:t>2</w:t>
      </w:r>
      <w:r>
        <w:rPr>
          <w:sz w:val="24"/>
          <w:highlight w:val="green"/>
        </w:rPr>
        <w:t>。</w:t>
      </w:r>
    </w:p>
    <w:p>
      <w:pPr>
        <w:ind w:firstLine="480"/>
        <w:rPr>
          <w:sz w:val="24"/>
          <w:highlight w:val="green"/>
        </w:rPr>
      </w:pPr>
      <w:r>
        <w:rPr>
          <w:sz w:val="24"/>
          <w:highlight w:val="green"/>
        </w:rPr>
        <w:t>盆地区第四系地下水的补给主要有大气降水补给、河渠入渗补给、山区河谷、沟谷第四系潜流径流补给、山区基岩裂隙水的径流补给、除此之外还有灌溉回归补给。</w:t>
      </w:r>
    </w:p>
    <w:p>
      <w:pPr>
        <w:ind w:firstLine="480"/>
        <w:rPr>
          <w:sz w:val="24"/>
          <w:highlight w:val="green"/>
        </w:rPr>
      </w:pPr>
      <w:r>
        <w:rPr>
          <w:sz w:val="24"/>
          <w:highlight w:val="green"/>
        </w:rPr>
        <w:t>盆地流域的山区，降水后，一部分转换为地表径流顺沟谷汇入河流进入盆地区，一部分是大气降水后入渗补给风化裂隙带和构造裂隙带，基岩裂隙水经过径流汇入低洼的沟谷形成地下水潜流或直接以泉的形式出露于地表，地下潜流直接补给盆地区第四系地下水，出露于地表的泉水形成地表径流，一部分在有利地区补给地下水。</w:t>
      </w:r>
    </w:p>
    <w:p>
      <w:pPr>
        <w:ind w:firstLine="480"/>
        <w:rPr>
          <w:sz w:val="24"/>
          <w:highlight w:val="green"/>
        </w:rPr>
      </w:pPr>
      <w:r>
        <w:rPr>
          <w:sz w:val="24"/>
          <w:highlight w:val="green"/>
        </w:rPr>
        <w:t>通过以上分析，盆地区的地下水补给就是来源于该区域内的降水入渗补给。</w:t>
      </w:r>
    </w:p>
    <w:p>
      <w:pPr>
        <w:ind w:firstLine="480"/>
        <w:rPr>
          <w:sz w:val="24"/>
          <w:highlight w:val="green"/>
        </w:rPr>
      </w:pPr>
      <w:r>
        <w:rPr>
          <w:sz w:val="24"/>
          <w:highlight w:val="green"/>
        </w:rPr>
        <w:t>地下水的径流，在盆地内地下水的径流主要是受地形影响，总的方向是由北向南。最终流向最低洼地带，山区基岩裂隙地下水径流则是由高向低处径流，主要受地形及裂隙发育情况控制。盆地区地下水含水层主要以卵砾石构成径流条件较好，渗透系数一般在30～200m/d。</w:t>
      </w:r>
    </w:p>
    <w:p>
      <w:pPr>
        <w:ind w:firstLine="480"/>
        <w:rPr>
          <w:sz w:val="24"/>
          <w:highlight w:val="green"/>
        </w:rPr>
      </w:pPr>
      <w:r>
        <w:rPr>
          <w:sz w:val="24"/>
          <w:highlight w:val="green"/>
        </w:rPr>
        <w:t>地下水的排泄，天然条件下，地下水的径流在南北盆地连接处受到基岩的阻挡，地下水的排泄是在低洼地带转换成地表水，在基岩的低洼段，经河流流向南部盆地，主要河流有黎河和沙河，其它排泄方式还有潜水蒸发和地表水的蒸发。在目前条件下，地下水的人工开采成为了该区地下水的主要排泄方式，地下水转换为地表径流排泄和潜水蒸发，随着地下水开采量的不断增加，地下水位下降，地下水蒸发量目前很小，地下水的转换成地表径流量的水量也逐渐减少。</w:t>
      </w:r>
    </w:p>
    <w:p>
      <w:pPr>
        <w:pStyle w:val="3"/>
        <w:rPr>
          <w:highlight w:val="green"/>
        </w:rPr>
      </w:pPr>
      <w:r>
        <w:rPr>
          <w:highlight w:val="green"/>
        </w:rPr>
        <w:t>4.1.6.5地下水动态特征</w:t>
      </w:r>
    </w:p>
    <w:p>
      <w:pPr>
        <w:ind w:firstLine="480"/>
        <w:rPr>
          <w:sz w:val="24"/>
          <w:szCs w:val="21"/>
          <w:highlight w:val="green"/>
        </w:rPr>
      </w:pPr>
      <w:r>
        <w:rPr>
          <w:rFonts w:hint="eastAsia"/>
          <w:sz w:val="24"/>
          <w:szCs w:val="21"/>
          <w:highlight w:val="green"/>
        </w:rPr>
        <w:t>研究区</w:t>
      </w:r>
      <w:r>
        <w:rPr>
          <w:sz w:val="24"/>
          <w:szCs w:val="21"/>
          <w:highlight w:val="green"/>
        </w:rPr>
        <w:t>地下水流场受地形、地貌及水文地质条件控制，同时受人为开采的影响。遵化盆地</w:t>
      </w:r>
      <w:r>
        <w:rPr>
          <w:rFonts w:hint="eastAsia"/>
          <w:sz w:val="24"/>
          <w:szCs w:val="21"/>
          <w:highlight w:val="green"/>
        </w:rPr>
        <w:t>地</w:t>
      </w:r>
      <w:r>
        <w:rPr>
          <w:sz w:val="24"/>
          <w:szCs w:val="21"/>
          <w:highlight w:val="green"/>
        </w:rPr>
        <w:t>下水一般由外围流向盆地中心。在北川平原，地下水由西北、北、东北流向中心，盆地边缘水力坡度1.3～4.4‰，盆地中心水力坡度0.4‰～0.8‰。南川平原地下水由东北流向西南，由黎河出口流出，水力坡度比北川平原略缓，一般为0.3‰～0.7‰</w:t>
      </w:r>
      <w:r>
        <w:rPr>
          <w:rFonts w:hint="eastAsia"/>
          <w:sz w:val="24"/>
          <w:szCs w:val="21"/>
          <w:highlight w:val="green"/>
        </w:rPr>
        <w:t>。</w:t>
      </w:r>
    </w:p>
    <w:p>
      <w:pPr>
        <w:ind w:firstLine="600" w:firstLineChars="250"/>
        <w:rPr>
          <w:sz w:val="24"/>
          <w:szCs w:val="21"/>
          <w:highlight w:val="green"/>
        </w:rPr>
      </w:pPr>
      <w:r>
        <w:rPr>
          <w:rFonts w:hint="eastAsia"/>
          <w:sz w:val="24"/>
          <w:szCs w:val="21"/>
          <w:highlight w:val="green"/>
        </w:rPr>
        <w:t>2011-2015年唐山市遵化盆地浅层地下水水位总体呈下降趋势，五年各年平均水位埋深分别为10.52m、8.93m、8.09m、8.16m、9.08m，五年平均水位埋深8.96m；年平均最高水位埋深为2012年4.57m；年平均最低水位埋深为2011年11.98m；年平均水位变幅最大为2012年7.13m，最小为2015年2.36m：五年各年末平均水位埋深分别为10.17m、8.11m、8.61m、8.95m、10.71m，变差为0.08m、2.06m、0.5m、0.34m、1.76m，下降速率为0.09m；高水位期一般出现在1月10日—3月30日，低水位期一般出现在5月20日-9月20日，上升期为每年8月—10月，下降期为4月—7月，平稳期为11月—翌年3月。2011-2015年遵化盆地第四系地下水平均水位埋深、年最高水位埋深、年最低水位埋深、年未水位埋深四项特征值进行首尾相比：水位分别上升1.44m、0.86m、1.53m、-0.54m，平均每年上升0.29m、0.17m、0.31m、-0.11m（图4.1-6）。</w:t>
      </w:r>
    </w:p>
    <w:p>
      <w:pPr>
        <w:ind w:firstLine="480"/>
        <w:rPr>
          <w:sz w:val="24"/>
          <w:szCs w:val="21"/>
          <w:highlight w:val="green"/>
        </w:rPr>
      </w:pPr>
      <w:r>
        <w:rPr>
          <w:sz w:val="24"/>
          <w:szCs w:val="21"/>
          <w:highlight w:val="green"/>
        </w:rPr>
        <w:t>20</w:t>
      </w:r>
      <w:r>
        <w:rPr>
          <w:rFonts w:hint="eastAsia"/>
          <w:sz w:val="24"/>
          <w:szCs w:val="21"/>
          <w:highlight w:val="green"/>
        </w:rPr>
        <w:t>15</w:t>
      </w:r>
      <w:r>
        <w:rPr>
          <w:sz w:val="24"/>
          <w:szCs w:val="21"/>
          <w:highlight w:val="green"/>
        </w:rPr>
        <w:t>年</w:t>
      </w:r>
      <w:r>
        <w:rPr>
          <w:rFonts w:hint="eastAsia"/>
          <w:sz w:val="24"/>
          <w:szCs w:val="21"/>
          <w:highlight w:val="green"/>
        </w:rPr>
        <w:t>低</w:t>
      </w:r>
      <w:r>
        <w:rPr>
          <w:sz w:val="24"/>
          <w:szCs w:val="21"/>
          <w:highlight w:val="green"/>
        </w:rPr>
        <w:t>水期等水位</w:t>
      </w:r>
      <w:r>
        <w:rPr>
          <w:rFonts w:hint="eastAsia"/>
          <w:sz w:val="24"/>
          <w:szCs w:val="21"/>
          <w:highlight w:val="green"/>
        </w:rPr>
        <w:t>期</w:t>
      </w:r>
      <w:r>
        <w:rPr>
          <w:sz w:val="24"/>
          <w:szCs w:val="21"/>
          <w:highlight w:val="green"/>
        </w:rPr>
        <w:t>，遵化镇以北的西三里甘泽庄及南新城、新店子及堡子店～大草店以北一带水位埋深大于10m</w:t>
      </w:r>
      <w:r>
        <w:rPr>
          <w:rFonts w:hint="eastAsia"/>
          <w:sz w:val="24"/>
          <w:szCs w:val="21"/>
          <w:highlight w:val="green"/>
        </w:rPr>
        <w:t>，</w:t>
      </w:r>
      <w:r>
        <w:rPr>
          <w:sz w:val="24"/>
          <w:szCs w:val="21"/>
          <w:highlight w:val="green"/>
        </w:rPr>
        <w:t>约占盆地面积的</w:t>
      </w:r>
      <w:r>
        <w:rPr>
          <w:rFonts w:hint="eastAsia"/>
          <w:sz w:val="24"/>
          <w:szCs w:val="21"/>
          <w:highlight w:val="green"/>
        </w:rPr>
        <w:t>48.44</w:t>
      </w:r>
      <w:r>
        <w:rPr>
          <w:sz w:val="24"/>
          <w:szCs w:val="21"/>
          <w:highlight w:val="green"/>
        </w:rPr>
        <w:t>%左右；小渤海寨、小马坊及崔家庄一带水位埋深小于6m，约占全区面积的</w:t>
      </w:r>
      <w:r>
        <w:rPr>
          <w:rFonts w:hint="eastAsia"/>
          <w:sz w:val="24"/>
          <w:szCs w:val="21"/>
          <w:highlight w:val="green"/>
        </w:rPr>
        <w:t>22.74</w:t>
      </w:r>
      <w:r>
        <w:rPr>
          <w:sz w:val="24"/>
          <w:szCs w:val="21"/>
          <w:highlight w:val="green"/>
        </w:rPr>
        <w:t>%左右；其余广大地区水位埋深在6～8m、8～10m之间，约占全区面积的</w:t>
      </w:r>
      <w:r>
        <w:rPr>
          <w:rFonts w:hint="eastAsia"/>
          <w:sz w:val="24"/>
          <w:szCs w:val="21"/>
          <w:highlight w:val="green"/>
        </w:rPr>
        <w:t>28.82</w:t>
      </w:r>
      <w:r>
        <w:rPr>
          <w:sz w:val="24"/>
          <w:szCs w:val="21"/>
          <w:highlight w:val="green"/>
        </w:rPr>
        <w:t>%左右。水位埋深以</w:t>
      </w:r>
      <w:r>
        <w:rPr>
          <w:rFonts w:hint="eastAsia"/>
          <w:sz w:val="24"/>
          <w:szCs w:val="21"/>
          <w:highlight w:val="green"/>
        </w:rPr>
        <w:t>10</w:t>
      </w:r>
      <w:r>
        <w:rPr>
          <w:sz w:val="24"/>
          <w:szCs w:val="21"/>
          <w:highlight w:val="green"/>
        </w:rPr>
        <w:t>～1</w:t>
      </w:r>
      <w:r>
        <w:rPr>
          <w:rFonts w:hint="eastAsia"/>
          <w:sz w:val="24"/>
          <w:szCs w:val="21"/>
          <w:highlight w:val="green"/>
        </w:rPr>
        <w:t>5</w:t>
      </w:r>
      <w:r>
        <w:rPr>
          <w:sz w:val="24"/>
          <w:szCs w:val="21"/>
          <w:highlight w:val="green"/>
        </w:rPr>
        <w:t>m区分布最大，为</w:t>
      </w:r>
      <w:r>
        <w:rPr>
          <w:rFonts w:hint="eastAsia"/>
          <w:sz w:val="24"/>
          <w:szCs w:val="21"/>
          <w:highlight w:val="green"/>
        </w:rPr>
        <w:t>164.62</w:t>
      </w:r>
      <w:r>
        <w:rPr>
          <w:sz w:val="24"/>
          <w:szCs w:val="21"/>
          <w:highlight w:val="green"/>
        </w:rPr>
        <w:t>km</w:t>
      </w:r>
      <w:r>
        <w:rPr>
          <w:sz w:val="24"/>
          <w:szCs w:val="21"/>
          <w:highlight w:val="green"/>
          <w:vertAlign w:val="superscript"/>
        </w:rPr>
        <w:t>2</w:t>
      </w:r>
      <w:r>
        <w:rPr>
          <w:sz w:val="24"/>
          <w:szCs w:val="21"/>
          <w:highlight w:val="green"/>
        </w:rPr>
        <w:t>，约占总面积的3</w:t>
      </w:r>
      <w:r>
        <w:rPr>
          <w:rFonts w:hint="eastAsia"/>
          <w:sz w:val="24"/>
          <w:szCs w:val="21"/>
          <w:highlight w:val="green"/>
        </w:rPr>
        <w:t>9.76</w:t>
      </w:r>
      <w:r>
        <w:rPr>
          <w:sz w:val="24"/>
          <w:szCs w:val="21"/>
          <w:highlight w:val="green"/>
        </w:rPr>
        <w:t>%。</w:t>
      </w:r>
    </w:p>
    <w:p>
      <w:pPr>
        <w:ind w:firstLine="480"/>
        <w:rPr>
          <w:sz w:val="24"/>
          <w:szCs w:val="21"/>
          <w:highlight w:val="green"/>
        </w:rPr>
      </w:pPr>
      <w:r>
        <w:rPr>
          <w:sz w:val="24"/>
          <w:szCs w:val="21"/>
          <w:highlight w:val="green"/>
        </w:rPr>
        <w:t>20</w:t>
      </w:r>
      <w:r>
        <w:rPr>
          <w:rFonts w:hint="eastAsia"/>
          <w:sz w:val="24"/>
          <w:szCs w:val="21"/>
          <w:highlight w:val="green"/>
        </w:rPr>
        <w:t>15</w:t>
      </w:r>
      <w:r>
        <w:rPr>
          <w:sz w:val="24"/>
          <w:szCs w:val="21"/>
          <w:highlight w:val="green"/>
        </w:rPr>
        <w:t>年</w:t>
      </w:r>
      <w:r>
        <w:rPr>
          <w:rFonts w:hint="eastAsia"/>
          <w:sz w:val="24"/>
          <w:szCs w:val="21"/>
          <w:highlight w:val="green"/>
        </w:rPr>
        <w:t>年末</w:t>
      </w:r>
      <w:r>
        <w:rPr>
          <w:sz w:val="24"/>
          <w:szCs w:val="21"/>
          <w:highlight w:val="green"/>
        </w:rPr>
        <w:t>，遵化镇以北的西三里甘泽庄及南新城、新店子及堡子店～大草店以北一带水位埋深大于10m；小渤海寨、小马坊及崔家庄一带水位埋深小于6m；其余广大地区水位埋深在6～10m之间。</w:t>
      </w:r>
    </w:p>
    <w:p>
      <w:pPr>
        <w:ind w:firstLine="0" w:firstLineChars="0"/>
        <w:rPr>
          <w:sz w:val="24"/>
          <w:szCs w:val="21"/>
          <w:highlight w:val="green"/>
        </w:rPr>
      </w:pPr>
      <w:r>
        <w:rPr>
          <w:sz w:val="24"/>
          <w:highlight w:val="green"/>
        </w:rPr>
        <w:drawing>
          <wp:inline distT="0" distB="0" distL="0" distR="0">
            <wp:extent cx="5332095" cy="2185035"/>
            <wp:effectExtent l="19050" t="0" r="1905" b="0"/>
            <wp:docPr id="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3"/>
                    <pic:cNvPicPr>
                      <a:picLocks noChangeAspect="1" noChangeArrowheads="1"/>
                    </pic:cNvPicPr>
                  </pic:nvPicPr>
                  <pic:blipFill>
                    <a:blip r:embed="rId38" cstate="print"/>
                    <a:srcRect/>
                    <a:stretch>
                      <a:fillRect/>
                    </a:stretch>
                  </pic:blipFill>
                  <pic:spPr>
                    <a:xfrm>
                      <a:off x="0" y="0"/>
                      <a:ext cx="5332095" cy="2185035"/>
                    </a:xfrm>
                    <a:prstGeom prst="rect">
                      <a:avLst/>
                    </a:prstGeom>
                    <a:noFill/>
                    <a:ln w="9525" cmpd="sng">
                      <a:noFill/>
                      <a:miter lim="800000"/>
                      <a:headEnd/>
                      <a:tailEnd/>
                    </a:ln>
                  </pic:spPr>
                </pic:pic>
              </a:graphicData>
            </a:graphic>
          </wp:inline>
        </w:drawing>
      </w:r>
    </w:p>
    <w:p>
      <w:pPr>
        <w:spacing w:line="240" w:lineRule="auto"/>
        <w:ind w:firstLine="420"/>
        <w:jc w:val="center"/>
        <w:rPr>
          <w:rFonts w:eastAsia="黑体"/>
          <w:sz w:val="21"/>
          <w:szCs w:val="21"/>
          <w:highlight w:val="green"/>
        </w:rPr>
      </w:pPr>
      <w:r>
        <w:rPr>
          <w:rFonts w:eastAsia="黑体"/>
          <w:sz w:val="21"/>
          <w:szCs w:val="21"/>
          <w:highlight w:val="green"/>
        </w:rPr>
        <w:t>图</w:t>
      </w:r>
      <w:r>
        <w:rPr>
          <w:rFonts w:hint="eastAsia" w:eastAsia="黑体"/>
          <w:sz w:val="21"/>
          <w:szCs w:val="21"/>
          <w:highlight w:val="green"/>
        </w:rPr>
        <w:t>4.1-6  遵化盆地第四系浅层地下水水位5年变化与降水关系曲线</w:t>
      </w:r>
    </w:p>
    <w:p>
      <w:pPr>
        <w:snapToGrid w:val="0"/>
        <w:spacing w:before="120" w:beforeLines="50"/>
        <w:ind w:firstLine="480"/>
        <w:rPr>
          <w:sz w:val="24"/>
          <w:szCs w:val="21"/>
          <w:highlight w:val="green"/>
        </w:rPr>
      </w:pPr>
      <w:r>
        <w:rPr>
          <w:sz w:val="24"/>
          <w:szCs w:val="21"/>
          <w:highlight w:val="green"/>
        </w:rPr>
        <w:t>遵化盆地1990及20</w:t>
      </w:r>
      <w:r>
        <w:rPr>
          <w:rFonts w:hint="eastAsia"/>
          <w:sz w:val="24"/>
          <w:szCs w:val="21"/>
          <w:highlight w:val="green"/>
        </w:rPr>
        <w:t>15</w:t>
      </w:r>
      <w:r>
        <w:rPr>
          <w:sz w:val="24"/>
          <w:szCs w:val="21"/>
          <w:highlight w:val="green"/>
        </w:rPr>
        <w:t>年末水位平均埋深分别为6.60m和</w:t>
      </w:r>
      <w:r>
        <w:rPr>
          <w:rFonts w:hint="eastAsia"/>
          <w:sz w:val="24"/>
          <w:szCs w:val="21"/>
          <w:highlight w:val="green"/>
        </w:rPr>
        <w:t>10.71</w:t>
      </w:r>
      <w:r>
        <w:rPr>
          <w:sz w:val="24"/>
          <w:szCs w:val="21"/>
          <w:highlight w:val="green"/>
        </w:rPr>
        <w:t>m，</w:t>
      </w:r>
      <w:r>
        <w:rPr>
          <w:rFonts w:hint="eastAsia"/>
          <w:sz w:val="24"/>
          <w:szCs w:val="21"/>
          <w:highlight w:val="green"/>
        </w:rPr>
        <w:t>25</w:t>
      </w:r>
      <w:r>
        <w:rPr>
          <w:sz w:val="24"/>
          <w:szCs w:val="21"/>
          <w:highlight w:val="green"/>
        </w:rPr>
        <w:t>年累计水位下降</w:t>
      </w:r>
      <w:r>
        <w:rPr>
          <w:rFonts w:hint="eastAsia"/>
          <w:sz w:val="24"/>
          <w:szCs w:val="21"/>
          <w:highlight w:val="green"/>
        </w:rPr>
        <w:t>4.11</w:t>
      </w:r>
      <w:r>
        <w:rPr>
          <w:sz w:val="24"/>
          <w:szCs w:val="21"/>
          <w:highlight w:val="green"/>
        </w:rPr>
        <w:t>m,年平均0.</w:t>
      </w:r>
      <w:r>
        <w:rPr>
          <w:rFonts w:hint="eastAsia"/>
          <w:sz w:val="24"/>
          <w:szCs w:val="21"/>
          <w:highlight w:val="green"/>
        </w:rPr>
        <w:t>16</w:t>
      </w:r>
      <w:r>
        <w:rPr>
          <w:sz w:val="24"/>
          <w:szCs w:val="21"/>
          <w:highlight w:val="green"/>
        </w:rPr>
        <w:t>m。1990～1995年末水位累计下降0.13m，年平均0.03m</w:t>
      </w:r>
      <w:r>
        <w:rPr>
          <w:rFonts w:hint="eastAsia"/>
          <w:sz w:val="24"/>
          <w:szCs w:val="21"/>
          <w:highlight w:val="green"/>
        </w:rPr>
        <w:t>，</w:t>
      </w:r>
      <w:r>
        <w:rPr>
          <w:sz w:val="24"/>
          <w:szCs w:val="21"/>
          <w:highlight w:val="green"/>
        </w:rPr>
        <w:t>基本处于稳定状态；1995年末至2000年末水位累计下降2.86m，年平均0.57m；2000年末至2005年末水位下降0.08m，年均0.02m，200</w:t>
      </w:r>
      <w:r>
        <w:rPr>
          <w:rFonts w:hint="eastAsia"/>
          <w:sz w:val="24"/>
          <w:szCs w:val="21"/>
          <w:highlight w:val="green"/>
        </w:rPr>
        <w:t>5</w:t>
      </w:r>
      <w:r>
        <w:rPr>
          <w:sz w:val="24"/>
          <w:szCs w:val="21"/>
          <w:highlight w:val="green"/>
        </w:rPr>
        <w:t>年末至20</w:t>
      </w:r>
      <w:r>
        <w:rPr>
          <w:rFonts w:hint="eastAsia"/>
          <w:sz w:val="24"/>
          <w:szCs w:val="21"/>
          <w:highlight w:val="green"/>
        </w:rPr>
        <w:t>10</w:t>
      </w:r>
      <w:r>
        <w:rPr>
          <w:sz w:val="24"/>
          <w:szCs w:val="21"/>
          <w:highlight w:val="green"/>
        </w:rPr>
        <w:t>年末水位下降</w:t>
      </w:r>
      <w:r>
        <w:rPr>
          <w:rFonts w:hint="eastAsia"/>
          <w:sz w:val="24"/>
          <w:szCs w:val="21"/>
          <w:highlight w:val="green"/>
        </w:rPr>
        <w:t>0.58</w:t>
      </w:r>
      <w:r>
        <w:rPr>
          <w:sz w:val="24"/>
          <w:szCs w:val="21"/>
          <w:highlight w:val="green"/>
        </w:rPr>
        <w:t>m，年均0.</w:t>
      </w:r>
      <w:r>
        <w:rPr>
          <w:rFonts w:hint="eastAsia"/>
          <w:sz w:val="24"/>
          <w:szCs w:val="21"/>
          <w:highlight w:val="green"/>
        </w:rPr>
        <w:t>1</w:t>
      </w:r>
      <w:r>
        <w:rPr>
          <w:sz w:val="24"/>
          <w:szCs w:val="21"/>
          <w:highlight w:val="green"/>
        </w:rPr>
        <w:t>2m，20</w:t>
      </w:r>
      <w:r>
        <w:rPr>
          <w:rFonts w:hint="eastAsia"/>
          <w:sz w:val="24"/>
          <w:szCs w:val="21"/>
          <w:highlight w:val="green"/>
        </w:rPr>
        <w:t>10</w:t>
      </w:r>
      <w:r>
        <w:rPr>
          <w:sz w:val="24"/>
          <w:szCs w:val="21"/>
          <w:highlight w:val="green"/>
        </w:rPr>
        <w:t>年末至20</w:t>
      </w:r>
      <w:r>
        <w:rPr>
          <w:rFonts w:hint="eastAsia"/>
          <w:sz w:val="24"/>
          <w:szCs w:val="21"/>
          <w:highlight w:val="green"/>
        </w:rPr>
        <w:t>15</w:t>
      </w:r>
      <w:r>
        <w:rPr>
          <w:sz w:val="24"/>
          <w:szCs w:val="21"/>
          <w:highlight w:val="green"/>
        </w:rPr>
        <w:t>年末水位</w:t>
      </w:r>
      <w:r>
        <w:rPr>
          <w:rFonts w:hint="eastAsia"/>
          <w:sz w:val="24"/>
          <w:szCs w:val="21"/>
          <w:highlight w:val="green"/>
        </w:rPr>
        <w:t>下降0.46</w:t>
      </w:r>
      <w:r>
        <w:rPr>
          <w:sz w:val="24"/>
          <w:szCs w:val="21"/>
          <w:highlight w:val="green"/>
        </w:rPr>
        <w:t>m，年均0.</w:t>
      </w:r>
      <w:r>
        <w:rPr>
          <w:rFonts w:hint="eastAsia"/>
          <w:sz w:val="24"/>
          <w:szCs w:val="21"/>
          <w:highlight w:val="green"/>
        </w:rPr>
        <w:t>05</w:t>
      </w:r>
      <w:r>
        <w:rPr>
          <w:sz w:val="24"/>
          <w:szCs w:val="21"/>
          <w:highlight w:val="green"/>
        </w:rPr>
        <w:t>m。</w:t>
      </w:r>
    </w:p>
    <w:p>
      <w:pPr>
        <w:ind w:firstLine="480"/>
        <w:rPr>
          <w:sz w:val="24"/>
          <w:highlight w:val="green"/>
        </w:rPr>
      </w:pPr>
      <w:r>
        <w:rPr>
          <w:sz w:val="24"/>
          <w:highlight w:val="green"/>
        </w:rPr>
        <w:t>在人口较为集中，经济较发达的水源地集中开采区，由于生产生活的需要，开采量相对增大，且多年水位变化略有下降，如堡子店周围情况就是如此。见图</w:t>
      </w:r>
      <w:r>
        <w:rPr>
          <w:rFonts w:hint="eastAsia"/>
          <w:sz w:val="24"/>
          <w:highlight w:val="green"/>
        </w:rPr>
        <w:t>4.1-7</w:t>
      </w:r>
      <w:r>
        <w:rPr>
          <w:sz w:val="24"/>
          <w:highlight w:val="green"/>
        </w:rPr>
        <w:t>。</w:t>
      </w:r>
    </w:p>
    <w:p>
      <w:pPr>
        <w:ind w:firstLine="0" w:firstLineChars="0"/>
        <w:rPr>
          <w:highlight w:val="green"/>
        </w:rPr>
      </w:pPr>
      <w:r>
        <w:rPr>
          <w:highlight w:val="green"/>
        </w:rPr>
        <w:drawing>
          <wp:inline distT="0" distB="0" distL="0" distR="0">
            <wp:extent cx="5415280" cy="1781175"/>
            <wp:effectExtent l="0" t="0" r="0" b="0"/>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noChangeArrowheads="1"/>
                    </pic:cNvPicPr>
                  </pic:nvPicPr>
                  <pic:blipFill>
                    <a:blip r:embed="rId39" cstate="print"/>
                    <a:srcRect r="2774"/>
                    <a:stretch>
                      <a:fillRect/>
                    </a:stretch>
                  </pic:blipFill>
                  <pic:spPr>
                    <a:xfrm>
                      <a:off x="0" y="0"/>
                      <a:ext cx="5415280" cy="1781175"/>
                    </a:xfrm>
                    <a:prstGeom prst="rect">
                      <a:avLst/>
                    </a:prstGeom>
                    <a:noFill/>
                    <a:ln w="9525" cmpd="sng">
                      <a:noFill/>
                      <a:miter lim="800000"/>
                      <a:headEnd/>
                      <a:tailEnd/>
                    </a:ln>
                  </pic:spPr>
                </pic:pic>
              </a:graphicData>
            </a:graphic>
          </wp:inline>
        </w:drawing>
      </w:r>
    </w:p>
    <w:p>
      <w:pPr>
        <w:spacing w:line="240" w:lineRule="auto"/>
        <w:ind w:firstLine="420"/>
        <w:jc w:val="center"/>
        <w:rPr>
          <w:rFonts w:eastAsia="黑体"/>
          <w:sz w:val="21"/>
          <w:szCs w:val="21"/>
          <w:highlight w:val="green"/>
        </w:rPr>
      </w:pPr>
      <w:r>
        <w:rPr>
          <w:rFonts w:eastAsia="黑体"/>
          <w:sz w:val="21"/>
          <w:szCs w:val="21"/>
          <w:highlight w:val="green"/>
        </w:rPr>
        <w:t>图</w:t>
      </w:r>
      <w:r>
        <w:rPr>
          <w:rFonts w:hint="eastAsia" w:eastAsia="黑体"/>
          <w:sz w:val="21"/>
          <w:szCs w:val="21"/>
          <w:highlight w:val="green"/>
        </w:rPr>
        <w:t xml:space="preserve">4.1-7 </w:t>
      </w:r>
      <w:r>
        <w:rPr>
          <w:rFonts w:eastAsia="黑体"/>
          <w:sz w:val="21"/>
          <w:szCs w:val="21"/>
          <w:highlight w:val="green"/>
        </w:rPr>
        <w:t>堡子店地下水动态曲线</w:t>
      </w:r>
    </w:p>
    <w:p>
      <w:pPr>
        <w:spacing w:before="120" w:beforeLines="50"/>
        <w:ind w:firstLine="480"/>
        <w:rPr>
          <w:sz w:val="24"/>
          <w:highlight w:val="green"/>
        </w:rPr>
      </w:pPr>
      <w:r>
        <w:rPr>
          <w:sz w:val="24"/>
          <w:highlight w:val="green"/>
        </w:rPr>
        <w:t>遵化市20</w:t>
      </w:r>
      <w:r>
        <w:rPr>
          <w:rFonts w:hint="eastAsia"/>
          <w:sz w:val="24"/>
          <w:highlight w:val="green"/>
        </w:rPr>
        <w:t>11</w:t>
      </w:r>
      <w:r>
        <w:rPr>
          <w:sz w:val="24"/>
          <w:highlight w:val="green"/>
        </w:rPr>
        <w:t>～20</w:t>
      </w:r>
      <w:r>
        <w:rPr>
          <w:rFonts w:hint="eastAsia"/>
          <w:sz w:val="24"/>
          <w:highlight w:val="green"/>
        </w:rPr>
        <w:t>15</w:t>
      </w:r>
      <w:r>
        <w:rPr>
          <w:sz w:val="24"/>
          <w:highlight w:val="green"/>
        </w:rPr>
        <w:t>年年平均开采地下水</w:t>
      </w:r>
      <w:r>
        <w:rPr>
          <w:rFonts w:hint="eastAsia"/>
          <w:sz w:val="24"/>
          <w:highlight w:val="green"/>
        </w:rPr>
        <w:t>17729</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w:t>
      </w:r>
      <w:r>
        <w:rPr>
          <w:rFonts w:hint="eastAsia"/>
          <w:sz w:val="24"/>
          <w:highlight w:val="green"/>
        </w:rPr>
        <w:t>比2006-2010年均减少开采2234</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rFonts w:hint="eastAsia"/>
          <w:sz w:val="24"/>
          <w:highlight w:val="green"/>
        </w:rPr>
        <w:t>，</w:t>
      </w:r>
      <w:r>
        <w:rPr>
          <w:sz w:val="24"/>
          <w:highlight w:val="green"/>
        </w:rPr>
        <w:t>其中盆地区</w:t>
      </w:r>
      <w:r>
        <w:rPr>
          <w:rFonts w:hint="eastAsia"/>
          <w:sz w:val="24"/>
          <w:highlight w:val="green"/>
        </w:rPr>
        <w:t>15177</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，占遵化市开采量的</w:t>
      </w:r>
      <w:r>
        <w:rPr>
          <w:rFonts w:hint="eastAsia"/>
          <w:sz w:val="24"/>
          <w:highlight w:val="green"/>
        </w:rPr>
        <w:t>85.61</w:t>
      </w:r>
      <w:r>
        <w:rPr>
          <w:sz w:val="24"/>
          <w:highlight w:val="green"/>
        </w:rPr>
        <w:t>%。在盆地区，城镇生活及工业开采地下水量</w:t>
      </w:r>
      <w:r>
        <w:rPr>
          <w:rFonts w:hint="eastAsia"/>
          <w:sz w:val="24"/>
          <w:highlight w:val="green"/>
        </w:rPr>
        <w:t>880</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及</w:t>
      </w:r>
      <w:r>
        <w:rPr>
          <w:rFonts w:hint="eastAsia"/>
          <w:sz w:val="24"/>
          <w:highlight w:val="green"/>
        </w:rPr>
        <w:t>3178</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，分别占盆地区开采量的</w:t>
      </w:r>
      <w:r>
        <w:rPr>
          <w:rFonts w:hint="eastAsia"/>
          <w:sz w:val="24"/>
          <w:highlight w:val="green"/>
        </w:rPr>
        <w:t>5.8</w:t>
      </w:r>
      <w:r>
        <w:rPr>
          <w:sz w:val="24"/>
          <w:highlight w:val="green"/>
        </w:rPr>
        <w:t>%及</w:t>
      </w:r>
      <w:r>
        <w:rPr>
          <w:rFonts w:hint="eastAsia"/>
          <w:sz w:val="24"/>
          <w:highlight w:val="green"/>
        </w:rPr>
        <w:t>20.9</w:t>
      </w:r>
      <w:r>
        <w:rPr>
          <w:sz w:val="24"/>
          <w:highlight w:val="green"/>
        </w:rPr>
        <w:t>%，农田灌溉和农村生活开采地下水量分别为</w:t>
      </w:r>
      <w:r>
        <w:rPr>
          <w:rFonts w:hint="eastAsia"/>
          <w:sz w:val="24"/>
          <w:highlight w:val="green"/>
        </w:rPr>
        <w:t>10150</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及</w:t>
      </w:r>
      <w:r>
        <w:rPr>
          <w:rFonts w:hint="eastAsia"/>
          <w:sz w:val="24"/>
          <w:highlight w:val="green"/>
        </w:rPr>
        <w:t>969</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，分别占盆地区开采量的</w:t>
      </w:r>
      <w:r>
        <w:rPr>
          <w:rFonts w:hint="eastAsia"/>
          <w:sz w:val="24"/>
          <w:highlight w:val="green"/>
        </w:rPr>
        <w:t>66.9</w:t>
      </w:r>
      <w:r>
        <w:rPr>
          <w:sz w:val="24"/>
          <w:highlight w:val="green"/>
        </w:rPr>
        <w:t>%及</w:t>
      </w:r>
      <w:r>
        <w:rPr>
          <w:rFonts w:hint="eastAsia"/>
          <w:sz w:val="24"/>
          <w:highlight w:val="green"/>
        </w:rPr>
        <w:t>6.4</w:t>
      </w:r>
      <w:r>
        <w:rPr>
          <w:sz w:val="24"/>
          <w:highlight w:val="green"/>
        </w:rPr>
        <w:t>%</w:t>
      </w:r>
      <w:r>
        <w:rPr>
          <w:rFonts w:hint="eastAsia"/>
          <w:sz w:val="24"/>
          <w:highlight w:val="green"/>
        </w:rPr>
        <w:t>。</w:t>
      </w:r>
    </w:p>
    <w:p>
      <w:pPr>
        <w:ind w:firstLine="480"/>
        <w:rPr>
          <w:sz w:val="24"/>
          <w:highlight w:val="green"/>
        </w:rPr>
      </w:pPr>
      <w:r>
        <w:rPr>
          <w:sz w:val="24"/>
          <w:highlight w:val="green"/>
        </w:rPr>
        <w:t>遵化盆地区20</w:t>
      </w:r>
      <w:r>
        <w:rPr>
          <w:rFonts w:hint="eastAsia"/>
          <w:sz w:val="24"/>
          <w:highlight w:val="green"/>
        </w:rPr>
        <w:t>11</w:t>
      </w:r>
      <w:r>
        <w:rPr>
          <w:sz w:val="24"/>
          <w:highlight w:val="green"/>
        </w:rPr>
        <w:t>～20</w:t>
      </w:r>
      <w:r>
        <w:rPr>
          <w:rFonts w:hint="eastAsia"/>
          <w:sz w:val="24"/>
          <w:highlight w:val="green"/>
        </w:rPr>
        <w:t>15</w:t>
      </w:r>
      <w:r>
        <w:rPr>
          <w:sz w:val="24"/>
          <w:highlight w:val="green"/>
        </w:rPr>
        <w:t>年地下水平均年开采量</w:t>
      </w:r>
      <w:r>
        <w:rPr>
          <w:rFonts w:hint="eastAsia"/>
          <w:sz w:val="24"/>
          <w:highlight w:val="green"/>
        </w:rPr>
        <w:t>15177</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，与《唐山市水资源评价》确定的可采资源量13661×10</w:t>
      </w:r>
      <w:r>
        <w:rPr>
          <w:sz w:val="24"/>
          <w:highlight w:val="green"/>
          <w:vertAlign w:val="superscript"/>
        </w:rPr>
        <w:t>4</w:t>
      </w:r>
      <w:r>
        <w:rPr>
          <w:sz w:val="24"/>
          <w:highlight w:val="green"/>
        </w:rPr>
        <w:t>m</w:t>
      </w:r>
      <w:r>
        <w:rPr>
          <w:sz w:val="24"/>
          <w:highlight w:val="green"/>
          <w:vertAlign w:val="superscript"/>
        </w:rPr>
        <w:t>3</w:t>
      </w:r>
      <w:r>
        <w:rPr>
          <w:sz w:val="24"/>
          <w:highlight w:val="green"/>
        </w:rPr>
        <w:t>，</w:t>
      </w:r>
      <w:r>
        <w:rPr>
          <w:rFonts w:hint="eastAsia"/>
          <w:sz w:val="24"/>
          <w:highlight w:val="green"/>
        </w:rPr>
        <w:t>地下水超采1516</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，开采系数为</w:t>
      </w:r>
      <w:r>
        <w:rPr>
          <w:rFonts w:hint="eastAsia"/>
          <w:sz w:val="24"/>
          <w:highlight w:val="green"/>
        </w:rPr>
        <w:t>1.11</w:t>
      </w:r>
      <w:r>
        <w:rPr>
          <w:sz w:val="24"/>
          <w:highlight w:val="green"/>
        </w:rPr>
        <w:t>。</w:t>
      </w:r>
    </w:p>
    <w:p>
      <w:pPr>
        <w:ind w:firstLine="480"/>
        <w:rPr>
          <w:sz w:val="24"/>
          <w:highlight w:val="green"/>
        </w:rPr>
      </w:pPr>
      <w:r>
        <w:rPr>
          <w:sz w:val="24"/>
          <w:highlight w:val="green"/>
        </w:rPr>
        <w:t>20</w:t>
      </w:r>
      <w:r>
        <w:rPr>
          <w:rFonts w:hint="eastAsia"/>
          <w:sz w:val="24"/>
          <w:highlight w:val="green"/>
        </w:rPr>
        <w:t>15</w:t>
      </w:r>
      <w:r>
        <w:rPr>
          <w:sz w:val="24"/>
          <w:highlight w:val="green"/>
        </w:rPr>
        <w:t>年遵化盆地共开采地下水</w:t>
      </w:r>
      <w:r>
        <w:rPr>
          <w:rFonts w:hint="eastAsia"/>
          <w:sz w:val="24"/>
          <w:highlight w:val="green"/>
        </w:rPr>
        <w:t>14735</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，其中城镇生活及工业用水分别为</w:t>
      </w:r>
      <w:r>
        <w:rPr>
          <w:rFonts w:hint="eastAsia"/>
          <w:sz w:val="24"/>
          <w:highlight w:val="green"/>
        </w:rPr>
        <w:t>1018</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及</w:t>
      </w:r>
      <w:r>
        <w:rPr>
          <w:rFonts w:hint="eastAsia"/>
          <w:sz w:val="24"/>
          <w:highlight w:val="green"/>
        </w:rPr>
        <w:t>2930</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，农田灌溉及农村生活用水分别为</w:t>
      </w:r>
      <w:r>
        <w:rPr>
          <w:rFonts w:hint="eastAsia"/>
          <w:sz w:val="24"/>
          <w:highlight w:val="green"/>
        </w:rPr>
        <w:t>9847</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w:t>
      </w:r>
      <w:r>
        <w:rPr>
          <w:rFonts w:hint="eastAsia"/>
          <w:sz w:val="24"/>
          <w:highlight w:val="green"/>
        </w:rPr>
        <w:t>940</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。20</w:t>
      </w:r>
      <w:r>
        <w:rPr>
          <w:rFonts w:hint="eastAsia"/>
          <w:sz w:val="24"/>
          <w:highlight w:val="green"/>
        </w:rPr>
        <w:t>15</w:t>
      </w:r>
      <w:r>
        <w:rPr>
          <w:sz w:val="24"/>
          <w:highlight w:val="green"/>
        </w:rPr>
        <w:t>年与20</w:t>
      </w:r>
      <w:r>
        <w:rPr>
          <w:rFonts w:hint="eastAsia"/>
          <w:sz w:val="24"/>
          <w:highlight w:val="green"/>
        </w:rPr>
        <w:t>11</w:t>
      </w:r>
      <w:r>
        <w:rPr>
          <w:sz w:val="24"/>
          <w:highlight w:val="green"/>
        </w:rPr>
        <w:t>年对比，地下水开采量</w:t>
      </w:r>
      <w:r>
        <w:rPr>
          <w:rFonts w:hint="eastAsia"/>
          <w:sz w:val="24"/>
          <w:highlight w:val="green"/>
        </w:rPr>
        <w:t>减少1398</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w:t>
      </w:r>
      <w:r>
        <w:rPr>
          <w:rFonts w:hint="eastAsia"/>
          <w:sz w:val="24"/>
          <w:highlight w:val="green"/>
        </w:rPr>
        <w:t>减少率9.5</w:t>
      </w:r>
      <w:r>
        <w:rPr>
          <w:sz w:val="24"/>
          <w:highlight w:val="green"/>
        </w:rPr>
        <w:t>%。其中农田灌溉、工业用水</w:t>
      </w:r>
      <w:r>
        <w:rPr>
          <w:rFonts w:hint="eastAsia"/>
          <w:sz w:val="24"/>
          <w:highlight w:val="green"/>
        </w:rPr>
        <w:t>、</w:t>
      </w:r>
      <w:r>
        <w:rPr>
          <w:sz w:val="24"/>
          <w:highlight w:val="green"/>
        </w:rPr>
        <w:t>农村生活分别</w:t>
      </w:r>
      <w:r>
        <w:rPr>
          <w:rFonts w:hint="eastAsia"/>
          <w:sz w:val="24"/>
          <w:highlight w:val="green"/>
        </w:rPr>
        <w:t>减少1238</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rFonts w:hint="eastAsia"/>
          <w:sz w:val="24"/>
          <w:highlight w:val="green"/>
        </w:rPr>
        <w:t>、329</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sz w:val="24"/>
          <w:highlight w:val="green"/>
        </w:rPr>
        <w:t>和</w:t>
      </w:r>
      <w:r>
        <w:rPr>
          <w:rFonts w:hint="eastAsia"/>
          <w:sz w:val="24"/>
          <w:highlight w:val="green"/>
        </w:rPr>
        <w:t>61</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rFonts w:hint="eastAsia"/>
          <w:sz w:val="24"/>
          <w:highlight w:val="green"/>
        </w:rPr>
        <w:t>，城镇生活增加了229</w:t>
      </w:r>
      <w:r>
        <w:rPr>
          <w:sz w:val="24"/>
          <w:highlight w:val="green"/>
        </w:rPr>
        <w:t>×10</w:t>
      </w:r>
      <w:r>
        <w:rPr>
          <w:sz w:val="24"/>
          <w:highlight w:val="green"/>
          <w:vertAlign w:val="superscript"/>
        </w:rPr>
        <w:t>4</w:t>
      </w:r>
      <w:r>
        <w:rPr>
          <w:sz w:val="24"/>
          <w:highlight w:val="green"/>
        </w:rPr>
        <w:t>m</w:t>
      </w:r>
      <w:r>
        <w:rPr>
          <w:sz w:val="24"/>
          <w:highlight w:val="green"/>
          <w:vertAlign w:val="superscript"/>
        </w:rPr>
        <w:t>3</w:t>
      </w:r>
      <w:r>
        <w:rPr>
          <w:rFonts w:hint="eastAsia"/>
          <w:sz w:val="24"/>
          <w:highlight w:val="green"/>
        </w:rPr>
        <w:t>（见图4.1-8）</w:t>
      </w:r>
      <w:r>
        <w:rPr>
          <w:sz w:val="24"/>
          <w:highlight w:val="green"/>
        </w:rPr>
        <w:t>。</w:t>
      </w:r>
    </w:p>
    <w:p>
      <w:pPr>
        <w:snapToGrid w:val="0"/>
        <w:spacing w:before="120" w:beforeLines="50"/>
        <w:ind w:firstLine="0" w:firstLineChars="0"/>
        <w:jc w:val="center"/>
        <w:rPr>
          <w:bCs/>
          <w:sz w:val="24"/>
          <w:highlight w:val="green"/>
        </w:rPr>
      </w:pPr>
      <w:r>
        <w:rPr>
          <w:highlight w:val="green"/>
        </w:rPr>
        <w:drawing>
          <wp:inline distT="0" distB="0" distL="0" distR="0">
            <wp:extent cx="5248910" cy="2220595"/>
            <wp:effectExtent l="19050" t="0" r="8890" b="0"/>
            <wp:docPr id="49" name="Chart 2"/>
            <wp:cNvGraphicFramePr/>
            <a:graphic xmlns:a="http://schemas.openxmlformats.org/drawingml/2006/main">
              <a:graphicData uri="http://schemas.openxmlformats.org/drawingml/2006/picture">
                <pic:pic xmlns:pic="http://schemas.openxmlformats.org/drawingml/2006/picture">
                  <pic:nvPicPr>
                    <pic:cNvPr id="49" name="Chart 2"/>
                    <pic:cNvPicPr>
                      <a:picLocks noChangeArrowheads="1"/>
                    </pic:cNvPicPr>
                  </pic:nvPicPr>
                  <pic:blipFill>
                    <a:blip r:embed="rId40" cstate="print"/>
                    <a:srcRect/>
                    <a:stretch>
                      <a:fillRect/>
                    </a:stretch>
                  </pic:blipFill>
                  <pic:spPr>
                    <a:xfrm>
                      <a:off x="0" y="0"/>
                      <a:ext cx="5248910" cy="2220595"/>
                    </a:xfrm>
                    <a:prstGeom prst="rect">
                      <a:avLst/>
                    </a:prstGeom>
                    <a:noFill/>
                    <a:ln w="9525" cmpd="sng">
                      <a:noFill/>
                      <a:miter lim="800000"/>
                      <a:headEnd/>
                      <a:tailEnd/>
                    </a:ln>
                    <a:effectLst/>
                  </pic:spPr>
                </pic:pic>
              </a:graphicData>
            </a:graphic>
          </wp:inline>
        </w:drawing>
      </w:r>
    </w:p>
    <w:p>
      <w:pPr>
        <w:spacing w:line="240" w:lineRule="auto"/>
        <w:ind w:firstLine="420"/>
        <w:jc w:val="center"/>
        <w:rPr>
          <w:rFonts w:eastAsia="黑体"/>
          <w:sz w:val="21"/>
          <w:szCs w:val="21"/>
          <w:highlight w:val="green"/>
        </w:rPr>
      </w:pPr>
      <w:r>
        <w:rPr>
          <w:rFonts w:eastAsia="黑体"/>
          <w:sz w:val="21"/>
          <w:szCs w:val="21"/>
          <w:highlight w:val="green"/>
        </w:rPr>
        <w:t>图</w:t>
      </w:r>
      <w:r>
        <w:rPr>
          <w:rFonts w:hint="eastAsia" w:eastAsia="黑体"/>
          <w:sz w:val="21"/>
          <w:szCs w:val="21"/>
          <w:highlight w:val="green"/>
        </w:rPr>
        <w:t>4.1-8 遵化盆地2006-2015年地下水开采量动态变化曲线图</w:t>
      </w:r>
    </w:p>
    <w:p>
      <w:pPr>
        <w:pStyle w:val="6"/>
        <w:spacing w:before="0" w:after="0"/>
        <w:rPr>
          <w:szCs w:val="28"/>
          <w:highlight w:val="green"/>
        </w:rPr>
      </w:pPr>
      <w:bookmarkStart w:id="352" w:name="_Toc18597"/>
      <w:bookmarkStart w:id="353" w:name="_Toc521591780"/>
      <w:r>
        <w:rPr>
          <w:szCs w:val="28"/>
          <w:highlight w:val="green"/>
        </w:rPr>
        <w:t>4.1.7土壤与植被</w:t>
      </w:r>
      <w:bookmarkEnd w:id="352"/>
      <w:bookmarkEnd w:id="353"/>
    </w:p>
    <w:p>
      <w:pPr>
        <w:ind w:firstLine="480"/>
        <w:jc w:val="both"/>
        <w:textAlignment w:val="auto"/>
        <w:rPr>
          <w:sz w:val="24"/>
          <w:szCs w:val="24"/>
          <w:highlight w:val="green"/>
        </w:rPr>
      </w:pPr>
      <w:r>
        <w:rPr>
          <w:sz w:val="24"/>
          <w:szCs w:val="24"/>
          <w:highlight w:val="green"/>
        </w:rPr>
        <w:t>遵化市土壤有3个土类，9个亚类，11个土属，41个土种。3大土类为棕壤、褐土和潮土。棕壤主要分布于市域北部300米以上的山地，占全市总面积的6%；褐土分布在海拔20-300米的地方，几乎遍及全市，占全市总面积的92.63%；潮土分布范围最窄，仅限于市域西南隅一小部分平原地带，占全市总面积的1.18%。</w:t>
      </w:r>
    </w:p>
    <w:p>
      <w:pPr>
        <w:ind w:firstLine="480"/>
        <w:jc w:val="both"/>
        <w:textAlignment w:val="auto"/>
        <w:rPr>
          <w:sz w:val="24"/>
          <w:szCs w:val="24"/>
          <w:highlight w:val="green"/>
        </w:rPr>
      </w:pPr>
      <w:r>
        <w:rPr>
          <w:sz w:val="24"/>
          <w:szCs w:val="24"/>
          <w:highlight w:val="green"/>
        </w:rPr>
        <w:t>全市土壤养分属于中等偏下，土壤肥力较低，有机质含量平均为1.18%，低于国家一级地有机质含量2%的标准，在全市土壤中，达到国家一级地有机质含量标准的只有15.93平方公里，仅占全市总面积的1%。全氮平均含量为0.074%，速效氮平均含量为68.74ppm，速效磷平均含量为21.55ppm，速效钾平均含量为85.8ppm，都低于国家要求的标准，处于缺磷、少氮、钾不足，有机质贫乏的状态。</w:t>
      </w:r>
    </w:p>
    <w:p>
      <w:pPr>
        <w:ind w:firstLine="480"/>
        <w:jc w:val="both"/>
        <w:textAlignment w:val="auto"/>
        <w:rPr>
          <w:sz w:val="24"/>
          <w:szCs w:val="24"/>
          <w:highlight w:val="green"/>
        </w:rPr>
      </w:pPr>
      <w:r>
        <w:rPr>
          <w:sz w:val="24"/>
          <w:szCs w:val="24"/>
          <w:highlight w:val="green"/>
        </w:rPr>
        <w:t>遵化市地带性植被为落叶阔叶林，代表树种为落叶栎类，针叶树主要是油松。由于长期垦植，海拔300m以下地带，野生植物已不复存在，大部分为人工植被所代替，只有在海拔300m以上未被垦植的山地，才有野生植被的分布。据调查，乔木树种有油松、白皮松、侧柏、槲、栎、山杨、椴等30多种，果树约有20多种，以板栗、核桃、苹果、柿、枣、梨、桃、杏、山楂等为主，在灌木中人工培植的紫穗槐分布普遍，野生灌木约30多种，比较常见的有荆条、酸枣、胡枝子、鼠李、大花溲疏、三裂绣线菊、锦鸡儿、榛、苦参等。</w:t>
      </w:r>
    </w:p>
    <w:p>
      <w:pPr>
        <w:ind w:firstLine="480"/>
        <w:jc w:val="both"/>
        <w:textAlignment w:val="auto"/>
        <w:rPr>
          <w:sz w:val="24"/>
          <w:szCs w:val="24"/>
          <w:highlight w:val="green"/>
        </w:rPr>
      </w:pPr>
      <w:r>
        <w:rPr>
          <w:sz w:val="24"/>
          <w:szCs w:val="24"/>
          <w:highlight w:val="green"/>
        </w:rPr>
        <w:t>境内草本植物在低山丘陵到处可见，盖度常达60-70%，北山多于南山，阴坡多于阳坡，除疏花草等少数种类北山分布普遍，东南部山地少见外，一般草本植物在全市均有广泛分布，其中最多的是菊科、豆科、禾本科、蔷薇科、莎草科，占绝对优势的是黄背草、白羊草等。藤本、蕨类、攀附植物仍可见到，寄生植物则很少见到。</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green"/>
        </w:rPr>
      </w:pPr>
      <w:bookmarkStart w:id="354" w:name="_Toc524285680"/>
      <w:bookmarkEnd w:id="354"/>
      <w:bookmarkStart w:id="355" w:name="_Toc524285151"/>
      <w:bookmarkEnd w:id="355"/>
      <w:bookmarkStart w:id="356" w:name="_Toc524285630"/>
      <w:bookmarkEnd w:id="356"/>
      <w:bookmarkStart w:id="357" w:name="_Toc524284670"/>
      <w:bookmarkEnd w:id="357"/>
      <w:bookmarkStart w:id="358" w:name="_Toc524284671"/>
      <w:bookmarkEnd w:id="358"/>
      <w:bookmarkStart w:id="359" w:name="_Toc524285150"/>
      <w:bookmarkEnd w:id="359"/>
      <w:bookmarkStart w:id="360" w:name="_Toc524285679"/>
      <w:bookmarkEnd w:id="360"/>
      <w:bookmarkStart w:id="361" w:name="_Toc524285631"/>
      <w:bookmarkEnd w:id="361"/>
      <w:bookmarkStart w:id="362" w:name="_Toc13104"/>
      <w:bookmarkStart w:id="363" w:name="_Toc19454"/>
      <w:bookmarkStart w:id="364" w:name="_Toc16140"/>
      <w:bookmarkStart w:id="365" w:name="_Toc521591783"/>
      <w:bookmarkStart w:id="366" w:name="_Toc524284672"/>
      <w:bookmarkStart w:id="367" w:name="_Toc510533943"/>
      <w:bookmarkStart w:id="368" w:name="_Toc536557293"/>
      <w:r>
        <w:rPr>
          <w:rFonts w:ascii="Times New Roman" w:hAnsi="Times New Roman" w:eastAsia="宋体"/>
          <w:bCs w:val="0"/>
          <w:snapToGrid w:val="0"/>
          <w:kern w:val="0"/>
          <w:sz w:val="28"/>
          <w:szCs w:val="28"/>
          <w:highlight w:val="green"/>
        </w:rPr>
        <w:t>环境功能规划及环境保护目标调查</w:t>
      </w:r>
      <w:bookmarkEnd w:id="362"/>
      <w:bookmarkEnd w:id="363"/>
      <w:bookmarkEnd w:id="364"/>
      <w:bookmarkEnd w:id="365"/>
      <w:bookmarkEnd w:id="366"/>
      <w:bookmarkEnd w:id="367"/>
      <w:bookmarkEnd w:id="368"/>
    </w:p>
    <w:p>
      <w:pPr>
        <w:ind w:firstLine="480"/>
        <w:jc w:val="both"/>
        <w:textAlignment w:val="auto"/>
        <w:rPr>
          <w:sz w:val="24"/>
          <w:szCs w:val="24"/>
          <w:highlight w:val="green"/>
        </w:rPr>
      </w:pPr>
      <w:r>
        <w:rPr>
          <w:sz w:val="24"/>
          <w:szCs w:val="24"/>
          <w:highlight w:val="green"/>
        </w:rPr>
        <w:t>根据遵化市环境功能区划要求，该区域环境空气为二类区，执行《环境空气质量标准》（GB3095-2012）中的二级标准；地表水为Ⅲ类水体，执行《地表水环境质量标准》（GB3838-2002）中Ⅲ类标准；地下水为三类功能区，执行《地下水质量标准》（GB/T14848-2017）中Ⅲ类标准；噪声为2类功能区，执行《声环境质量标准》(GB3096-2008)2类区标准。</w:t>
      </w:r>
    </w:p>
    <w:p>
      <w:pPr>
        <w:ind w:firstLine="480"/>
        <w:jc w:val="both"/>
        <w:textAlignment w:val="auto"/>
        <w:rPr>
          <w:sz w:val="24"/>
          <w:szCs w:val="24"/>
          <w:highlight w:val="green"/>
        </w:rPr>
      </w:pPr>
      <w:r>
        <w:rPr>
          <w:sz w:val="24"/>
          <w:szCs w:val="24"/>
          <w:highlight w:val="green"/>
        </w:rPr>
        <w:t>项目评价区域内无自然保护区、风景名胜区、珍稀动植物资源、景观及其他环境敏感点。本项目符合遵化市环境功能规划要求，符合遵化市生态保护红线要求。根据工程特点及周围环境特征，确定项目环境保护目标为周边居民区，详见表2.</w:t>
      </w:r>
      <w:r>
        <w:rPr>
          <w:rFonts w:hint="eastAsia"/>
          <w:sz w:val="24"/>
          <w:szCs w:val="24"/>
          <w:highlight w:val="green"/>
        </w:rPr>
        <w:t>7</w:t>
      </w:r>
      <w:r>
        <w:rPr>
          <w:sz w:val="24"/>
          <w:szCs w:val="24"/>
          <w:highlight w:val="green"/>
        </w:rPr>
        <w:t>-1。</w:t>
      </w:r>
      <w:bookmarkEnd w:id="325"/>
      <w:bookmarkEnd w:id="326"/>
      <w:bookmarkEnd w:id="327"/>
      <w:bookmarkEnd w:id="328"/>
      <w:bookmarkEnd w:id="329"/>
      <w:bookmarkEnd w:id="330"/>
      <w:bookmarkEnd w:id="331"/>
      <w:bookmarkEnd w:id="332"/>
      <w:bookmarkEnd w:id="333"/>
      <w:bookmarkStart w:id="369" w:name="_Toc322418176"/>
      <w:bookmarkStart w:id="370" w:name="_Toc322418290"/>
      <w:bookmarkStart w:id="371" w:name="_Toc476574697"/>
    </w:p>
    <w:bookmarkEnd w:id="369"/>
    <w:bookmarkEnd w:id="370"/>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green"/>
        </w:rPr>
      </w:pPr>
      <w:bookmarkStart w:id="372" w:name="_Toc499651413"/>
      <w:bookmarkStart w:id="373" w:name="_Toc19658"/>
      <w:bookmarkStart w:id="374" w:name="_Toc1371"/>
      <w:bookmarkStart w:id="375" w:name="_Toc536557294"/>
      <w:bookmarkStart w:id="376" w:name="_Toc524284673"/>
      <w:bookmarkStart w:id="377" w:name="_Toc503218112"/>
      <w:bookmarkStart w:id="378" w:name="_Toc521591784"/>
      <w:bookmarkStart w:id="379" w:name="_Toc3253"/>
      <w:r>
        <w:rPr>
          <w:rFonts w:ascii="Times New Roman" w:hAnsi="Times New Roman" w:eastAsia="宋体"/>
          <w:bCs w:val="0"/>
          <w:snapToGrid w:val="0"/>
          <w:kern w:val="0"/>
          <w:sz w:val="28"/>
          <w:szCs w:val="28"/>
          <w:highlight w:val="green"/>
        </w:rPr>
        <w:t>环境质量现状调查与评价</w:t>
      </w:r>
      <w:bookmarkEnd w:id="371"/>
      <w:bookmarkEnd w:id="372"/>
      <w:bookmarkEnd w:id="373"/>
      <w:bookmarkEnd w:id="374"/>
      <w:bookmarkEnd w:id="375"/>
      <w:bookmarkEnd w:id="376"/>
      <w:bookmarkEnd w:id="377"/>
      <w:bookmarkEnd w:id="378"/>
      <w:bookmarkEnd w:id="379"/>
    </w:p>
    <w:p>
      <w:pPr>
        <w:pStyle w:val="6"/>
        <w:numPr>
          <w:ilvl w:val="2"/>
          <w:numId w:val="1"/>
        </w:numPr>
        <w:spacing w:before="0" w:after="0"/>
        <w:ind w:left="567"/>
        <w:rPr>
          <w:szCs w:val="28"/>
          <w:highlight w:val="green"/>
        </w:rPr>
      </w:pPr>
      <w:bookmarkStart w:id="380" w:name="_Toc182798781"/>
      <w:bookmarkStart w:id="381" w:name="_Toc5756"/>
      <w:bookmarkStart w:id="382" w:name="_Toc521591785"/>
      <w:bookmarkStart w:id="383" w:name="_Toc152582633"/>
      <w:bookmarkStart w:id="384" w:name="_Toc192914113"/>
      <w:bookmarkStart w:id="385" w:name="_Toc151206932"/>
      <w:bookmarkStart w:id="386" w:name="_Toc156189739"/>
      <w:bookmarkStart w:id="387" w:name="_Toc154286685"/>
      <w:r>
        <w:rPr>
          <w:szCs w:val="28"/>
          <w:highlight w:val="green"/>
        </w:rPr>
        <w:t>环境空气</w:t>
      </w:r>
      <w:bookmarkEnd w:id="380"/>
      <w:bookmarkEnd w:id="381"/>
      <w:bookmarkEnd w:id="382"/>
      <w:bookmarkEnd w:id="383"/>
      <w:bookmarkEnd w:id="384"/>
      <w:bookmarkEnd w:id="385"/>
      <w:bookmarkEnd w:id="386"/>
      <w:bookmarkEnd w:id="387"/>
    </w:p>
    <w:p>
      <w:pPr>
        <w:pStyle w:val="3"/>
        <w:snapToGrid w:val="0"/>
        <w:rPr>
          <w:rFonts w:eastAsia="宋体"/>
          <w:szCs w:val="24"/>
          <w:highlight w:val="green"/>
        </w:rPr>
      </w:pPr>
      <w:r>
        <w:rPr>
          <w:rFonts w:eastAsia="宋体"/>
          <w:szCs w:val="24"/>
          <w:highlight w:val="green"/>
        </w:rPr>
        <w:t>4.</w:t>
      </w:r>
      <w:r>
        <w:rPr>
          <w:rFonts w:hint="eastAsia" w:eastAsia="宋体"/>
          <w:szCs w:val="24"/>
          <w:highlight w:val="green"/>
        </w:rPr>
        <w:t>3</w:t>
      </w:r>
      <w:r>
        <w:rPr>
          <w:rFonts w:eastAsia="宋体"/>
          <w:szCs w:val="24"/>
          <w:highlight w:val="green"/>
        </w:rPr>
        <w:t>.1.</w:t>
      </w:r>
      <w:r>
        <w:rPr>
          <w:rFonts w:hint="eastAsia" w:eastAsia="宋体"/>
          <w:szCs w:val="24"/>
          <w:highlight w:val="green"/>
        </w:rPr>
        <w:t>1区域环境质量现状</w:t>
      </w:r>
    </w:p>
    <w:p>
      <w:pPr>
        <w:pStyle w:val="3"/>
        <w:keepLines w:val="0"/>
        <w:widowControl w:val="0"/>
        <w:spacing w:before="0" w:after="0" w:line="480" w:lineRule="exact"/>
        <w:jc w:val="both"/>
        <w:rPr>
          <w:rFonts w:hint="default" w:ascii="Times New Roman" w:hAnsi="Times New Roman" w:cs="Times New Roman"/>
          <w:bCs w:val="0"/>
          <w:kern w:val="2"/>
          <w:szCs w:val="24"/>
          <w:highlight w:val="none"/>
          <w:lang w:val="zh-CN"/>
        </w:rPr>
      </w:pPr>
      <w:r>
        <w:rPr>
          <w:rFonts w:hint="default" w:ascii="Times New Roman" w:hAnsi="Times New Roman" w:cs="Times New Roman"/>
          <w:bCs w:val="0"/>
          <w:kern w:val="2"/>
          <w:szCs w:val="24"/>
          <w:highlight w:val="none"/>
          <w:lang w:val="zh-CN"/>
        </w:rPr>
        <w:t>4.3.1.1达标区判定</w:t>
      </w:r>
    </w:p>
    <w:p>
      <w:pPr>
        <w:keepLines w:val="0"/>
        <w:pageBreakBefore w:val="0"/>
        <w:widowControl w:val="0"/>
        <w:kinsoku/>
        <w:wordWrap/>
        <w:overflowPunct/>
        <w:topLinePunct w:val="0"/>
        <w:autoSpaceDE/>
        <w:autoSpaceDN/>
        <w:bidi w:val="0"/>
        <w:adjustRightInd/>
        <w:snapToGrid/>
        <w:spacing w:before="0" w:after="0" w:line="460" w:lineRule="exact"/>
        <w:ind w:firstLine="480" w:firstLineChars="200"/>
        <w:jc w:val="both"/>
        <w:textAlignment w:val="bottom"/>
        <w:outlineLvl w:val="9"/>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本项目环境空气等级为“二级评价”，根据《环境影响评价技术导则 大气环境》（HJ2.2-2018），二级评价项目调查所在区域环境质量达标情况，“项目所在区域达标判定，优先采用国家或地方生态环境主管部门公开发布的评价基准年环境质量公告或环境质量报告中的数据或结论”，“采用评价范围内国家或地方环境空气质量监测网中评价基准年连续1年的监测数据，或采用生态环境主管部门公开发布的环境空气质量现状数据”。</w:t>
      </w:r>
    </w:p>
    <w:p>
      <w:pPr>
        <w:keepLines w:val="0"/>
        <w:pageBreakBefore w:val="0"/>
        <w:widowControl w:val="0"/>
        <w:kinsoku/>
        <w:wordWrap/>
        <w:overflowPunct/>
        <w:topLinePunct w:val="0"/>
        <w:autoSpaceDE/>
        <w:autoSpaceDN/>
        <w:bidi w:val="0"/>
        <w:adjustRightInd/>
        <w:snapToGrid/>
        <w:spacing w:line="460" w:lineRule="exact"/>
        <w:ind w:firstLine="480" w:firstLineChars="200"/>
        <w:textAlignment w:val="bottom"/>
        <w:outlineLvl w:val="9"/>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t>根据唐山市生态环境局发布的《202</w:t>
      </w:r>
      <w:r>
        <w:rPr>
          <w:rFonts w:hint="eastAsia" w:ascii="Times New Roman" w:hAnsi="Times New Roman" w:cs="Times New Roman"/>
          <w:bCs/>
          <w:sz w:val="24"/>
          <w:szCs w:val="24"/>
          <w:highlight w:val="none"/>
          <w:lang w:val="en-US" w:eastAsia="zh-CN"/>
        </w:rPr>
        <w:t>1</w:t>
      </w:r>
      <w:r>
        <w:rPr>
          <w:rFonts w:hint="default" w:ascii="Times New Roman" w:hAnsi="Times New Roman" w:cs="Times New Roman"/>
          <w:bCs/>
          <w:sz w:val="24"/>
          <w:szCs w:val="24"/>
          <w:highlight w:val="none"/>
        </w:rPr>
        <w:t>年唐山</w:t>
      </w:r>
      <w:r>
        <w:rPr>
          <w:rFonts w:hint="default" w:ascii="Times New Roman" w:hAnsi="Times New Roman" w:cs="Times New Roman"/>
          <w:sz w:val="24"/>
          <w:szCs w:val="24"/>
          <w:highlight w:val="none"/>
        </w:rPr>
        <w:t>市环境状况公报》显示，唐山市环境空气质量综合指数5.87，同比下降10.2%；优良天数249天，同比增加28天，优良天数比例68.0%，创有监测记录以来最好水平。2020年唐山市开展环境空气质量监测366天，城市环境空气质量二级或优于二级的优良天数249天（优40天，良209天），优良天数比例为68.0%。全年优良天数较上年增加28天，优天数增加12天，良天数增加16天。全年重度污染天数9天，严重污染天数0天。较上年污染天数减少27天，其中轻度污染、中度污染、重度污染及严重污染天数分别减少16天、9天、1天、1天。具体情况见表4.3-1。</w:t>
      </w:r>
    </w:p>
    <w:p>
      <w:pPr>
        <w:spacing w:line="240" w:lineRule="auto"/>
        <w:ind w:firstLine="0" w:firstLineChars="0"/>
        <w:jc w:val="center"/>
        <w:textAlignment w:val="auto"/>
        <w:rPr>
          <w:rFonts w:hint="default" w:ascii="Times New Roman" w:hAnsi="Times New Roman" w:eastAsia="黑体" w:cs="Times New Roman"/>
          <w:kern w:val="2"/>
          <w:sz w:val="21"/>
          <w:szCs w:val="21"/>
          <w:highlight w:val="none"/>
        </w:rPr>
      </w:pPr>
      <w:r>
        <w:rPr>
          <w:rFonts w:hint="default" w:ascii="Times New Roman" w:hAnsi="Times New Roman" w:eastAsia="黑体" w:cs="Times New Roman"/>
          <w:kern w:val="2"/>
          <w:sz w:val="21"/>
          <w:szCs w:val="21"/>
          <w:highlight w:val="none"/>
        </w:rPr>
        <w:t>表4.3-1  202</w:t>
      </w:r>
      <w:r>
        <w:rPr>
          <w:rFonts w:hint="eastAsia" w:ascii="Times New Roman" w:hAnsi="Times New Roman" w:eastAsia="黑体" w:cs="Times New Roman"/>
          <w:kern w:val="2"/>
          <w:sz w:val="21"/>
          <w:szCs w:val="21"/>
          <w:highlight w:val="none"/>
          <w:lang w:val="en-US" w:eastAsia="zh-CN"/>
        </w:rPr>
        <w:t>1</w:t>
      </w:r>
      <w:r>
        <w:rPr>
          <w:rFonts w:hint="default" w:ascii="Times New Roman" w:hAnsi="Times New Roman" w:eastAsia="黑体" w:cs="Times New Roman"/>
          <w:kern w:val="2"/>
          <w:sz w:val="21"/>
          <w:szCs w:val="21"/>
          <w:highlight w:val="none"/>
        </w:rPr>
        <w:t>年唐山市环境空气质量年均浓度值情况表单位（μg/m</w:t>
      </w:r>
      <w:r>
        <w:rPr>
          <w:rFonts w:hint="default" w:ascii="Times New Roman" w:hAnsi="Times New Roman" w:eastAsia="黑体" w:cs="Times New Roman"/>
          <w:kern w:val="2"/>
          <w:sz w:val="21"/>
          <w:szCs w:val="21"/>
          <w:highlight w:val="none"/>
          <w:vertAlign w:val="superscript"/>
        </w:rPr>
        <w:t>3</w:t>
      </w:r>
      <w:r>
        <w:rPr>
          <w:rFonts w:hint="default" w:ascii="Times New Roman" w:hAnsi="Times New Roman" w:eastAsia="黑体" w:cs="Times New Roman"/>
          <w:kern w:val="2"/>
          <w:sz w:val="21"/>
          <w:szCs w:val="21"/>
          <w:highlight w:val="none"/>
        </w:rPr>
        <w:t>，CO为mg/m</w:t>
      </w:r>
      <w:r>
        <w:rPr>
          <w:rFonts w:hint="default" w:ascii="Times New Roman" w:hAnsi="Times New Roman" w:eastAsia="黑体" w:cs="Times New Roman"/>
          <w:kern w:val="2"/>
          <w:sz w:val="21"/>
          <w:szCs w:val="21"/>
          <w:highlight w:val="none"/>
          <w:vertAlign w:val="superscript"/>
        </w:rPr>
        <w:t>3</w:t>
      </w:r>
      <w:r>
        <w:rPr>
          <w:rFonts w:hint="default" w:ascii="Times New Roman" w:hAnsi="Times New Roman" w:eastAsia="黑体" w:cs="Times New Roman"/>
          <w:kern w:val="2"/>
          <w:sz w:val="21"/>
          <w:szCs w:val="21"/>
          <w:highlight w:val="none"/>
        </w:rPr>
        <w:t>）</w:t>
      </w:r>
    </w:p>
    <w:tbl>
      <w:tblPr>
        <w:tblStyle w:val="4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Layout w:type="fixed"/>
        <w:tblCellMar>
          <w:top w:w="0" w:type="dxa"/>
          <w:left w:w="30" w:type="dxa"/>
          <w:bottom w:w="0" w:type="dxa"/>
          <w:right w:w="30" w:type="dxa"/>
        </w:tblCellMar>
      </w:tblPr>
      <w:tblGrid>
        <w:gridCol w:w="1328"/>
        <w:gridCol w:w="1134"/>
        <w:gridCol w:w="1066"/>
        <w:gridCol w:w="1054"/>
        <w:gridCol w:w="1080"/>
        <w:gridCol w:w="1110"/>
        <w:gridCol w:w="22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54" w:hRule="atLeast"/>
          <w:jc w:val="center"/>
        </w:trPr>
        <w:tc>
          <w:tcPr>
            <w:tcW w:w="1328" w:type="dxa"/>
            <w:shd w:val="clear" w:color="auto" w:fill="auto"/>
            <w:noWrap w:val="0"/>
            <w:vAlign w:val="center"/>
          </w:tcPr>
          <w:p>
            <w:pPr>
              <w:spacing w:line="400" w:lineRule="exact"/>
              <w:jc w:val="center"/>
              <w:rPr>
                <w:rFonts w:hint="default" w:ascii="Times New Roman" w:hAnsi="Times New Roman" w:cs="Times New Roman"/>
                <w:spacing w:val="-10"/>
                <w:sz w:val="21"/>
                <w:szCs w:val="21"/>
                <w:highlight w:val="none"/>
              </w:rPr>
            </w:pPr>
            <w:r>
              <w:rPr>
                <w:rFonts w:hint="default" w:ascii="Times New Roman" w:hAnsi="Times New Roman" w:cs="Times New Roman"/>
                <w:spacing w:val="-10"/>
                <w:sz w:val="21"/>
                <w:szCs w:val="21"/>
                <w:highlight w:val="none"/>
              </w:rPr>
              <w:t>指标</w:t>
            </w:r>
          </w:p>
        </w:tc>
        <w:tc>
          <w:tcPr>
            <w:tcW w:w="113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SO</w:t>
            </w:r>
            <w:r>
              <w:rPr>
                <w:rFonts w:hint="default" w:ascii="Times New Roman" w:hAnsi="Times New Roman" w:cs="Times New Roman"/>
                <w:sz w:val="21"/>
                <w:szCs w:val="21"/>
                <w:highlight w:val="none"/>
                <w:vertAlign w:val="subscript"/>
              </w:rPr>
              <w:t>2</w:t>
            </w:r>
          </w:p>
        </w:tc>
        <w:tc>
          <w:tcPr>
            <w:tcW w:w="1066"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NO</w:t>
            </w:r>
            <w:r>
              <w:rPr>
                <w:rFonts w:hint="default" w:ascii="Times New Roman" w:hAnsi="Times New Roman" w:cs="Times New Roman"/>
                <w:sz w:val="21"/>
                <w:szCs w:val="21"/>
                <w:highlight w:val="none"/>
                <w:vertAlign w:val="subscript"/>
              </w:rPr>
              <w:t>2</w:t>
            </w:r>
          </w:p>
        </w:tc>
        <w:tc>
          <w:tcPr>
            <w:tcW w:w="105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PM</w:t>
            </w:r>
            <w:r>
              <w:rPr>
                <w:rFonts w:hint="default" w:ascii="Times New Roman" w:hAnsi="Times New Roman" w:cs="Times New Roman"/>
                <w:sz w:val="21"/>
                <w:szCs w:val="21"/>
                <w:highlight w:val="none"/>
                <w:vertAlign w:val="subscript"/>
              </w:rPr>
              <w:t>10</w:t>
            </w:r>
          </w:p>
        </w:tc>
        <w:tc>
          <w:tcPr>
            <w:tcW w:w="108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PM</w:t>
            </w:r>
            <w:r>
              <w:rPr>
                <w:rFonts w:hint="default" w:ascii="Times New Roman" w:hAnsi="Times New Roman" w:cs="Times New Roman"/>
                <w:sz w:val="21"/>
                <w:szCs w:val="21"/>
                <w:highlight w:val="none"/>
                <w:vertAlign w:val="subscript"/>
              </w:rPr>
              <w:t>2.5</w:t>
            </w:r>
          </w:p>
        </w:tc>
        <w:tc>
          <w:tcPr>
            <w:tcW w:w="111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CO</w:t>
            </w:r>
          </w:p>
        </w:tc>
        <w:tc>
          <w:tcPr>
            <w:tcW w:w="2209"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O</w:t>
            </w:r>
            <w:r>
              <w:rPr>
                <w:rFonts w:hint="default" w:ascii="Times New Roman" w:hAnsi="Times New Roman" w:cs="Times New Roman"/>
                <w:sz w:val="21"/>
                <w:szCs w:val="21"/>
                <w:highlight w:val="none"/>
                <w:vertAlign w:val="subscript"/>
              </w:rPr>
              <w:t>3</w:t>
            </w:r>
            <w:r>
              <w:rPr>
                <w:rFonts w:hint="default" w:ascii="Times New Roman" w:hAnsi="Times New Roman" w:cs="Times New Roman"/>
                <w:sz w:val="21"/>
                <w:szCs w:val="21"/>
                <w:highlight w:val="none"/>
              </w:rPr>
              <w:t>（日最大8小时平均）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54" w:hRule="atLeast"/>
          <w:jc w:val="center"/>
        </w:trPr>
        <w:tc>
          <w:tcPr>
            <w:tcW w:w="1328"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pacing w:val="-10"/>
                <w:sz w:val="21"/>
                <w:szCs w:val="21"/>
                <w:highlight w:val="none"/>
              </w:rPr>
            </w:pPr>
            <w:r>
              <w:rPr>
                <w:rFonts w:hint="default" w:ascii="Times New Roman" w:hAnsi="Times New Roman" w:cs="Times New Roman"/>
                <w:sz w:val="21"/>
                <w:szCs w:val="21"/>
                <w:highlight w:val="none"/>
              </w:rPr>
              <w:t>202</w:t>
            </w:r>
            <w:r>
              <w:rPr>
                <w:rFonts w:hint="eastAsia" w:ascii="Times New Roman" w:hAnsi="Times New Roman" w:eastAsia="宋体" w:cs="Times New Roman"/>
                <w:sz w:val="21"/>
                <w:szCs w:val="21"/>
                <w:highlight w:val="none"/>
                <w:lang w:val="en-US" w:eastAsia="zh-CN"/>
              </w:rPr>
              <w:t>1</w:t>
            </w:r>
            <w:r>
              <w:rPr>
                <w:rFonts w:hint="default" w:ascii="Times New Roman" w:hAnsi="Times New Roman" w:cs="Times New Roman"/>
                <w:sz w:val="21"/>
                <w:szCs w:val="21"/>
                <w:highlight w:val="none"/>
              </w:rPr>
              <w:t>年均值</w:t>
            </w:r>
          </w:p>
        </w:tc>
        <w:tc>
          <w:tcPr>
            <w:tcW w:w="113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18</w:t>
            </w:r>
          </w:p>
        </w:tc>
        <w:tc>
          <w:tcPr>
            <w:tcW w:w="1066"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46</w:t>
            </w:r>
          </w:p>
        </w:tc>
        <w:tc>
          <w:tcPr>
            <w:tcW w:w="105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88</w:t>
            </w:r>
          </w:p>
        </w:tc>
        <w:tc>
          <w:tcPr>
            <w:tcW w:w="108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49</w:t>
            </w:r>
          </w:p>
        </w:tc>
        <w:tc>
          <w:tcPr>
            <w:tcW w:w="111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2.5</w:t>
            </w:r>
          </w:p>
        </w:tc>
        <w:tc>
          <w:tcPr>
            <w:tcW w:w="2209"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182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54" w:hRule="atLeast"/>
          <w:jc w:val="center"/>
        </w:trPr>
        <w:tc>
          <w:tcPr>
            <w:tcW w:w="1328"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年均值标准</w:t>
            </w:r>
          </w:p>
        </w:tc>
        <w:tc>
          <w:tcPr>
            <w:tcW w:w="113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60</w:t>
            </w:r>
          </w:p>
        </w:tc>
        <w:tc>
          <w:tcPr>
            <w:tcW w:w="1066"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40</w:t>
            </w:r>
          </w:p>
        </w:tc>
        <w:tc>
          <w:tcPr>
            <w:tcW w:w="105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70</w:t>
            </w:r>
          </w:p>
        </w:tc>
        <w:tc>
          <w:tcPr>
            <w:tcW w:w="108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35</w:t>
            </w:r>
          </w:p>
        </w:tc>
        <w:tc>
          <w:tcPr>
            <w:tcW w:w="111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2209"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54" w:hRule="atLeast"/>
          <w:jc w:val="center"/>
        </w:trPr>
        <w:tc>
          <w:tcPr>
            <w:tcW w:w="1328"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日均值标准</w:t>
            </w:r>
          </w:p>
        </w:tc>
        <w:tc>
          <w:tcPr>
            <w:tcW w:w="113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150</w:t>
            </w:r>
          </w:p>
        </w:tc>
        <w:tc>
          <w:tcPr>
            <w:tcW w:w="1066"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80</w:t>
            </w:r>
          </w:p>
        </w:tc>
        <w:tc>
          <w:tcPr>
            <w:tcW w:w="105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150</w:t>
            </w:r>
          </w:p>
        </w:tc>
        <w:tc>
          <w:tcPr>
            <w:tcW w:w="108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75</w:t>
            </w:r>
          </w:p>
        </w:tc>
        <w:tc>
          <w:tcPr>
            <w:tcW w:w="111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2209"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54" w:hRule="atLeast"/>
          <w:jc w:val="center"/>
        </w:trPr>
        <w:tc>
          <w:tcPr>
            <w:tcW w:w="1328"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达标情况</w:t>
            </w:r>
          </w:p>
        </w:tc>
        <w:tc>
          <w:tcPr>
            <w:tcW w:w="113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达标</w:t>
            </w:r>
          </w:p>
        </w:tc>
        <w:tc>
          <w:tcPr>
            <w:tcW w:w="1066"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超标</w:t>
            </w:r>
          </w:p>
        </w:tc>
        <w:tc>
          <w:tcPr>
            <w:tcW w:w="105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超标</w:t>
            </w:r>
          </w:p>
        </w:tc>
        <w:tc>
          <w:tcPr>
            <w:tcW w:w="108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超标</w:t>
            </w:r>
          </w:p>
        </w:tc>
        <w:tc>
          <w:tcPr>
            <w:tcW w:w="111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达标</w:t>
            </w:r>
          </w:p>
        </w:tc>
        <w:tc>
          <w:tcPr>
            <w:tcW w:w="2209"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54" w:hRule="atLeast"/>
          <w:jc w:val="center"/>
        </w:trPr>
        <w:tc>
          <w:tcPr>
            <w:tcW w:w="1328"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超标百分数</w:t>
            </w:r>
          </w:p>
        </w:tc>
        <w:tc>
          <w:tcPr>
            <w:tcW w:w="113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066"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w:t>
            </w:r>
          </w:p>
        </w:tc>
        <w:tc>
          <w:tcPr>
            <w:tcW w:w="105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25.7%</w:t>
            </w:r>
          </w:p>
        </w:tc>
        <w:tc>
          <w:tcPr>
            <w:tcW w:w="108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40%</w:t>
            </w:r>
          </w:p>
        </w:tc>
        <w:tc>
          <w:tcPr>
            <w:tcW w:w="111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2209"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eastAsia="宋体" w:cs="Times New Roman"/>
                <w:sz w:val="21"/>
                <w:szCs w:val="21"/>
                <w:highlight w:val="none"/>
              </w:rPr>
            </w:pPr>
            <w:r>
              <w:rPr>
                <w:rFonts w:hint="default" w:ascii="Times New Roman" w:hAnsi="Times New Roman" w:cs="Times New Roman"/>
                <w:sz w:val="21"/>
                <w:szCs w:val="21"/>
                <w:highlight w:val="none"/>
              </w:rPr>
              <w:t>13.75%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54" w:hRule="atLeast"/>
          <w:jc w:val="center"/>
        </w:trPr>
        <w:tc>
          <w:tcPr>
            <w:tcW w:w="1328"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w:t>
            </w:r>
            <w:r>
              <w:rPr>
                <w:rFonts w:hint="eastAsia" w:ascii="Times New Roman" w:hAnsi="Times New Roman" w:eastAsia="宋体" w:cs="Times New Roman"/>
                <w:sz w:val="21"/>
                <w:szCs w:val="21"/>
                <w:highlight w:val="none"/>
                <w:lang w:val="en-US" w:eastAsia="zh-CN"/>
              </w:rPr>
              <w:t>20</w:t>
            </w:r>
            <w:r>
              <w:rPr>
                <w:rFonts w:hint="default" w:ascii="Times New Roman" w:hAnsi="Times New Roman" w:cs="Times New Roman"/>
                <w:sz w:val="21"/>
                <w:szCs w:val="21"/>
                <w:highlight w:val="none"/>
              </w:rPr>
              <w:t>年与上年相比</w:t>
            </w:r>
          </w:p>
        </w:tc>
        <w:tc>
          <w:tcPr>
            <w:tcW w:w="113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下降18.2%</w:t>
            </w:r>
          </w:p>
        </w:tc>
        <w:tc>
          <w:tcPr>
            <w:tcW w:w="1066"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下降9.8%</w:t>
            </w:r>
          </w:p>
        </w:tc>
        <w:tc>
          <w:tcPr>
            <w:tcW w:w="1054"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下降12.9%</w:t>
            </w:r>
          </w:p>
        </w:tc>
        <w:tc>
          <w:tcPr>
            <w:tcW w:w="108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下降9.3%</w:t>
            </w:r>
          </w:p>
        </w:tc>
        <w:tc>
          <w:tcPr>
            <w:tcW w:w="1110"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下降13.8%</w:t>
            </w:r>
          </w:p>
        </w:tc>
        <w:tc>
          <w:tcPr>
            <w:tcW w:w="2209" w:type="dxa"/>
            <w:shd w:val="clear" w:color="auto" w:fill="auto"/>
            <w:noWrap w:val="0"/>
            <w:vAlign w:val="center"/>
          </w:tcPr>
          <w:p>
            <w:pPr>
              <w:pStyle w:val="42"/>
              <w:spacing w:before="0" w:beforeAutospacing="0" w:after="0" w:afterAutospacing="0" w:line="40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下降4.2%</w:t>
            </w:r>
          </w:p>
        </w:tc>
      </w:tr>
    </w:tbl>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bottom"/>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由表4.3-1可知，本项目所在区域CO日均浓度值、SO</w:t>
      </w:r>
      <w:r>
        <w:rPr>
          <w:rFonts w:hint="default" w:ascii="Times New Roman" w:hAnsi="Times New Roman" w:cs="Times New Roman"/>
          <w:sz w:val="24"/>
          <w:szCs w:val="24"/>
          <w:highlight w:val="none"/>
          <w:vertAlign w:val="subscript"/>
        </w:rPr>
        <w:t>2</w:t>
      </w:r>
      <w:r>
        <w:rPr>
          <w:rFonts w:hint="default" w:ascii="Times New Roman" w:hAnsi="Times New Roman" w:cs="Times New Roman"/>
          <w:sz w:val="24"/>
          <w:szCs w:val="24"/>
          <w:highlight w:val="none"/>
        </w:rPr>
        <w:t>年均浓度值满足环境空气质量标准要求；NO</w:t>
      </w:r>
      <w:r>
        <w:rPr>
          <w:rFonts w:hint="default" w:ascii="Times New Roman" w:hAnsi="Times New Roman" w:cs="Times New Roman"/>
          <w:sz w:val="24"/>
          <w:szCs w:val="24"/>
          <w:highlight w:val="none"/>
          <w:vertAlign w:val="subscript"/>
        </w:rPr>
        <w:t>2</w:t>
      </w:r>
      <w:r>
        <w:rPr>
          <w:rFonts w:hint="default" w:ascii="Times New Roman" w:hAnsi="Times New Roman" w:cs="Times New Roman"/>
          <w:sz w:val="24"/>
          <w:szCs w:val="24"/>
          <w:highlight w:val="none"/>
        </w:rPr>
        <w:t>、PM</w:t>
      </w:r>
      <w:r>
        <w:rPr>
          <w:rFonts w:hint="default" w:ascii="Times New Roman" w:hAnsi="Times New Roman" w:cs="Times New Roman"/>
          <w:sz w:val="24"/>
          <w:szCs w:val="24"/>
          <w:highlight w:val="none"/>
          <w:vertAlign w:val="subscript"/>
        </w:rPr>
        <w:t>10</w:t>
      </w:r>
      <w:r>
        <w:rPr>
          <w:rFonts w:hint="default" w:ascii="Times New Roman" w:hAnsi="Times New Roman" w:cs="Times New Roman"/>
          <w:sz w:val="24"/>
          <w:szCs w:val="24"/>
          <w:highlight w:val="none"/>
        </w:rPr>
        <w:t>、PM</w:t>
      </w:r>
      <w:r>
        <w:rPr>
          <w:rFonts w:hint="default" w:ascii="Times New Roman" w:hAnsi="Times New Roman" w:cs="Times New Roman"/>
          <w:sz w:val="24"/>
          <w:szCs w:val="24"/>
          <w:highlight w:val="none"/>
          <w:vertAlign w:val="subscript"/>
        </w:rPr>
        <w:t>2.5</w:t>
      </w:r>
      <w:r>
        <w:rPr>
          <w:rFonts w:hint="default" w:ascii="Times New Roman" w:hAnsi="Times New Roman" w:cs="Times New Roman"/>
          <w:sz w:val="24"/>
          <w:szCs w:val="24"/>
          <w:highlight w:val="none"/>
        </w:rPr>
        <w:t>、O</w:t>
      </w:r>
      <w:r>
        <w:rPr>
          <w:rFonts w:hint="default" w:ascii="Times New Roman" w:hAnsi="Times New Roman" w:cs="Times New Roman"/>
          <w:sz w:val="24"/>
          <w:szCs w:val="24"/>
          <w:highlight w:val="none"/>
          <w:vertAlign w:val="subscript"/>
        </w:rPr>
        <w:t>3</w:t>
      </w:r>
      <w:r>
        <w:rPr>
          <w:rFonts w:hint="default" w:ascii="Times New Roman" w:hAnsi="Times New Roman" w:cs="Times New Roman"/>
          <w:sz w:val="24"/>
          <w:szCs w:val="24"/>
          <w:highlight w:val="none"/>
        </w:rPr>
        <w:t>浓度值超过环境空气质量标准要求。因此，项目所在区域属于不达标区。</w:t>
      </w:r>
    </w:p>
    <w:p>
      <w:pPr>
        <w:pStyle w:val="3"/>
        <w:rPr>
          <w:rFonts w:hint="eastAsia"/>
          <w:highlight w:val="green"/>
        </w:rPr>
      </w:pPr>
      <w:r>
        <w:rPr>
          <w:highlight w:val="green"/>
        </w:rPr>
        <w:t>4.3.1.2环境空气质量现状</w:t>
      </w:r>
      <w:r>
        <w:rPr>
          <w:rFonts w:hint="eastAsia"/>
          <w:highlight w:val="green"/>
        </w:rPr>
        <w:t>监测</w:t>
      </w:r>
    </w:p>
    <w:p>
      <w:pPr>
        <w:ind w:firstLine="480"/>
        <w:jc w:val="both"/>
        <w:rPr>
          <w:bCs/>
          <w:sz w:val="24"/>
          <w:highlight w:val="green"/>
        </w:rPr>
      </w:pPr>
      <w:r>
        <w:rPr>
          <w:bCs/>
          <w:sz w:val="24"/>
          <w:highlight w:val="green"/>
        </w:rPr>
        <w:t>（1）监测点位置</w:t>
      </w:r>
    </w:p>
    <w:p>
      <w:pPr>
        <w:ind w:firstLine="480"/>
        <w:jc w:val="both"/>
        <w:rPr>
          <w:bCs/>
          <w:sz w:val="24"/>
          <w:highlight w:val="green"/>
        </w:rPr>
      </w:pPr>
      <w:r>
        <w:rPr>
          <w:bCs/>
          <w:sz w:val="24"/>
          <w:highlight w:val="green"/>
        </w:rPr>
        <w:t>本次评价设置了</w:t>
      </w:r>
      <w:r>
        <w:rPr>
          <w:rFonts w:hint="eastAsia"/>
          <w:bCs/>
          <w:sz w:val="24"/>
          <w:highlight w:val="green"/>
          <w:lang w:val="en-US" w:eastAsia="zh-CN"/>
        </w:rPr>
        <w:t>2</w:t>
      </w:r>
      <w:r>
        <w:rPr>
          <w:bCs/>
          <w:sz w:val="24"/>
          <w:highlight w:val="green"/>
        </w:rPr>
        <w:t>个监测点位。</w:t>
      </w:r>
    </w:p>
    <w:p>
      <w:pPr>
        <w:spacing w:line="240" w:lineRule="auto"/>
        <w:ind w:firstLine="420" w:firstLineChars="0"/>
        <w:jc w:val="center"/>
        <w:textAlignment w:val="baseline"/>
        <w:rPr>
          <w:rFonts w:eastAsia="黑体"/>
          <w:bCs/>
          <w:kern w:val="2"/>
          <w:sz w:val="21"/>
          <w:szCs w:val="21"/>
          <w:highlight w:val="green"/>
        </w:rPr>
      </w:pPr>
      <w:r>
        <w:rPr>
          <w:rFonts w:eastAsia="黑体"/>
          <w:bCs/>
          <w:kern w:val="2"/>
          <w:sz w:val="21"/>
          <w:szCs w:val="21"/>
          <w:highlight w:val="green"/>
        </w:rPr>
        <w:t>表4.3-</w:t>
      </w:r>
      <w:r>
        <w:rPr>
          <w:rFonts w:hint="eastAsia" w:eastAsia="黑体"/>
          <w:bCs/>
          <w:kern w:val="2"/>
          <w:sz w:val="21"/>
          <w:szCs w:val="21"/>
          <w:highlight w:val="green"/>
          <w:lang w:val="en-US" w:eastAsia="zh-CN"/>
        </w:rPr>
        <w:t>2</w:t>
      </w:r>
      <w:r>
        <w:rPr>
          <w:rFonts w:eastAsia="黑体"/>
          <w:bCs/>
          <w:kern w:val="2"/>
          <w:sz w:val="21"/>
          <w:szCs w:val="21"/>
          <w:highlight w:val="green"/>
        </w:rPr>
        <w:t>环境空气质量现状监测布点</w:t>
      </w:r>
    </w:p>
    <w:tbl>
      <w:tblPr>
        <w:tblStyle w:val="48"/>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89"/>
        <w:gridCol w:w="1933"/>
        <w:gridCol w:w="1933"/>
        <w:gridCol w:w="3264"/>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6" w:hRule="atLeast"/>
          <w:jc w:val="center"/>
        </w:trPr>
        <w:tc>
          <w:tcPr>
            <w:tcW w:w="815" w:type="pct"/>
            <w:vAlign w:val="center"/>
          </w:tcPr>
          <w:p>
            <w:pPr>
              <w:pStyle w:val="251"/>
              <w:spacing w:after="0"/>
              <w:jc w:val="center"/>
              <w:rPr>
                <w:bCs/>
                <w:szCs w:val="21"/>
                <w:highlight w:val="green"/>
              </w:rPr>
            </w:pPr>
            <w:r>
              <w:rPr>
                <w:bCs/>
                <w:szCs w:val="21"/>
                <w:highlight w:val="green"/>
              </w:rPr>
              <w:t>编号</w:t>
            </w:r>
          </w:p>
        </w:tc>
        <w:tc>
          <w:tcPr>
            <w:tcW w:w="1134" w:type="pct"/>
            <w:vAlign w:val="center"/>
          </w:tcPr>
          <w:p>
            <w:pPr>
              <w:pStyle w:val="18"/>
              <w:spacing w:line="240" w:lineRule="auto"/>
              <w:jc w:val="center"/>
              <w:rPr>
                <w:bCs/>
                <w:color w:val="auto"/>
                <w:sz w:val="21"/>
                <w:szCs w:val="21"/>
                <w:highlight w:val="green"/>
              </w:rPr>
            </w:pPr>
            <w:r>
              <w:rPr>
                <w:bCs/>
                <w:color w:val="auto"/>
                <w:sz w:val="21"/>
                <w:szCs w:val="21"/>
                <w:highlight w:val="green"/>
              </w:rPr>
              <w:t>监测点位</w:t>
            </w:r>
          </w:p>
        </w:tc>
        <w:tc>
          <w:tcPr>
            <w:tcW w:w="1134" w:type="pct"/>
            <w:vAlign w:val="center"/>
          </w:tcPr>
          <w:p>
            <w:pPr>
              <w:pStyle w:val="251"/>
              <w:spacing w:after="0"/>
              <w:jc w:val="center"/>
              <w:rPr>
                <w:bCs/>
                <w:szCs w:val="21"/>
                <w:highlight w:val="green"/>
              </w:rPr>
            </w:pPr>
            <w:r>
              <w:rPr>
                <w:bCs/>
                <w:szCs w:val="21"/>
                <w:highlight w:val="green"/>
              </w:rPr>
              <w:t>方位</w:t>
            </w:r>
          </w:p>
        </w:tc>
        <w:tc>
          <w:tcPr>
            <w:tcW w:w="1915" w:type="pct"/>
            <w:vAlign w:val="center"/>
          </w:tcPr>
          <w:p>
            <w:pPr>
              <w:pStyle w:val="251"/>
              <w:spacing w:after="0"/>
              <w:jc w:val="center"/>
              <w:rPr>
                <w:bCs/>
                <w:szCs w:val="21"/>
                <w:highlight w:val="green"/>
              </w:rPr>
            </w:pPr>
            <w:r>
              <w:rPr>
                <w:bCs/>
                <w:szCs w:val="21"/>
                <w:highlight w:val="green"/>
              </w:rPr>
              <w:t>监测项目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6" w:hRule="atLeast"/>
          <w:jc w:val="center"/>
        </w:trPr>
        <w:tc>
          <w:tcPr>
            <w:tcW w:w="815" w:type="pct"/>
            <w:vAlign w:val="center"/>
          </w:tcPr>
          <w:p>
            <w:pPr>
              <w:pStyle w:val="129"/>
              <w:spacing w:line="240" w:lineRule="auto"/>
              <w:rPr>
                <w:rFonts w:ascii="Times New Roman" w:hAnsi="Times New Roman"/>
                <w:highlight w:val="green"/>
              </w:rPr>
            </w:pPr>
            <w:r>
              <w:rPr>
                <w:rFonts w:ascii="Times New Roman" w:hAnsi="Times New Roman"/>
                <w:highlight w:val="green"/>
              </w:rPr>
              <w:t>1#</w:t>
            </w:r>
          </w:p>
        </w:tc>
        <w:tc>
          <w:tcPr>
            <w:tcW w:w="1134" w:type="pct"/>
            <w:vAlign w:val="center"/>
          </w:tcPr>
          <w:p>
            <w:pPr>
              <w:pStyle w:val="129"/>
              <w:spacing w:line="240" w:lineRule="auto"/>
              <w:ind w:firstLine="210" w:firstLineChars="100"/>
              <w:jc w:val="both"/>
              <w:rPr>
                <w:rFonts w:hint="eastAsia" w:ascii="Times New Roman" w:hAnsi="Times New Roman" w:eastAsia="宋体"/>
                <w:highlight w:val="green"/>
                <w:lang w:val="en-US" w:eastAsia="zh-CN"/>
              </w:rPr>
            </w:pPr>
            <w:r>
              <w:rPr>
                <w:rFonts w:hint="eastAsia" w:ascii="Times New Roman" w:hAnsi="Times New Roman"/>
                <w:highlight w:val="green"/>
                <w:lang w:val="en-US" w:eastAsia="zh-CN"/>
              </w:rPr>
              <w:t>堡子店村</w:t>
            </w:r>
          </w:p>
        </w:tc>
        <w:tc>
          <w:tcPr>
            <w:tcW w:w="1134" w:type="pct"/>
            <w:vAlign w:val="center"/>
          </w:tcPr>
          <w:p>
            <w:pPr>
              <w:pStyle w:val="129"/>
              <w:spacing w:line="240" w:lineRule="auto"/>
              <w:rPr>
                <w:rFonts w:hint="eastAsia" w:ascii="Times New Roman" w:hAnsi="Times New Roman" w:eastAsia="宋体"/>
                <w:highlight w:val="green"/>
                <w:lang w:eastAsia="zh-CN"/>
              </w:rPr>
            </w:pPr>
            <w:r>
              <w:rPr>
                <w:rFonts w:ascii="Times New Roman" w:hAnsi="Times New Roman"/>
                <w:highlight w:val="green"/>
              </w:rPr>
              <w:t>东</w:t>
            </w:r>
            <w:r>
              <w:rPr>
                <w:rFonts w:hint="eastAsia" w:ascii="Times New Roman" w:hAnsi="Times New Roman"/>
                <w:highlight w:val="green"/>
                <w:lang w:eastAsia="zh-CN"/>
              </w:rPr>
              <w:t>北</w:t>
            </w:r>
          </w:p>
        </w:tc>
        <w:tc>
          <w:tcPr>
            <w:tcW w:w="1915" w:type="pct"/>
            <w:vMerge w:val="restart"/>
            <w:vAlign w:val="center"/>
          </w:tcPr>
          <w:p>
            <w:pPr>
              <w:pStyle w:val="129"/>
              <w:spacing w:line="240" w:lineRule="auto"/>
              <w:rPr>
                <w:rFonts w:ascii="Times New Roman" w:hAnsi="Times New Roman"/>
                <w:highlight w:val="green"/>
              </w:rPr>
            </w:pPr>
            <w:r>
              <w:rPr>
                <w:rFonts w:ascii="Times New Roman" w:hAnsi="Times New Roman"/>
                <w:highlight w:val="green"/>
              </w:rPr>
              <w:t>TSP</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jc w:val="center"/>
        </w:trPr>
        <w:tc>
          <w:tcPr>
            <w:tcW w:w="815" w:type="pct"/>
            <w:vAlign w:val="center"/>
          </w:tcPr>
          <w:p>
            <w:pPr>
              <w:pStyle w:val="129"/>
              <w:spacing w:line="240" w:lineRule="auto"/>
              <w:rPr>
                <w:rFonts w:ascii="Times New Roman" w:hAnsi="Times New Roman"/>
                <w:highlight w:val="green"/>
              </w:rPr>
            </w:pPr>
            <w:r>
              <w:rPr>
                <w:rFonts w:ascii="Times New Roman" w:hAnsi="Times New Roman"/>
                <w:highlight w:val="green"/>
              </w:rPr>
              <w:t>2#</w:t>
            </w:r>
          </w:p>
        </w:tc>
        <w:tc>
          <w:tcPr>
            <w:tcW w:w="1134" w:type="pct"/>
            <w:vAlign w:val="center"/>
          </w:tcPr>
          <w:p>
            <w:pPr>
              <w:pStyle w:val="129"/>
              <w:spacing w:line="240" w:lineRule="auto"/>
              <w:rPr>
                <w:rFonts w:ascii="Times New Roman" w:hAnsi="Times New Roman"/>
                <w:highlight w:val="green"/>
              </w:rPr>
            </w:pPr>
            <w:r>
              <w:rPr>
                <w:rFonts w:hint="eastAsia" w:ascii="Times New Roman" w:hAnsi="Times New Roman"/>
                <w:highlight w:val="green"/>
                <w:lang w:eastAsia="zh-CN"/>
              </w:rPr>
              <w:t>贾庄子</w:t>
            </w:r>
            <w:r>
              <w:rPr>
                <w:rFonts w:ascii="Times New Roman" w:hAnsi="Times New Roman"/>
                <w:highlight w:val="green"/>
              </w:rPr>
              <w:t>村</w:t>
            </w:r>
          </w:p>
        </w:tc>
        <w:tc>
          <w:tcPr>
            <w:tcW w:w="1134" w:type="pct"/>
            <w:vAlign w:val="center"/>
          </w:tcPr>
          <w:p>
            <w:pPr>
              <w:pStyle w:val="129"/>
              <w:spacing w:line="240" w:lineRule="auto"/>
              <w:rPr>
                <w:rFonts w:hint="eastAsia" w:ascii="Times New Roman" w:hAnsi="Times New Roman" w:eastAsia="宋体"/>
                <w:highlight w:val="green"/>
                <w:lang w:eastAsia="zh-CN"/>
              </w:rPr>
            </w:pPr>
            <w:r>
              <w:rPr>
                <w:rFonts w:hint="eastAsia" w:ascii="Times New Roman" w:hAnsi="Times New Roman"/>
                <w:highlight w:val="green"/>
                <w:lang w:eastAsia="zh-CN"/>
              </w:rPr>
              <w:t>南</w:t>
            </w:r>
          </w:p>
        </w:tc>
        <w:tc>
          <w:tcPr>
            <w:tcW w:w="1915" w:type="pct"/>
            <w:vMerge w:val="continue"/>
            <w:vAlign w:val="center"/>
          </w:tcPr>
          <w:p>
            <w:pPr>
              <w:pStyle w:val="129"/>
              <w:spacing w:line="360" w:lineRule="atLeast"/>
              <w:rPr>
                <w:rFonts w:ascii="Times New Roman" w:hAnsi="Times New Roman"/>
                <w:highlight w:val="green"/>
              </w:rPr>
            </w:pPr>
          </w:p>
        </w:tc>
      </w:tr>
    </w:tbl>
    <w:p>
      <w:pPr>
        <w:spacing w:before="120" w:beforeLines="50"/>
        <w:ind w:firstLine="496"/>
        <w:rPr>
          <w:spacing w:val="4"/>
          <w:sz w:val="24"/>
          <w:szCs w:val="24"/>
          <w:highlight w:val="green"/>
        </w:rPr>
      </w:pPr>
      <w:r>
        <w:rPr>
          <w:spacing w:val="4"/>
          <w:sz w:val="24"/>
          <w:szCs w:val="24"/>
          <w:highlight w:val="green"/>
        </w:rPr>
        <w:t>（2）监测项目</w:t>
      </w:r>
    </w:p>
    <w:p>
      <w:pPr>
        <w:ind w:firstLine="480"/>
        <w:jc w:val="both"/>
        <w:rPr>
          <w:sz w:val="24"/>
          <w:highlight w:val="green"/>
        </w:rPr>
      </w:pPr>
      <w:r>
        <w:rPr>
          <w:bCs/>
          <w:sz w:val="24"/>
          <w:szCs w:val="24"/>
          <w:highlight w:val="green"/>
        </w:rPr>
        <w:t>监测项目为TSP</w:t>
      </w:r>
      <w:r>
        <w:rPr>
          <w:rFonts w:hint="eastAsia"/>
          <w:bCs/>
          <w:sz w:val="24"/>
          <w:szCs w:val="24"/>
          <w:highlight w:val="green"/>
          <w:lang w:eastAsia="zh-CN"/>
        </w:rPr>
        <w:t>，</w:t>
      </w:r>
      <w:r>
        <w:rPr>
          <w:bCs/>
          <w:sz w:val="24"/>
          <w:szCs w:val="24"/>
          <w:highlight w:val="green"/>
        </w:rPr>
        <w:t>监测24小时平均浓度值。采样期间同步记录风向、风速、气温、气压等气象参数。</w:t>
      </w:r>
    </w:p>
    <w:p>
      <w:pPr>
        <w:ind w:firstLine="496"/>
        <w:rPr>
          <w:spacing w:val="4"/>
          <w:sz w:val="24"/>
          <w:szCs w:val="24"/>
          <w:highlight w:val="green"/>
        </w:rPr>
      </w:pPr>
      <w:r>
        <w:rPr>
          <w:spacing w:val="4"/>
          <w:sz w:val="24"/>
          <w:szCs w:val="24"/>
          <w:highlight w:val="green"/>
        </w:rPr>
        <w:t>（3）监测时间和频率</w:t>
      </w:r>
    </w:p>
    <w:p>
      <w:pPr>
        <w:ind w:firstLine="480"/>
        <w:rPr>
          <w:bCs/>
          <w:sz w:val="24"/>
          <w:szCs w:val="24"/>
          <w:highlight w:val="green"/>
        </w:rPr>
      </w:pPr>
      <w:r>
        <w:rPr>
          <w:bCs/>
          <w:sz w:val="24"/>
          <w:szCs w:val="24"/>
          <w:highlight w:val="green"/>
        </w:rPr>
        <w:t>监测时间：</w:t>
      </w:r>
      <w:r>
        <w:rPr>
          <w:sz w:val="24"/>
          <w:szCs w:val="24"/>
          <w:highlight w:val="green"/>
        </w:rPr>
        <w:t xml:space="preserve"> 20</w:t>
      </w:r>
      <w:r>
        <w:rPr>
          <w:rFonts w:hint="eastAsia"/>
          <w:sz w:val="24"/>
          <w:szCs w:val="24"/>
          <w:highlight w:val="green"/>
          <w:lang w:val="en-US" w:eastAsia="zh-CN"/>
        </w:rPr>
        <w:t>21</w:t>
      </w:r>
      <w:r>
        <w:rPr>
          <w:sz w:val="24"/>
          <w:szCs w:val="24"/>
          <w:highlight w:val="green"/>
        </w:rPr>
        <w:t>年</w:t>
      </w:r>
      <w:r>
        <w:rPr>
          <w:rFonts w:hint="eastAsia"/>
          <w:sz w:val="24"/>
          <w:szCs w:val="24"/>
          <w:highlight w:val="green"/>
          <w:lang w:val="en-US" w:eastAsia="zh-CN"/>
        </w:rPr>
        <w:t>8</w:t>
      </w:r>
      <w:r>
        <w:rPr>
          <w:sz w:val="24"/>
          <w:szCs w:val="24"/>
          <w:highlight w:val="green"/>
        </w:rPr>
        <w:t>月</w:t>
      </w:r>
      <w:r>
        <w:rPr>
          <w:rFonts w:hint="eastAsia"/>
          <w:sz w:val="24"/>
          <w:szCs w:val="24"/>
          <w:highlight w:val="green"/>
          <w:lang w:val="en-US" w:eastAsia="zh-CN"/>
        </w:rPr>
        <w:t>23</w:t>
      </w:r>
      <w:r>
        <w:rPr>
          <w:sz w:val="24"/>
          <w:szCs w:val="24"/>
          <w:highlight w:val="green"/>
        </w:rPr>
        <w:t>日～</w:t>
      </w:r>
      <w:r>
        <w:rPr>
          <w:rFonts w:hint="eastAsia"/>
          <w:sz w:val="24"/>
          <w:szCs w:val="24"/>
          <w:highlight w:val="green"/>
          <w:lang w:val="en-US" w:eastAsia="zh-CN"/>
        </w:rPr>
        <w:t>8</w:t>
      </w:r>
      <w:r>
        <w:rPr>
          <w:sz w:val="24"/>
          <w:szCs w:val="24"/>
          <w:highlight w:val="green"/>
        </w:rPr>
        <w:t>月</w:t>
      </w:r>
      <w:r>
        <w:rPr>
          <w:rFonts w:hint="eastAsia"/>
          <w:sz w:val="24"/>
          <w:szCs w:val="24"/>
          <w:highlight w:val="green"/>
          <w:lang w:val="en-US" w:eastAsia="zh-CN"/>
        </w:rPr>
        <w:t>29</w:t>
      </w:r>
      <w:r>
        <w:rPr>
          <w:sz w:val="24"/>
          <w:szCs w:val="24"/>
          <w:highlight w:val="green"/>
        </w:rPr>
        <w:t>日，</w:t>
      </w:r>
      <w:r>
        <w:rPr>
          <w:bCs/>
          <w:sz w:val="24"/>
          <w:szCs w:val="24"/>
          <w:highlight w:val="green"/>
        </w:rPr>
        <w:t>连续监测7天。</w:t>
      </w:r>
    </w:p>
    <w:p>
      <w:pPr>
        <w:ind w:firstLine="480"/>
        <w:rPr>
          <w:sz w:val="24"/>
          <w:szCs w:val="24"/>
          <w:highlight w:val="green"/>
        </w:rPr>
      </w:pPr>
      <w:r>
        <w:rPr>
          <w:bCs/>
          <w:sz w:val="24"/>
          <w:szCs w:val="24"/>
          <w:highlight w:val="green"/>
        </w:rPr>
        <w:t>采样频率：TSP每日采样时间</w:t>
      </w:r>
      <w:r>
        <w:rPr>
          <w:rFonts w:hint="eastAsia"/>
          <w:bCs/>
          <w:sz w:val="24"/>
          <w:szCs w:val="24"/>
          <w:highlight w:val="green"/>
          <w:lang w:eastAsia="zh-CN"/>
        </w:rPr>
        <w:t>至少</w:t>
      </w:r>
      <w:r>
        <w:rPr>
          <w:rFonts w:hint="eastAsia"/>
          <w:bCs/>
          <w:sz w:val="24"/>
          <w:szCs w:val="24"/>
          <w:highlight w:val="green"/>
          <w:lang w:val="en-US" w:eastAsia="zh-CN"/>
        </w:rPr>
        <w:t>20</w:t>
      </w:r>
      <w:r>
        <w:rPr>
          <w:bCs/>
          <w:sz w:val="24"/>
          <w:szCs w:val="24"/>
          <w:highlight w:val="green"/>
        </w:rPr>
        <w:t>小时，同时记录气压、风速、风向、温度（2:00；8:00；14:00；20:00）。</w:t>
      </w:r>
      <w:r>
        <w:rPr>
          <w:sz w:val="24"/>
          <w:szCs w:val="24"/>
          <w:highlight w:val="green"/>
        </w:rPr>
        <w:t>监测频次详见表4.3-</w:t>
      </w:r>
      <w:r>
        <w:rPr>
          <w:rFonts w:hint="eastAsia"/>
          <w:sz w:val="24"/>
          <w:szCs w:val="24"/>
          <w:highlight w:val="green"/>
          <w:lang w:val="en-US" w:eastAsia="zh-CN"/>
        </w:rPr>
        <w:t>3</w:t>
      </w:r>
      <w:r>
        <w:rPr>
          <w:sz w:val="24"/>
          <w:szCs w:val="24"/>
          <w:highlight w:val="green"/>
        </w:rPr>
        <w:t>。</w:t>
      </w:r>
    </w:p>
    <w:p>
      <w:pPr>
        <w:spacing w:line="240" w:lineRule="auto"/>
        <w:ind w:firstLine="420" w:firstLineChars="0"/>
        <w:jc w:val="center"/>
        <w:textAlignment w:val="baseline"/>
        <w:rPr>
          <w:rFonts w:eastAsia="黑体"/>
          <w:bCs/>
          <w:kern w:val="2"/>
          <w:sz w:val="21"/>
          <w:szCs w:val="21"/>
          <w:highlight w:val="green"/>
        </w:rPr>
      </w:pPr>
      <w:r>
        <w:rPr>
          <w:rFonts w:eastAsia="黑体"/>
          <w:bCs/>
          <w:kern w:val="2"/>
          <w:sz w:val="21"/>
          <w:szCs w:val="21"/>
          <w:highlight w:val="green"/>
        </w:rPr>
        <w:t>表4.3-</w:t>
      </w:r>
      <w:r>
        <w:rPr>
          <w:rFonts w:hint="eastAsia" w:eastAsia="黑体"/>
          <w:bCs/>
          <w:kern w:val="2"/>
          <w:sz w:val="21"/>
          <w:szCs w:val="21"/>
          <w:highlight w:val="green"/>
          <w:lang w:val="en-US" w:eastAsia="zh-CN"/>
        </w:rPr>
        <w:t>3</w:t>
      </w:r>
      <w:r>
        <w:rPr>
          <w:rFonts w:hint="eastAsia" w:eastAsia="黑体"/>
          <w:bCs/>
          <w:kern w:val="2"/>
          <w:sz w:val="21"/>
          <w:szCs w:val="21"/>
          <w:highlight w:val="green"/>
        </w:rPr>
        <w:t xml:space="preserve">  </w:t>
      </w:r>
      <w:r>
        <w:rPr>
          <w:rFonts w:eastAsia="黑体"/>
          <w:bCs/>
          <w:kern w:val="2"/>
          <w:sz w:val="21"/>
          <w:szCs w:val="21"/>
          <w:highlight w:val="green"/>
        </w:rPr>
        <w:t>环境空气质量现状监测频次</w:t>
      </w:r>
    </w:p>
    <w:tbl>
      <w:tblPr>
        <w:tblStyle w:val="48"/>
        <w:tblW w:w="8755"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5"/>
        <w:gridCol w:w="1084"/>
        <w:gridCol w:w="1985"/>
        <w:gridCol w:w="49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25" w:type="dxa"/>
            <w:vAlign w:val="center"/>
          </w:tcPr>
          <w:p>
            <w:pPr>
              <w:spacing w:line="380" w:lineRule="exact"/>
              <w:ind w:firstLine="0" w:firstLineChars="0"/>
              <w:jc w:val="center"/>
              <w:rPr>
                <w:bCs/>
                <w:sz w:val="21"/>
                <w:szCs w:val="21"/>
                <w:highlight w:val="green"/>
              </w:rPr>
            </w:pPr>
            <w:r>
              <w:rPr>
                <w:bCs/>
                <w:sz w:val="21"/>
                <w:szCs w:val="21"/>
                <w:highlight w:val="green"/>
              </w:rPr>
              <w:t>序号</w:t>
            </w:r>
          </w:p>
        </w:tc>
        <w:tc>
          <w:tcPr>
            <w:tcW w:w="1084" w:type="dxa"/>
            <w:vAlign w:val="center"/>
          </w:tcPr>
          <w:p>
            <w:pPr>
              <w:spacing w:line="380" w:lineRule="exact"/>
              <w:ind w:firstLine="0" w:firstLineChars="0"/>
              <w:jc w:val="center"/>
              <w:rPr>
                <w:bCs/>
                <w:sz w:val="21"/>
                <w:szCs w:val="21"/>
                <w:highlight w:val="green"/>
              </w:rPr>
            </w:pPr>
            <w:r>
              <w:rPr>
                <w:bCs/>
                <w:sz w:val="21"/>
                <w:szCs w:val="21"/>
                <w:highlight w:val="green"/>
              </w:rPr>
              <w:t>监测因子</w:t>
            </w:r>
          </w:p>
        </w:tc>
        <w:tc>
          <w:tcPr>
            <w:tcW w:w="1985" w:type="dxa"/>
            <w:vAlign w:val="center"/>
          </w:tcPr>
          <w:p>
            <w:pPr>
              <w:spacing w:line="380" w:lineRule="exact"/>
              <w:ind w:firstLine="0" w:firstLineChars="0"/>
              <w:jc w:val="center"/>
              <w:rPr>
                <w:bCs/>
                <w:sz w:val="21"/>
                <w:szCs w:val="21"/>
                <w:highlight w:val="green"/>
              </w:rPr>
            </w:pPr>
            <w:r>
              <w:rPr>
                <w:bCs/>
                <w:sz w:val="21"/>
                <w:szCs w:val="21"/>
                <w:highlight w:val="green"/>
              </w:rPr>
              <w:t>监测项目</w:t>
            </w:r>
          </w:p>
        </w:tc>
        <w:tc>
          <w:tcPr>
            <w:tcW w:w="4961" w:type="dxa"/>
            <w:vAlign w:val="center"/>
          </w:tcPr>
          <w:p>
            <w:pPr>
              <w:spacing w:line="380" w:lineRule="exact"/>
              <w:ind w:firstLine="0" w:firstLineChars="0"/>
              <w:jc w:val="center"/>
              <w:rPr>
                <w:bCs/>
                <w:sz w:val="21"/>
                <w:szCs w:val="21"/>
                <w:highlight w:val="green"/>
              </w:rPr>
            </w:pPr>
            <w:r>
              <w:rPr>
                <w:bCs/>
                <w:sz w:val="21"/>
                <w:szCs w:val="21"/>
                <w:highlight w:val="green"/>
              </w:rPr>
              <w:t>监测频率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5" w:type="dxa"/>
            <w:vAlign w:val="center"/>
          </w:tcPr>
          <w:p>
            <w:pPr>
              <w:spacing w:line="380" w:lineRule="exact"/>
              <w:ind w:firstLine="0" w:firstLineChars="0"/>
              <w:jc w:val="center"/>
              <w:rPr>
                <w:rFonts w:hint="eastAsia" w:eastAsia="宋体"/>
                <w:bCs/>
                <w:sz w:val="21"/>
                <w:szCs w:val="21"/>
                <w:highlight w:val="green"/>
                <w:lang w:eastAsia="zh-CN"/>
              </w:rPr>
            </w:pPr>
            <w:r>
              <w:rPr>
                <w:rFonts w:hint="eastAsia"/>
                <w:bCs/>
                <w:sz w:val="21"/>
                <w:szCs w:val="21"/>
                <w:highlight w:val="green"/>
                <w:lang w:val="en-US" w:eastAsia="zh-CN"/>
              </w:rPr>
              <w:t>1</w:t>
            </w:r>
          </w:p>
        </w:tc>
        <w:tc>
          <w:tcPr>
            <w:tcW w:w="1084" w:type="dxa"/>
            <w:vAlign w:val="center"/>
          </w:tcPr>
          <w:p>
            <w:pPr>
              <w:spacing w:line="380" w:lineRule="exact"/>
              <w:ind w:firstLine="0" w:firstLineChars="0"/>
              <w:jc w:val="center"/>
              <w:rPr>
                <w:bCs/>
                <w:sz w:val="21"/>
                <w:szCs w:val="21"/>
                <w:highlight w:val="green"/>
              </w:rPr>
            </w:pPr>
            <w:r>
              <w:rPr>
                <w:sz w:val="21"/>
                <w:szCs w:val="21"/>
                <w:highlight w:val="green"/>
              </w:rPr>
              <w:t>TSP</w:t>
            </w:r>
          </w:p>
        </w:tc>
        <w:tc>
          <w:tcPr>
            <w:tcW w:w="1985" w:type="dxa"/>
            <w:vAlign w:val="center"/>
          </w:tcPr>
          <w:p>
            <w:pPr>
              <w:spacing w:line="380" w:lineRule="exact"/>
              <w:ind w:firstLine="0" w:firstLineChars="0"/>
              <w:jc w:val="center"/>
              <w:rPr>
                <w:bCs/>
                <w:sz w:val="21"/>
                <w:szCs w:val="21"/>
                <w:highlight w:val="green"/>
              </w:rPr>
            </w:pPr>
            <w:r>
              <w:rPr>
                <w:bCs/>
                <w:sz w:val="21"/>
                <w:szCs w:val="21"/>
                <w:highlight w:val="green"/>
              </w:rPr>
              <w:t>24小时平均</w:t>
            </w:r>
          </w:p>
        </w:tc>
        <w:tc>
          <w:tcPr>
            <w:tcW w:w="4961" w:type="dxa"/>
            <w:vAlign w:val="center"/>
          </w:tcPr>
          <w:p>
            <w:pPr>
              <w:spacing w:line="380" w:lineRule="exact"/>
              <w:ind w:firstLine="0" w:firstLineChars="0"/>
              <w:jc w:val="center"/>
              <w:rPr>
                <w:bCs/>
                <w:sz w:val="21"/>
                <w:szCs w:val="21"/>
                <w:highlight w:val="green"/>
              </w:rPr>
            </w:pPr>
            <w:r>
              <w:rPr>
                <w:bCs/>
                <w:sz w:val="21"/>
                <w:szCs w:val="21"/>
                <w:highlight w:val="green"/>
              </w:rPr>
              <w:t>连续监测7天，每天至少采样20小时</w:t>
            </w:r>
          </w:p>
        </w:tc>
      </w:tr>
    </w:tbl>
    <w:p>
      <w:pPr>
        <w:ind w:firstLine="496"/>
        <w:jc w:val="both"/>
        <w:rPr>
          <w:spacing w:val="4"/>
          <w:sz w:val="24"/>
          <w:highlight w:val="green"/>
        </w:rPr>
      </w:pPr>
      <w:r>
        <w:rPr>
          <w:spacing w:val="4"/>
          <w:sz w:val="24"/>
          <w:highlight w:val="green"/>
        </w:rPr>
        <w:t>（4）采样与分析方法</w:t>
      </w:r>
    </w:p>
    <w:p>
      <w:pPr>
        <w:ind w:firstLine="496"/>
        <w:jc w:val="both"/>
        <w:rPr>
          <w:spacing w:val="4"/>
          <w:sz w:val="24"/>
          <w:highlight w:val="green"/>
        </w:rPr>
      </w:pPr>
      <w:r>
        <w:rPr>
          <w:spacing w:val="4"/>
          <w:sz w:val="24"/>
          <w:highlight w:val="green"/>
        </w:rPr>
        <w:t>本项目环境空气质量现状监测采样及分析方法见表4.3-</w:t>
      </w:r>
      <w:r>
        <w:rPr>
          <w:rFonts w:hint="eastAsia"/>
          <w:spacing w:val="4"/>
          <w:sz w:val="24"/>
          <w:highlight w:val="green"/>
          <w:lang w:val="en-US" w:eastAsia="zh-CN"/>
        </w:rPr>
        <w:t>4</w:t>
      </w:r>
      <w:r>
        <w:rPr>
          <w:spacing w:val="4"/>
          <w:sz w:val="24"/>
          <w:highlight w:val="green"/>
        </w:rPr>
        <w:t>。</w:t>
      </w:r>
    </w:p>
    <w:p>
      <w:pPr>
        <w:spacing w:line="240" w:lineRule="auto"/>
        <w:ind w:firstLine="420" w:firstLineChars="0"/>
        <w:jc w:val="center"/>
        <w:textAlignment w:val="baseline"/>
        <w:rPr>
          <w:rFonts w:eastAsia="黑体"/>
          <w:bCs/>
          <w:kern w:val="2"/>
          <w:sz w:val="21"/>
          <w:szCs w:val="21"/>
          <w:highlight w:val="green"/>
        </w:rPr>
      </w:pPr>
      <w:r>
        <w:rPr>
          <w:rFonts w:eastAsia="黑体"/>
          <w:bCs/>
          <w:kern w:val="2"/>
          <w:sz w:val="21"/>
          <w:szCs w:val="21"/>
          <w:highlight w:val="green"/>
        </w:rPr>
        <w:t>表4.3-</w:t>
      </w:r>
      <w:r>
        <w:rPr>
          <w:rFonts w:hint="eastAsia" w:eastAsia="黑体"/>
          <w:bCs/>
          <w:kern w:val="2"/>
          <w:sz w:val="21"/>
          <w:szCs w:val="21"/>
          <w:highlight w:val="green"/>
          <w:lang w:val="en-US" w:eastAsia="zh-CN"/>
        </w:rPr>
        <w:t>4</w:t>
      </w:r>
      <w:r>
        <w:rPr>
          <w:rFonts w:hint="eastAsia" w:eastAsia="黑体"/>
          <w:bCs/>
          <w:kern w:val="2"/>
          <w:sz w:val="21"/>
          <w:szCs w:val="21"/>
          <w:highlight w:val="green"/>
        </w:rPr>
        <w:t xml:space="preserve">  </w:t>
      </w:r>
      <w:r>
        <w:rPr>
          <w:rFonts w:eastAsia="黑体"/>
          <w:bCs/>
          <w:kern w:val="2"/>
          <w:sz w:val="21"/>
          <w:szCs w:val="21"/>
          <w:highlight w:val="green"/>
        </w:rPr>
        <w:t>污染物分析方法一览表</w:t>
      </w:r>
    </w:p>
    <w:tbl>
      <w:tblPr>
        <w:tblStyle w:val="48"/>
        <w:tblW w:w="8306"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555"/>
        <w:gridCol w:w="831"/>
        <w:gridCol w:w="1108"/>
        <w:gridCol w:w="1799"/>
        <w:gridCol w:w="2636"/>
        <w:gridCol w:w="1377"/>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283" w:hRule="atLeast"/>
          <w:tblHeader/>
        </w:trPr>
        <w:tc>
          <w:tcPr>
            <w:tcW w:w="555" w:type="dxa"/>
            <w:vAlign w:val="center"/>
          </w:tcPr>
          <w:p>
            <w:pPr>
              <w:spacing w:line="240" w:lineRule="auto"/>
              <w:ind w:firstLine="0" w:firstLineChars="0"/>
              <w:jc w:val="center"/>
              <w:rPr>
                <w:sz w:val="21"/>
                <w:szCs w:val="21"/>
                <w:highlight w:val="green"/>
              </w:rPr>
            </w:pPr>
            <w:r>
              <w:rPr>
                <w:sz w:val="21"/>
                <w:szCs w:val="21"/>
                <w:highlight w:val="green"/>
              </w:rPr>
              <w:t>序号</w:t>
            </w:r>
          </w:p>
        </w:tc>
        <w:tc>
          <w:tcPr>
            <w:tcW w:w="831" w:type="dxa"/>
            <w:vAlign w:val="center"/>
          </w:tcPr>
          <w:p>
            <w:pPr>
              <w:spacing w:line="240" w:lineRule="auto"/>
              <w:ind w:firstLine="0" w:firstLineChars="0"/>
              <w:jc w:val="center"/>
              <w:rPr>
                <w:sz w:val="21"/>
                <w:szCs w:val="21"/>
                <w:highlight w:val="green"/>
              </w:rPr>
            </w:pPr>
            <w:r>
              <w:rPr>
                <w:sz w:val="21"/>
                <w:szCs w:val="21"/>
                <w:highlight w:val="green"/>
              </w:rPr>
              <w:t>样品</w:t>
            </w:r>
          </w:p>
          <w:p>
            <w:pPr>
              <w:spacing w:line="240" w:lineRule="auto"/>
              <w:ind w:firstLine="0" w:firstLineChars="0"/>
              <w:jc w:val="center"/>
              <w:rPr>
                <w:sz w:val="21"/>
                <w:szCs w:val="21"/>
                <w:highlight w:val="green"/>
              </w:rPr>
            </w:pPr>
            <w:r>
              <w:rPr>
                <w:sz w:val="21"/>
                <w:szCs w:val="21"/>
                <w:highlight w:val="green"/>
              </w:rPr>
              <w:t>类别</w:t>
            </w:r>
          </w:p>
        </w:tc>
        <w:tc>
          <w:tcPr>
            <w:tcW w:w="1108" w:type="dxa"/>
            <w:vAlign w:val="center"/>
          </w:tcPr>
          <w:p>
            <w:pPr>
              <w:spacing w:line="240" w:lineRule="auto"/>
              <w:ind w:firstLine="0" w:firstLineChars="0"/>
              <w:jc w:val="center"/>
              <w:rPr>
                <w:sz w:val="21"/>
                <w:szCs w:val="21"/>
                <w:highlight w:val="green"/>
              </w:rPr>
            </w:pPr>
            <w:r>
              <w:rPr>
                <w:sz w:val="21"/>
                <w:szCs w:val="21"/>
                <w:highlight w:val="green"/>
              </w:rPr>
              <w:t>监测项目</w:t>
            </w:r>
          </w:p>
        </w:tc>
        <w:tc>
          <w:tcPr>
            <w:tcW w:w="1799" w:type="dxa"/>
            <w:vAlign w:val="center"/>
          </w:tcPr>
          <w:p>
            <w:pPr>
              <w:spacing w:line="240" w:lineRule="auto"/>
              <w:ind w:firstLine="0" w:firstLineChars="0"/>
              <w:jc w:val="center"/>
              <w:rPr>
                <w:sz w:val="21"/>
                <w:szCs w:val="21"/>
                <w:highlight w:val="green"/>
              </w:rPr>
            </w:pPr>
            <w:r>
              <w:rPr>
                <w:sz w:val="21"/>
                <w:szCs w:val="21"/>
                <w:highlight w:val="green"/>
              </w:rPr>
              <w:t>检测分析方法</w:t>
            </w:r>
          </w:p>
        </w:tc>
        <w:tc>
          <w:tcPr>
            <w:tcW w:w="2636" w:type="dxa"/>
            <w:vAlign w:val="center"/>
          </w:tcPr>
          <w:p>
            <w:pPr>
              <w:spacing w:line="240" w:lineRule="auto"/>
              <w:ind w:firstLine="420"/>
              <w:jc w:val="center"/>
              <w:rPr>
                <w:sz w:val="21"/>
                <w:szCs w:val="21"/>
                <w:highlight w:val="green"/>
              </w:rPr>
            </w:pPr>
            <w:r>
              <w:rPr>
                <w:sz w:val="21"/>
                <w:szCs w:val="21"/>
                <w:highlight w:val="green"/>
              </w:rPr>
              <w:t>分析仪器</w:t>
            </w:r>
          </w:p>
        </w:tc>
        <w:tc>
          <w:tcPr>
            <w:tcW w:w="1377" w:type="dxa"/>
            <w:vAlign w:val="center"/>
          </w:tcPr>
          <w:p>
            <w:pPr>
              <w:spacing w:line="240" w:lineRule="auto"/>
              <w:ind w:firstLine="0" w:firstLineChars="0"/>
              <w:jc w:val="center"/>
              <w:rPr>
                <w:sz w:val="21"/>
                <w:szCs w:val="21"/>
                <w:highlight w:val="green"/>
              </w:rPr>
            </w:pPr>
            <w:r>
              <w:rPr>
                <w:sz w:val="21"/>
                <w:szCs w:val="21"/>
                <w:highlight w:val="green"/>
              </w:rPr>
              <w:t>分析方法</w:t>
            </w:r>
          </w:p>
          <w:p>
            <w:pPr>
              <w:spacing w:line="240" w:lineRule="auto"/>
              <w:ind w:firstLine="0" w:firstLineChars="0"/>
              <w:jc w:val="center"/>
              <w:rPr>
                <w:sz w:val="21"/>
                <w:szCs w:val="21"/>
                <w:highlight w:val="green"/>
              </w:rPr>
            </w:pPr>
            <w:r>
              <w:rPr>
                <w:sz w:val="21"/>
                <w:szCs w:val="21"/>
                <w:highlight w:val="green"/>
              </w:rPr>
              <w:t>检出限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3" w:hRule="atLeast"/>
        </w:trPr>
        <w:tc>
          <w:tcPr>
            <w:tcW w:w="555" w:type="dxa"/>
            <w:vAlign w:val="center"/>
          </w:tcPr>
          <w:p>
            <w:pPr>
              <w:spacing w:line="240" w:lineRule="auto"/>
              <w:ind w:firstLine="0" w:firstLineChars="0"/>
              <w:jc w:val="center"/>
              <w:rPr>
                <w:sz w:val="21"/>
                <w:szCs w:val="21"/>
                <w:highlight w:val="green"/>
              </w:rPr>
            </w:pPr>
            <w:r>
              <w:rPr>
                <w:sz w:val="21"/>
                <w:szCs w:val="21"/>
                <w:highlight w:val="green"/>
              </w:rPr>
              <w:t>1</w:t>
            </w:r>
          </w:p>
        </w:tc>
        <w:tc>
          <w:tcPr>
            <w:tcW w:w="831" w:type="dxa"/>
            <w:vAlign w:val="center"/>
          </w:tcPr>
          <w:p>
            <w:pPr>
              <w:spacing w:line="240" w:lineRule="auto"/>
              <w:ind w:firstLine="0" w:firstLineChars="0"/>
              <w:jc w:val="center"/>
              <w:rPr>
                <w:sz w:val="21"/>
                <w:szCs w:val="21"/>
                <w:highlight w:val="green"/>
              </w:rPr>
            </w:pPr>
            <w:r>
              <w:rPr>
                <w:sz w:val="21"/>
                <w:szCs w:val="21"/>
                <w:highlight w:val="green"/>
              </w:rPr>
              <w:t>环境</w:t>
            </w:r>
          </w:p>
          <w:p>
            <w:pPr>
              <w:spacing w:line="240" w:lineRule="auto"/>
              <w:ind w:firstLine="0" w:firstLineChars="0"/>
              <w:jc w:val="center"/>
              <w:rPr>
                <w:sz w:val="21"/>
                <w:szCs w:val="21"/>
                <w:highlight w:val="green"/>
              </w:rPr>
            </w:pPr>
            <w:r>
              <w:rPr>
                <w:sz w:val="21"/>
                <w:szCs w:val="21"/>
                <w:highlight w:val="green"/>
              </w:rPr>
              <w:t>空气</w:t>
            </w:r>
          </w:p>
        </w:tc>
        <w:tc>
          <w:tcPr>
            <w:tcW w:w="1108" w:type="dxa"/>
            <w:vAlign w:val="center"/>
          </w:tcPr>
          <w:p>
            <w:pPr>
              <w:spacing w:line="240" w:lineRule="auto"/>
              <w:ind w:firstLine="0" w:firstLineChars="0"/>
              <w:jc w:val="center"/>
              <w:rPr>
                <w:sz w:val="21"/>
                <w:szCs w:val="21"/>
                <w:highlight w:val="green"/>
              </w:rPr>
            </w:pPr>
            <w:r>
              <w:rPr>
                <w:sz w:val="21"/>
                <w:szCs w:val="21"/>
                <w:highlight w:val="green"/>
              </w:rPr>
              <w:t>TSP</w:t>
            </w:r>
          </w:p>
        </w:tc>
        <w:tc>
          <w:tcPr>
            <w:tcW w:w="1799" w:type="dxa"/>
            <w:vAlign w:val="center"/>
          </w:tcPr>
          <w:p>
            <w:pPr>
              <w:widowControl/>
              <w:spacing w:line="240" w:lineRule="auto"/>
              <w:ind w:firstLine="0" w:firstLineChars="0"/>
              <w:jc w:val="center"/>
              <w:textAlignment w:val="center"/>
              <w:rPr>
                <w:sz w:val="21"/>
                <w:szCs w:val="21"/>
                <w:highlight w:val="green"/>
              </w:rPr>
            </w:pPr>
            <w:r>
              <w:rPr>
                <w:sz w:val="21"/>
                <w:szCs w:val="21"/>
                <w:highlight w:val="green"/>
              </w:rPr>
              <w:t>《环境空气总悬浮颗粒物的测定重量法》</w:t>
            </w:r>
          </w:p>
          <w:p>
            <w:pPr>
              <w:widowControl/>
              <w:spacing w:line="240" w:lineRule="auto"/>
              <w:ind w:firstLine="0" w:firstLineChars="0"/>
              <w:jc w:val="center"/>
              <w:textAlignment w:val="center"/>
              <w:rPr>
                <w:sz w:val="21"/>
                <w:szCs w:val="21"/>
                <w:highlight w:val="green"/>
              </w:rPr>
            </w:pPr>
            <w:r>
              <w:rPr>
                <w:sz w:val="21"/>
                <w:szCs w:val="21"/>
                <w:highlight w:val="green"/>
              </w:rPr>
              <w:t>GB/T 15432-1995</w:t>
            </w:r>
          </w:p>
        </w:tc>
        <w:tc>
          <w:tcPr>
            <w:tcW w:w="2636" w:type="dxa"/>
            <w:vAlign w:val="center"/>
          </w:tcPr>
          <w:p>
            <w:pPr>
              <w:spacing w:line="240" w:lineRule="auto"/>
              <w:ind w:firstLine="0" w:firstLineChars="0"/>
              <w:jc w:val="center"/>
              <w:rPr>
                <w:sz w:val="21"/>
                <w:szCs w:val="21"/>
                <w:highlight w:val="green"/>
              </w:rPr>
            </w:pPr>
            <w:r>
              <w:rPr>
                <w:sz w:val="21"/>
                <w:szCs w:val="21"/>
                <w:highlight w:val="green"/>
              </w:rPr>
              <w:t>空气/智能TSP综合采样器AUY220/分析天平/SLR-007</w:t>
            </w:r>
          </w:p>
        </w:tc>
        <w:tc>
          <w:tcPr>
            <w:tcW w:w="1377" w:type="dxa"/>
            <w:vAlign w:val="center"/>
          </w:tcPr>
          <w:p>
            <w:pPr>
              <w:spacing w:line="240" w:lineRule="auto"/>
              <w:ind w:firstLine="0" w:firstLineChars="0"/>
              <w:jc w:val="center"/>
              <w:rPr>
                <w:sz w:val="21"/>
                <w:szCs w:val="21"/>
                <w:highlight w:val="green"/>
              </w:rPr>
            </w:pPr>
            <w:r>
              <w:rPr>
                <w:sz w:val="24"/>
                <w:szCs w:val="24"/>
                <w:highlight w:val="green"/>
              </w:rPr>
              <w:t>0.001mg/m</w:t>
            </w:r>
            <w:r>
              <w:rPr>
                <w:sz w:val="24"/>
                <w:szCs w:val="24"/>
                <w:highlight w:val="green"/>
                <w:vertAlign w:val="superscript"/>
              </w:rPr>
              <w:t>3</w:t>
            </w:r>
          </w:p>
        </w:tc>
      </w:tr>
    </w:tbl>
    <w:p>
      <w:pPr>
        <w:ind w:firstLine="480"/>
        <w:jc w:val="both"/>
        <w:rPr>
          <w:bCs/>
          <w:sz w:val="24"/>
          <w:highlight w:val="green"/>
        </w:rPr>
      </w:pPr>
      <w:r>
        <w:rPr>
          <w:bCs/>
          <w:sz w:val="24"/>
          <w:highlight w:val="green"/>
        </w:rPr>
        <w:t>（5）气象条件记录</w:t>
      </w:r>
    </w:p>
    <w:p>
      <w:pPr>
        <w:ind w:firstLine="480"/>
        <w:rPr>
          <w:sz w:val="24"/>
          <w:szCs w:val="24"/>
          <w:highlight w:val="green"/>
        </w:rPr>
      </w:pPr>
      <w:r>
        <w:rPr>
          <w:sz w:val="24"/>
          <w:szCs w:val="24"/>
          <w:highlight w:val="green"/>
        </w:rPr>
        <w:t>监测期间气象条件记录见表4.3-</w:t>
      </w:r>
      <w:r>
        <w:rPr>
          <w:rFonts w:hint="eastAsia"/>
          <w:sz w:val="24"/>
          <w:szCs w:val="24"/>
          <w:highlight w:val="green"/>
          <w:lang w:val="en-US" w:eastAsia="zh-CN"/>
        </w:rPr>
        <w:t>5</w:t>
      </w:r>
      <w:r>
        <w:rPr>
          <w:sz w:val="24"/>
          <w:szCs w:val="24"/>
          <w:highlight w:val="green"/>
        </w:rPr>
        <w:t>。</w:t>
      </w:r>
    </w:p>
    <w:p>
      <w:pPr>
        <w:spacing w:line="240" w:lineRule="auto"/>
        <w:ind w:firstLine="420" w:firstLineChars="0"/>
        <w:jc w:val="center"/>
        <w:textAlignment w:val="baseline"/>
        <w:rPr>
          <w:rFonts w:eastAsia="黑体"/>
          <w:bCs/>
          <w:kern w:val="2"/>
          <w:sz w:val="21"/>
          <w:szCs w:val="21"/>
          <w:highlight w:val="green"/>
        </w:rPr>
      </w:pPr>
      <w:r>
        <w:rPr>
          <w:rFonts w:eastAsia="黑体"/>
          <w:bCs/>
          <w:kern w:val="2"/>
          <w:sz w:val="21"/>
          <w:szCs w:val="21"/>
          <w:highlight w:val="green"/>
        </w:rPr>
        <w:t>表4.3-</w:t>
      </w:r>
      <w:r>
        <w:rPr>
          <w:rFonts w:hint="eastAsia" w:eastAsia="黑体"/>
          <w:bCs/>
          <w:kern w:val="2"/>
          <w:sz w:val="21"/>
          <w:szCs w:val="21"/>
          <w:highlight w:val="green"/>
          <w:lang w:val="en-US" w:eastAsia="zh-CN"/>
        </w:rPr>
        <w:t>5</w:t>
      </w:r>
      <w:r>
        <w:rPr>
          <w:rFonts w:eastAsia="黑体"/>
          <w:bCs/>
          <w:kern w:val="2"/>
          <w:sz w:val="21"/>
          <w:szCs w:val="21"/>
          <w:highlight w:val="green"/>
        </w:rPr>
        <w:t>气象条件记录</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1056"/>
        <w:gridCol w:w="852"/>
        <w:gridCol w:w="1371"/>
        <w:gridCol w:w="636"/>
        <w:gridCol w:w="1360"/>
        <w:gridCol w:w="846"/>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检测日期</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观测时间</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气温</w:t>
            </w:r>
          </w:p>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气压（kPa）</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风向</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风速（m/s）</w:t>
            </w:r>
          </w:p>
        </w:tc>
        <w:tc>
          <w:tcPr>
            <w:tcW w:w="0" w:type="auto"/>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总云量</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低云量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8月23日</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21.2</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4</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24.3</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100.3</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1.3</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31.1</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100.2</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1.3</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22.4</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8月24日</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17.9</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4</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21.4</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1.3</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28.3</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100.3</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21.7</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1.3</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8月25日</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18.1</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1.6</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5</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21.3</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27.1</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100.3</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1.5</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21.0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8月26日</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18.0</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5</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20.8</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1.3</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29.3</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100.2</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19.3</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8月27日</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18.1</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4</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21.1</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29.2</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100.2</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1.3</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19.3</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8月28日</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19.2</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6</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20.9</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29.4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100.2</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19.9</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8月29日</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19.1</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1.3</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6</w:t>
            </w:r>
          </w:p>
        </w:tc>
        <w:tc>
          <w:tcPr>
            <w:tcW w:w="0" w:type="auto"/>
            <w:vMerge w:val="restart"/>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8:00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20.3</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29.2</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100.2</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1.5</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20:00</w:t>
            </w:r>
          </w:p>
        </w:tc>
        <w:tc>
          <w:tcPr>
            <w:tcW w:w="0" w:type="auto"/>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19.2</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100.4</w:t>
            </w:r>
          </w:p>
        </w:tc>
        <w:tc>
          <w:tcPr>
            <w:tcW w:w="0" w:type="auto"/>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西南</w:t>
            </w:r>
          </w:p>
        </w:tc>
        <w:tc>
          <w:tcPr>
            <w:tcW w:w="0" w:type="auto"/>
            <w:tcBorders>
              <w:right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w:t>
            </w: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c>
          <w:tcPr>
            <w:tcW w:w="0" w:type="auto"/>
            <w:vMerge w:val="continue"/>
            <w:tcBorders>
              <w:right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sz w:val="21"/>
                <w:szCs w:val="21"/>
                <w:highlight w:val="green"/>
                <w:lang w:val="en-US" w:eastAsia="zh-CN"/>
              </w:rPr>
            </w:pPr>
          </w:p>
        </w:tc>
      </w:tr>
    </w:tbl>
    <w:p>
      <w:pPr>
        <w:pStyle w:val="3"/>
        <w:keepNext/>
        <w:keepLines/>
        <w:pageBreakBefore w:val="0"/>
        <w:widowControl w:val="0"/>
        <w:kinsoku/>
        <w:wordWrap/>
        <w:overflowPunct/>
        <w:topLinePunct w:val="0"/>
        <w:autoSpaceDE/>
        <w:autoSpaceDN/>
        <w:bidi w:val="0"/>
        <w:adjustRightInd/>
        <w:snapToGrid/>
        <w:spacing w:before="157" w:beforeLines="50"/>
        <w:textAlignment w:val="bottom"/>
        <w:rPr>
          <w:highlight w:val="green"/>
        </w:rPr>
      </w:pPr>
      <w:r>
        <w:rPr>
          <w:highlight w:val="green"/>
        </w:rPr>
        <w:t>4.3.1.</w:t>
      </w:r>
      <w:r>
        <w:rPr>
          <w:rFonts w:hint="eastAsia"/>
          <w:highlight w:val="green"/>
          <w:lang w:val="en-US" w:eastAsia="zh-CN"/>
        </w:rPr>
        <w:t>3</w:t>
      </w:r>
      <w:r>
        <w:rPr>
          <w:rFonts w:hint="eastAsia"/>
          <w:highlight w:val="green"/>
        </w:rPr>
        <w:t>环境空气质量现状评价</w:t>
      </w:r>
    </w:p>
    <w:p>
      <w:pPr>
        <w:autoSpaceDE w:val="0"/>
        <w:autoSpaceDN w:val="0"/>
        <w:ind w:firstLine="480"/>
        <w:jc w:val="both"/>
        <w:rPr>
          <w:bCs/>
          <w:sz w:val="24"/>
          <w:highlight w:val="green"/>
        </w:rPr>
      </w:pPr>
      <w:r>
        <w:rPr>
          <w:bCs/>
          <w:sz w:val="24"/>
          <w:highlight w:val="green"/>
        </w:rPr>
        <w:t>（</w:t>
      </w:r>
      <w:r>
        <w:rPr>
          <w:rFonts w:hint="eastAsia"/>
          <w:bCs/>
          <w:sz w:val="24"/>
          <w:highlight w:val="green"/>
        </w:rPr>
        <w:t>1</w:t>
      </w:r>
      <w:r>
        <w:rPr>
          <w:bCs/>
          <w:sz w:val="24"/>
          <w:highlight w:val="green"/>
        </w:rPr>
        <w:t>）</w:t>
      </w:r>
      <w:r>
        <w:rPr>
          <w:rFonts w:hint="eastAsia"/>
          <w:bCs/>
          <w:sz w:val="24"/>
          <w:highlight w:val="green"/>
        </w:rPr>
        <w:t>监测</w:t>
      </w:r>
      <w:r>
        <w:rPr>
          <w:bCs/>
          <w:sz w:val="24"/>
          <w:highlight w:val="green"/>
        </w:rPr>
        <w:t>因子</w:t>
      </w:r>
    </w:p>
    <w:p>
      <w:pPr>
        <w:autoSpaceDE w:val="0"/>
        <w:autoSpaceDN w:val="0"/>
        <w:ind w:firstLine="480"/>
        <w:jc w:val="both"/>
        <w:rPr>
          <w:sz w:val="24"/>
          <w:highlight w:val="green"/>
        </w:rPr>
      </w:pPr>
      <w:r>
        <w:rPr>
          <w:bCs/>
          <w:sz w:val="24"/>
          <w:highlight w:val="green"/>
        </w:rPr>
        <w:t>根据项目特点与环境特征，确定环境空气质量现状监测因子为SO</w:t>
      </w:r>
      <w:r>
        <w:rPr>
          <w:bCs/>
          <w:sz w:val="24"/>
          <w:highlight w:val="green"/>
          <w:vertAlign w:val="subscript"/>
        </w:rPr>
        <w:t>2</w:t>
      </w:r>
      <w:r>
        <w:rPr>
          <w:bCs/>
          <w:sz w:val="24"/>
          <w:highlight w:val="green"/>
        </w:rPr>
        <w:t>、NO</w:t>
      </w:r>
      <w:r>
        <w:rPr>
          <w:bCs/>
          <w:sz w:val="24"/>
          <w:highlight w:val="green"/>
          <w:vertAlign w:val="subscript"/>
        </w:rPr>
        <w:t>2</w:t>
      </w:r>
      <w:r>
        <w:rPr>
          <w:bCs/>
          <w:sz w:val="24"/>
          <w:highlight w:val="green"/>
        </w:rPr>
        <w:t>、</w:t>
      </w:r>
      <w:r>
        <w:rPr>
          <w:sz w:val="24"/>
          <w:highlight w:val="green"/>
        </w:rPr>
        <w:t>PM</w:t>
      </w:r>
      <w:r>
        <w:rPr>
          <w:sz w:val="24"/>
          <w:highlight w:val="green"/>
          <w:vertAlign w:val="subscript"/>
        </w:rPr>
        <w:t>10</w:t>
      </w:r>
      <w:r>
        <w:rPr>
          <w:sz w:val="24"/>
          <w:highlight w:val="green"/>
        </w:rPr>
        <w:t>、PM</w:t>
      </w:r>
      <w:r>
        <w:rPr>
          <w:sz w:val="24"/>
          <w:highlight w:val="green"/>
          <w:vertAlign w:val="subscript"/>
        </w:rPr>
        <w:t>2.5</w:t>
      </w:r>
      <w:r>
        <w:rPr>
          <w:sz w:val="24"/>
          <w:highlight w:val="green"/>
        </w:rPr>
        <w:t>、TSP、CO、O</w:t>
      </w:r>
      <w:r>
        <w:rPr>
          <w:sz w:val="24"/>
          <w:highlight w:val="green"/>
          <w:vertAlign w:val="subscript"/>
        </w:rPr>
        <w:t>3</w:t>
      </w:r>
      <w:r>
        <w:rPr>
          <w:sz w:val="24"/>
          <w:highlight w:val="green"/>
        </w:rPr>
        <w:t>。</w:t>
      </w:r>
    </w:p>
    <w:p>
      <w:pPr>
        <w:autoSpaceDE w:val="0"/>
        <w:autoSpaceDN w:val="0"/>
        <w:ind w:firstLine="480"/>
        <w:jc w:val="both"/>
        <w:rPr>
          <w:bCs/>
          <w:sz w:val="24"/>
          <w:highlight w:val="green"/>
        </w:rPr>
      </w:pPr>
      <w:r>
        <w:rPr>
          <w:bCs/>
          <w:sz w:val="24"/>
          <w:highlight w:val="green"/>
        </w:rPr>
        <w:t>（</w:t>
      </w:r>
      <w:r>
        <w:rPr>
          <w:rFonts w:hint="eastAsia"/>
          <w:bCs/>
          <w:sz w:val="24"/>
          <w:highlight w:val="green"/>
        </w:rPr>
        <w:t>2</w:t>
      </w:r>
      <w:r>
        <w:rPr>
          <w:bCs/>
          <w:sz w:val="24"/>
          <w:highlight w:val="green"/>
        </w:rPr>
        <w:t>）评价标准</w:t>
      </w:r>
    </w:p>
    <w:p>
      <w:pPr>
        <w:ind w:firstLine="456"/>
        <w:jc w:val="both"/>
        <w:rPr>
          <w:sz w:val="24"/>
          <w:highlight w:val="green"/>
        </w:rPr>
      </w:pPr>
      <w:r>
        <w:rPr>
          <w:bCs/>
          <w:spacing w:val="-6"/>
          <w:sz w:val="24"/>
          <w:highlight w:val="green"/>
        </w:rPr>
        <w:t>采用《环境空气质量标准》（GB3095-2012）表1中二级标准，见表4.3-</w:t>
      </w:r>
      <w:r>
        <w:rPr>
          <w:rFonts w:hint="eastAsia"/>
          <w:bCs/>
          <w:spacing w:val="-6"/>
          <w:sz w:val="24"/>
          <w:highlight w:val="green"/>
          <w:lang w:val="en-US" w:eastAsia="zh-CN"/>
        </w:rPr>
        <w:t>6</w:t>
      </w:r>
      <w:r>
        <w:rPr>
          <w:bCs/>
          <w:spacing w:val="-6"/>
          <w:sz w:val="24"/>
          <w:highlight w:val="green"/>
        </w:rPr>
        <w:t>。</w:t>
      </w:r>
    </w:p>
    <w:p>
      <w:pPr>
        <w:spacing w:line="240" w:lineRule="auto"/>
        <w:ind w:firstLine="420" w:firstLineChars="0"/>
        <w:jc w:val="center"/>
        <w:textAlignment w:val="baseline"/>
        <w:rPr>
          <w:rFonts w:eastAsia="黑体"/>
          <w:bCs/>
          <w:kern w:val="2"/>
          <w:sz w:val="21"/>
          <w:szCs w:val="21"/>
          <w:highlight w:val="green"/>
        </w:rPr>
      </w:pPr>
      <w:r>
        <w:rPr>
          <w:rFonts w:eastAsia="黑体"/>
          <w:bCs/>
          <w:kern w:val="2"/>
          <w:sz w:val="21"/>
          <w:szCs w:val="21"/>
          <w:highlight w:val="green"/>
        </w:rPr>
        <w:t>表4.3-</w:t>
      </w:r>
      <w:r>
        <w:rPr>
          <w:rFonts w:hint="eastAsia" w:eastAsia="黑体"/>
          <w:bCs/>
          <w:kern w:val="2"/>
          <w:sz w:val="21"/>
          <w:szCs w:val="21"/>
          <w:highlight w:val="green"/>
          <w:lang w:val="en-US" w:eastAsia="zh-CN"/>
        </w:rPr>
        <w:t>6</w:t>
      </w:r>
      <w:r>
        <w:rPr>
          <w:rFonts w:hint="eastAsia" w:eastAsia="黑体"/>
          <w:bCs/>
          <w:kern w:val="2"/>
          <w:sz w:val="21"/>
          <w:szCs w:val="21"/>
          <w:highlight w:val="green"/>
        </w:rPr>
        <w:t xml:space="preserve"> </w:t>
      </w:r>
      <w:r>
        <w:rPr>
          <w:rFonts w:eastAsia="黑体"/>
          <w:bCs/>
          <w:kern w:val="2"/>
          <w:sz w:val="21"/>
          <w:szCs w:val="21"/>
          <w:highlight w:val="green"/>
        </w:rPr>
        <w:t>《环境空气质量标准》（GB3095-2012）（单位：mg/m</w:t>
      </w:r>
      <w:r>
        <w:rPr>
          <w:rFonts w:eastAsia="黑体"/>
          <w:bCs/>
          <w:kern w:val="2"/>
          <w:sz w:val="21"/>
          <w:szCs w:val="21"/>
          <w:highlight w:val="green"/>
          <w:vertAlign w:val="superscript"/>
        </w:rPr>
        <w:t>3</w:t>
      </w:r>
      <w:r>
        <w:rPr>
          <w:rFonts w:eastAsia="黑体"/>
          <w:bCs/>
          <w:kern w:val="2"/>
          <w:sz w:val="21"/>
          <w:szCs w:val="21"/>
          <w:highlight w:val="green"/>
        </w:rPr>
        <w:t>）</w:t>
      </w:r>
    </w:p>
    <w:tbl>
      <w:tblPr>
        <w:tblStyle w:val="48"/>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92"/>
        <w:gridCol w:w="37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12" w:type="pct"/>
            <w:vAlign w:val="center"/>
          </w:tcPr>
          <w:p>
            <w:pPr>
              <w:spacing w:line="240" w:lineRule="auto"/>
              <w:ind w:firstLine="0" w:firstLineChars="0"/>
              <w:jc w:val="center"/>
              <w:rPr>
                <w:sz w:val="21"/>
                <w:szCs w:val="21"/>
                <w:highlight w:val="green"/>
              </w:rPr>
            </w:pPr>
            <w:r>
              <w:rPr>
                <w:sz w:val="21"/>
                <w:szCs w:val="21"/>
                <w:highlight w:val="green"/>
              </w:rPr>
              <w:t>污染物名称</w:t>
            </w:r>
          </w:p>
        </w:tc>
        <w:tc>
          <w:tcPr>
            <w:tcW w:w="2187" w:type="pct"/>
            <w:vAlign w:val="center"/>
          </w:tcPr>
          <w:p>
            <w:pPr>
              <w:spacing w:line="240" w:lineRule="auto"/>
              <w:ind w:firstLine="0" w:firstLineChars="0"/>
              <w:jc w:val="center"/>
              <w:rPr>
                <w:sz w:val="21"/>
                <w:szCs w:val="21"/>
                <w:highlight w:val="green"/>
              </w:rPr>
            </w:pPr>
            <w:r>
              <w:rPr>
                <w:sz w:val="21"/>
                <w:szCs w:val="21"/>
                <w:highlight w:val="green"/>
              </w:rPr>
              <w:t>TSP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12" w:type="pct"/>
            <w:vAlign w:val="center"/>
          </w:tcPr>
          <w:p>
            <w:pPr>
              <w:spacing w:line="240" w:lineRule="auto"/>
              <w:ind w:firstLine="0" w:firstLineChars="0"/>
              <w:jc w:val="center"/>
              <w:rPr>
                <w:sz w:val="21"/>
                <w:szCs w:val="21"/>
                <w:highlight w:val="green"/>
              </w:rPr>
            </w:pPr>
            <w:r>
              <w:rPr>
                <w:sz w:val="21"/>
                <w:szCs w:val="21"/>
                <w:highlight w:val="green"/>
              </w:rPr>
              <w:t>年平均</w:t>
            </w:r>
          </w:p>
        </w:tc>
        <w:tc>
          <w:tcPr>
            <w:tcW w:w="2187" w:type="pct"/>
            <w:vAlign w:val="center"/>
          </w:tcPr>
          <w:p>
            <w:pPr>
              <w:spacing w:line="240" w:lineRule="auto"/>
              <w:ind w:firstLine="0" w:firstLineChars="0"/>
              <w:jc w:val="center"/>
              <w:rPr>
                <w:bCs/>
                <w:sz w:val="21"/>
                <w:szCs w:val="21"/>
                <w:highlight w:val="green"/>
              </w:rPr>
            </w:pPr>
            <w:r>
              <w:rPr>
                <w:bCs/>
                <w:sz w:val="21"/>
                <w:szCs w:val="21"/>
                <w:highlight w:val="green"/>
              </w:rPr>
              <w:t>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12" w:type="pct"/>
            <w:vAlign w:val="center"/>
          </w:tcPr>
          <w:p>
            <w:pPr>
              <w:spacing w:line="240" w:lineRule="auto"/>
              <w:ind w:firstLine="0" w:firstLineChars="0"/>
              <w:jc w:val="center"/>
              <w:rPr>
                <w:sz w:val="21"/>
                <w:szCs w:val="21"/>
                <w:highlight w:val="green"/>
              </w:rPr>
            </w:pPr>
            <w:r>
              <w:rPr>
                <w:sz w:val="21"/>
                <w:szCs w:val="21"/>
                <w:highlight w:val="green"/>
              </w:rPr>
              <w:t>24小时平均</w:t>
            </w:r>
          </w:p>
        </w:tc>
        <w:tc>
          <w:tcPr>
            <w:tcW w:w="2187" w:type="pct"/>
            <w:vAlign w:val="center"/>
          </w:tcPr>
          <w:p>
            <w:pPr>
              <w:spacing w:line="240" w:lineRule="auto"/>
              <w:ind w:firstLine="0" w:firstLineChars="0"/>
              <w:jc w:val="center"/>
              <w:rPr>
                <w:bCs/>
                <w:sz w:val="21"/>
                <w:szCs w:val="21"/>
                <w:highlight w:val="green"/>
              </w:rPr>
            </w:pPr>
            <w:r>
              <w:rPr>
                <w:bCs/>
                <w:sz w:val="21"/>
                <w:szCs w:val="21"/>
                <w:highlight w:val="green"/>
              </w:rPr>
              <w:t>0.3</w:t>
            </w:r>
          </w:p>
        </w:tc>
      </w:tr>
    </w:tbl>
    <w:p>
      <w:pPr>
        <w:autoSpaceDE w:val="0"/>
        <w:autoSpaceDN w:val="0"/>
        <w:ind w:firstLine="480"/>
        <w:rPr>
          <w:bCs/>
          <w:sz w:val="24"/>
          <w:highlight w:val="green"/>
        </w:rPr>
      </w:pPr>
      <w:r>
        <w:rPr>
          <w:bCs/>
          <w:sz w:val="24"/>
          <w:highlight w:val="green"/>
        </w:rPr>
        <w:t>（4）评价方法</w:t>
      </w:r>
    </w:p>
    <w:p>
      <w:pPr>
        <w:autoSpaceDE w:val="0"/>
        <w:autoSpaceDN w:val="0"/>
        <w:ind w:firstLine="480"/>
        <w:rPr>
          <w:bCs/>
          <w:sz w:val="24"/>
          <w:highlight w:val="green"/>
        </w:rPr>
      </w:pPr>
      <w:r>
        <w:rPr>
          <w:bCs/>
          <w:sz w:val="24"/>
          <w:highlight w:val="green"/>
        </w:rPr>
        <w:t>采用单项质量指数法，公式如下。</w:t>
      </w:r>
    </w:p>
    <w:p>
      <w:pPr>
        <w:ind w:firstLine="1200" w:firstLineChars="500"/>
        <w:rPr>
          <w:i/>
          <w:sz w:val="24"/>
          <w:highlight w:val="green"/>
        </w:rPr>
      </w:pPr>
      <w:r>
        <w:rPr>
          <w:i/>
          <w:sz w:val="24"/>
          <w:highlight w:val="green"/>
        </w:rPr>
        <w:t>I</w:t>
      </w:r>
      <w:r>
        <w:rPr>
          <w:i/>
          <w:sz w:val="24"/>
          <w:highlight w:val="green"/>
          <w:vertAlign w:val="subscript"/>
        </w:rPr>
        <w:t xml:space="preserve">i </w:t>
      </w:r>
      <w:r>
        <w:rPr>
          <w:i/>
          <w:sz w:val="24"/>
          <w:highlight w:val="green"/>
        </w:rPr>
        <w:t>= C</w:t>
      </w:r>
      <w:r>
        <w:rPr>
          <w:i/>
          <w:sz w:val="24"/>
          <w:highlight w:val="green"/>
          <w:vertAlign w:val="subscript"/>
        </w:rPr>
        <w:t xml:space="preserve">i </w:t>
      </w:r>
      <w:r>
        <w:rPr>
          <w:i/>
          <w:sz w:val="24"/>
          <w:highlight w:val="green"/>
        </w:rPr>
        <w:t>/C</w:t>
      </w:r>
      <w:r>
        <w:rPr>
          <w:i/>
          <w:sz w:val="24"/>
          <w:highlight w:val="green"/>
          <w:vertAlign w:val="subscript"/>
        </w:rPr>
        <w:t>oi</w:t>
      </w:r>
    </w:p>
    <w:p>
      <w:pPr>
        <w:ind w:firstLine="480"/>
        <w:rPr>
          <w:sz w:val="24"/>
          <w:highlight w:val="green"/>
        </w:rPr>
      </w:pPr>
      <w:r>
        <w:rPr>
          <w:sz w:val="24"/>
          <w:highlight w:val="green"/>
        </w:rPr>
        <w:t>式中：</w:t>
      </w:r>
      <w:r>
        <w:rPr>
          <w:i/>
          <w:sz w:val="24"/>
          <w:highlight w:val="green"/>
        </w:rPr>
        <w:t>I</w:t>
      </w:r>
      <w:r>
        <w:rPr>
          <w:i/>
          <w:sz w:val="24"/>
          <w:highlight w:val="green"/>
          <w:vertAlign w:val="subscript"/>
        </w:rPr>
        <w:t xml:space="preserve">i </w:t>
      </w:r>
      <w:r>
        <w:rPr>
          <w:sz w:val="24"/>
          <w:highlight w:val="green"/>
        </w:rPr>
        <w:t>—— 第</w:t>
      </w:r>
      <w:r>
        <w:rPr>
          <w:i/>
          <w:sz w:val="24"/>
          <w:highlight w:val="green"/>
        </w:rPr>
        <w:t>i</w:t>
      </w:r>
      <w:r>
        <w:rPr>
          <w:sz w:val="24"/>
          <w:highlight w:val="green"/>
        </w:rPr>
        <w:t>种污染物的单项质量指数；</w:t>
      </w:r>
    </w:p>
    <w:p>
      <w:pPr>
        <w:ind w:firstLine="480"/>
        <w:rPr>
          <w:sz w:val="24"/>
          <w:highlight w:val="green"/>
        </w:rPr>
      </w:pPr>
      <w:r>
        <w:rPr>
          <w:i/>
          <w:sz w:val="24"/>
          <w:highlight w:val="green"/>
        </w:rPr>
        <w:t>C</w:t>
      </w:r>
      <w:r>
        <w:rPr>
          <w:i/>
          <w:sz w:val="24"/>
          <w:highlight w:val="green"/>
          <w:vertAlign w:val="subscript"/>
        </w:rPr>
        <w:t>i</w:t>
      </w:r>
      <w:r>
        <w:rPr>
          <w:sz w:val="24"/>
          <w:highlight w:val="green"/>
        </w:rPr>
        <w:t>—— 第</w:t>
      </w:r>
      <w:r>
        <w:rPr>
          <w:i/>
          <w:sz w:val="24"/>
          <w:highlight w:val="green"/>
        </w:rPr>
        <w:t xml:space="preserve">i </w:t>
      </w:r>
      <w:r>
        <w:rPr>
          <w:sz w:val="24"/>
          <w:highlight w:val="green"/>
        </w:rPr>
        <w:t>种污染物的实测浓度，mg/m</w:t>
      </w:r>
      <w:r>
        <w:rPr>
          <w:sz w:val="24"/>
          <w:highlight w:val="green"/>
          <w:vertAlign w:val="superscript"/>
        </w:rPr>
        <w:t>3</w:t>
      </w:r>
      <w:r>
        <w:rPr>
          <w:sz w:val="24"/>
          <w:highlight w:val="green"/>
        </w:rPr>
        <w:t>；</w:t>
      </w:r>
    </w:p>
    <w:p>
      <w:pPr>
        <w:ind w:firstLine="480"/>
        <w:rPr>
          <w:sz w:val="24"/>
          <w:highlight w:val="green"/>
        </w:rPr>
      </w:pPr>
      <w:r>
        <w:rPr>
          <w:i/>
          <w:sz w:val="24"/>
          <w:highlight w:val="green"/>
        </w:rPr>
        <w:t>C</w:t>
      </w:r>
      <w:r>
        <w:rPr>
          <w:i/>
          <w:sz w:val="24"/>
          <w:highlight w:val="green"/>
          <w:vertAlign w:val="subscript"/>
        </w:rPr>
        <w:t>oi</w:t>
      </w:r>
      <w:r>
        <w:rPr>
          <w:sz w:val="24"/>
          <w:highlight w:val="green"/>
        </w:rPr>
        <w:t>—— 第</w:t>
      </w:r>
      <w:r>
        <w:rPr>
          <w:i/>
          <w:sz w:val="24"/>
          <w:highlight w:val="green"/>
        </w:rPr>
        <w:t>i</w:t>
      </w:r>
      <w:r>
        <w:rPr>
          <w:sz w:val="24"/>
          <w:highlight w:val="green"/>
        </w:rPr>
        <w:t>种污染物的评价标准，mg/m</w:t>
      </w:r>
      <w:r>
        <w:rPr>
          <w:sz w:val="24"/>
          <w:highlight w:val="green"/>
          <w:vertAlign w:val="superscript"/>
        </w:rPr>
        <w:t>3</w:t>
      </w:r>
      <w:r>
        <w:rPr>
          <w:sz w:val="24"/>
          <w:highlight w:val="green"/>
        </w:rPr>
        <w:t>。</w:t>
      </w:r>
    </w:p>
    <w:p>
      <w:pPr>
        <w:ind w:firstLine="496"/>
        <w:jc w:val="both"/>
        <w:rPr>
          <w:spacing w:val="4"/>
          <w:sz w:val="24"/>
          <w:highlight w:val="green"/>
        </w:rPr>
      </w:pPr>
      <w:r>
        <w:rPr>
          <w:rFonts w:hint="eastAsia"/>
          <w:spacing w:val="4"/>
          <w:sz w:val="24"/>
          <w:highlight w:val="green"/>
        </w:rPr>
        <w:t>（5）监测结果与评价</w:t>
      </w:r>
    </w:p>
    <w:p>
      <w:pPr>
        <w:ind w:firstLine="496"/>
        <w:jc w:val="both"/>
        <w:rPr>
          <w:spacing w:val="4"/>
          <w:sz w:val="24"/>
          <w:highlight w:val="green"/>
        </w:rPr>
      </w:pPr>
      <w:r>
        <w:rPr>
          <w:spacing w:val="4"/>
          <w:sz w:val="24"/>
          <w:highlight w:val="green"/>
        </w:rPr>
        <w:t>1）TSP监测结果与分析</w:t>
      </w:r>
    </w:p>
    <w:p>
      <w:pPr>
        <w:ind w:firstLine="496"/>
        <w:jc w:val="both"/>
        <w:rPr>
          <w:spacing w:val="4"/>
          <w:sz w:val="24"/>
          <w:highlight w:val="green"/>
        </w:rPr>
      </w:pPr>
      <w:r>
        <w:rPr>
          <w:spacing w:val="4"/>
          <w:sz w:val="24"/>
          <w:highlight w:val="green"/>
        </w:rPr>
        <w:t>TSP日均浓度值监测结果统计见表4.3-</w:t>
      </w:r>
      <w:r>
        <w:rPr>
          <w:rFonts w:hint="eastAsia"/>
          <w:spacing w:val="4"/>
          <w:sz w:val="24"/>
          <w:highlight w:val="green"/>
          <w:lang w:val="en-US" w:eastAsia="zh-CN"/>
        </w:rPr>
        <w:t>7</w:t>
      </w:r>
      <w:r>
        <w:rPr>
          <w:spacing w:val="4"/>
          <w:sz w:val="24"/>
          <w:highlight w:val="green"/>
        </w:rPr>
        <w:t>。</w:t>
      </w:r>
    </w:p>
    <w:p>
      <w:pPr>
        <w:spacing w:line="240" w:lineRule="auto"/>
        <w:ind w:firstLine="420" w:firstLineChars="0"/>
        <w:jc w:val="center"/>
        <w:textAlignment w:val="baseline"/>
        <w:rPr>
          <w:rFonts w:eastAsia="黑体"/>
          <w:bCs/>
          <w:kern w:val="2"/>
          <w:sz w:val="21"/>
          <w:szCs w:val="21"/>
          <w:highlight w:val="green"/>
        </w:rPr>
      </w:pPr>
      <w:r>
        <w:rPr>
          <w:rFonts w:eastAsia="黑体"/>
          <w:bCs/>
          <w:kern w:val="2"/>
          <w:sz w:val="21"/>
          <w:szCs w:val="21"/>
          <w:highlight w:val="green"/>
        </w:rPr>
        <w:t>表4.3-</w:t>
      </w:r>
      <w:r>
        <w:rPr>
          <w:rFonts w:hint="eastAsia" w:eastAsia="黑体"/>
          <w:bCs/>
          <w:kern w:val="2"/>
          <w:sz w:val="21"/>
          <w:szCs w:val="21"/>
          <w:highlight w:val="green"/>
          <w:lang w:val="en-US" w:eastAsia="zh-CN"/>
        </w:rPr>
        <w:t xml:space="preserve">7  </w:t>
      </w:r>
      <w:r>
        <w:rPr>
          <w:rFonts w:eastAsia="黑体"/>
          <w:bCs/>
          <w:kern w:val="2"/>
          <w:sz w:val="21"/>
          <w:szCs w:val="21"/>
          <w:highlight w:val="green"/>
        </w:rPr>
        <w:t>TSP日均浓度监测统计表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8"/>
        <w:gridCol w:w="1146"/>
        <w:gridCol w:w="1516"/>
        <w:gridCol w:w="1215"/>
        <w:gridCol w:w="692"/>
        <w:gridCol w:w="786"/>
        <w:gridCol w:w="874"/>
        <w:gridCol w:w="158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8" w:type="dxa"/>
            <w:vAlign w:val="center"/>
          </w:tcPr>
          <w:p>
            <w:pPr>
              <w:spacing w:line="360" w:lineRule="exact"/>
              <w:ind w:firstLine="0" w:firstLineChars="0"/>
              <w:jc w:val="center"/>
              <w:rPr>
                <w:sz w:val="21"/>
                <w:szCs w:val="21"/>
                <w:highlight w:val="green"/>
              </w:rPr>
            </w:pPr>
            <w:r>
              <w:rPr>
                <w:sz w:val="21"/>
                <w:szCs w:val="21"/>
                <w:highlight w:val="green"/>
              </w:rPr>
              <w:t>采样点号</w:t>
            </w:r>
          </w:p>
        </w:tc>
        <w:tc>
          <w:tcPr>
            <w:tcW w:w="1146" w:type="dxa"/>
            <w:vAlign w:val="center"/>
          </w:tcPr>
          <w:p>
            <w:pPr>
              <w:spacing w:line="360" w:lineRule="exact"/>
              <w:ind w:firstLine="0" w:firstLineChars="0"/>
              <w:jc w:val="center"/>
              <w:rPr>
                <w:sz w:val="21"/>
                <w:szCs w:val="21"/>
                <w:highlight w:val="green"/>
              </w:rPr>
            </w:pPr>
            <w:r>
              <w:rPr>
                <w:sz w:val="21"/>
                <w:szCs w:val="21"/>
                <w:highlight w:val="green"/>
              </w:rPr>
              <w:t>监测点</w:t>
            </w:r>
          </w:p>
        </w:tc>
        <w:tc>
          <w:tcPr>
            <w:tcW w:w="1516" w:type="dxa"/>
            <w:vAlign w:val="center"/>
          </w:tcPr>
          <w:p>
            <w:pPr>
              <w:spacing w:line="360" w:lineRule="exact"/>
              <w:ind w:firstLine="0" w:firstLineChars="0"/>
              <w:jc w:val="center"/>
              <w:rPr>
                <w:sz w:val="21"/>
                <w:szCs w:val="21"/>
                <w:highlight w:val="green"/>
              </w:rPr>
            </w:pPr>
            <w:r>
              <w:rPr>
                <w:sz w:val="21"/>
                <w:szCs w:val="21"/>
                <w:highlight w:val="green"/>
              </w:rPr>
              <w:t>浓度范围</w:t>
            </w:r>
          </w:p>
          <w:p>
            <w:pPr>
              <w:spacing w:line="360" w:lineRule="exact"/>
              <w:ind w:firstLine="0" w:firstLineChars="0"/>
              <w:jc w:val="center"/>
              <w:rPr>
                <w:sz w:val="21"/>
                <w:szCs w:val="21"/>
                <w:highlight w:val="green"/>
              </w:rPr>
            </w:pPr>
            <w:r>
              <w:rPr>
                <w:sz w:val="21"/>
                <w:szCs w:val="21"/>
                <w:highlight w:val="green"/>
              </w:rPr>
              <w:t>(mg/m</w:t>
            </w:r>
            <w:r>
              <w:rPr>
                <w:sz w:val="21"/>
                <w:szCs w:val="21"/>
                <w:highlight w:val="green"/>
                <w:vertAlign w:val="superscript"/>
              </w:rPr>
              <w:t>3</w:t>
            </w:r>
            <w:r>
              <w:rPr>
                <w:sz w:val="21"/>
                <w:szCs w:val="21"/>
                <w:highlight w:val="green"/>
              </w:rPr>
              <w:t>)</w:t>
            </w:r>
          </w:p>
        </w:tc>
        <w:tc>
          <w:tcPr>
            <w:tcW w:w="1215" w:type="dxa"/>
            <w:vAlign w:val="center"/>
          </w:tcPr>
          <w:p>
            <w:pPr>
              <w:spacing w:line="360" w:lineRule="exact"/>
              <w:ind w:firstLine="0" w:firstLineChars="0"/>
              <w:jc w:val="center"/>
              <w:rPr>
                <w:sz w:val="21"/>
                <w:szCs w:val="21"/>
                <w:highlight w:val="green"/>
              </w:rPr>
            </w:pPr>
            <w:r>
              <w:rPr>
                <w:sz w:val="21"/>
                <w:szCs w:val="21"/>
                <w:highlight w:val="green"/>
              </w:rPr>
              <w:t>最大浓度占标率(%)</w:t>
            </w:r>
          </w:p>
        </w:tc>
        <w:tc>
          <w:tcPr>
            <w:tcW w:w="692" w:type="dxa"/>
            <w:vAlign w:val="center"/>
          </w:tcPr>
          <w:p>
            <w:pPr>
              <w:spacing w:line="360" w:lineRule="exact"/>
              <w:ind w:firstLine="0" w:firstLineChars="0"/>
              <w:jc w:val="center"/>
              <w:rPr>
                <w:sz w:val="21"/>
                <w:szCs w:val="21"/>
                <w:highlight w:val="green"/>
              </w:rPr>
            </w:pPr>
            <w:r>
              <w:rPr>
                <w:sz w:val="21"/>
                <w:szCs w:val="21"/>
                <w:highlight w:val="green"/>
              </w:rPr>
              <w:t>样本数</w:t>
            </w:r>
          </w:p>
        </w:tc>
        <w:tc>
          <w:tcPr>
            <w:tcW w:w="786" w:type="dxa"/>
            <w:vAlign w:val="center"/>
          </w:tcPr>
          <w:p>
            <w:pPr>
              <w:spacing w:line="360" w:lineRule="exact"/>
              <w:ind w:firstLine="0" w:firstLineChars="0"/>
              <w:jc w:val="center"/>
              <w:rPr>
                <w:sz w:val="21"/>
                <w:szCs w:val="21"/>
                <w:highlight w:val="green"/>
              </w:rPr>
            </w:pPr>
            <w:r>
              <w:rPr>
                <w:sz w:val="21"/>
                <w:szCs w:val="21"/>
                <w:highlight w:val="green"/>
              </w:rPr>
              <w:t>超标个数</w:t>
            </w:r>
          </w:p>
        </w:tc>
        <w:tc>
          <w:tcPr>
            <w:tcW w:w="874" w:type="dxa"/>
            <w:vAlign w:val="center"/>
          </w:tcPr>
          <w:p>
            <w:pPr>
              <w:spacing w:line="360" w:lineRule="exact"/>
              <w:ind w:firstLine="0" w:firstLineChars="0"/>
              <w:jc w:val="center"/>
              <w:rPr>
                <w:sz w:val="21"/>
                <w:szCs w:val="21"/>
                <w:highlight w:val="green"/>
              </w:rPr>
            </w:pPr>
            <w:r>
              <w:rPr>
                <w:sz w:val="21"/>
                <w:szCs w:val="21"/>
                <w:highlight w:val="green"/>
              </w:rPr>
              <w:t>超标率</w:t>
            </w:r>
          </w:p>
          <w:p>
            <w:pPr>
              <w:spacing w:line="360" w:lineRule="exact"/>
              <w:ind w:firstLine="0" w:firstLineChars="0"/>
              <w:jc w:val="center"/>
              <w:rPr>
                <w:sz w:val="21"/>
                <w:szCs w:val="21"/>
                <w:highlight w:val="green"/>
              </w:rPr>
            </w:pPr>
            <w:r>
              <w:rPr>
                <w:sz w:val="21"/>
                <w:szCs w:val="21"/>
                <w:highlight w:val="green"/>
              </w:rPr>
              <w:t>(%)</w:t>
            </w:r>
          </w:p>
        </w:tc>
        <w:tc>
          <w:tcPr>
            <w:tcW w:w="1585" w:type="dxa"/>
            <w:vAlign w:val="center"/>
          </w:tcPr>
          <w:p>
            <w:pPr>
              <w:spacing w:line="360" w:lineRule="exact"/>
              <w:ind w:firstLine="0" w:firstLineChars="0"/>
              <w:jc w:val="center"/>
              <w:rPr>
                <w:sz w:val="21"/>
                <w:szCs w:val="21"/>
                <w:highlight w:val="green"/>
              </w:rPr>
            </w:pPr>
            <w:r>
              <w:rPr>
                <w:sz w:val="21"/>
                <w:szCs w:val="21"/>
                <w:highlight w:val="green"/>
              </w:rPr>
              <w:t>最大超标倍数</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708" w:type="dxa"/>
            <w:vAlign w:val="center"/>
          </w:tcPr>
          <w:p>
            <w:pPr>
              <w:spacing w:line="360" w:lineRule="exact"/>
              <w:ind w:firstLine="0" w:firstLineChars="0"/>
              <w:jc w:val="center"/>
              <w:rPr>
                <w:sz w:val="21"/>
                <w:szCs w:val="21"/>
                <w:highlight w:val="green"/>
              </w:rPr>
            </w:pPr>
            <w:r>
              <w:rPr>
                <w:sz w:val="21"/>
                <w:szCs w:val="21"/>
                <w:highlight w:val="green"/>
              </w:rPr>
              <w:t>1#</w:t>
            </w:r>
          </w:p>
        </w:tc>
        <w:tc>
          <w:tcPr>
            <w:tcW w:w="1146" w:type="dxa"/>
            <w:vAlign w:val="center"/>
          </w:tcPr>
          <w:p>
            <w:pPr>
              <w:pStyle w:val="129"/>
              <w:spacing w:line="240" w:lineRule="auto"/>
              <w:rPr>
                <w:rFonts w:hint="eastAsia" w:ascii="Times New Roman" w:hAnsi="Times New Roman" w:eastAsia="宋体"/>
                <w:highlight w:val="green"/>
                <w:lang w:eastAsia="zh-CN"/>
              </w:rPr>
            </w:pPr>
            <w:r>
              <w:rPr>
                <w:rFonts w:hint="eastAsia" w:ascii="Times New Roman" w:hAnsi="Times New Roman"/>
                <w:highlight w:val="green"/>
                <w:lang w:eastAsia="zh-CN"/>
              </w:rPr>
              <w:t>堡子店村</w:t>
            </w:r>
          </w:p>
        </w:tc>
        <w:tc>
          <w:tcPr>
            <w:tcW w:w="1516" w:type="dxa"/>
            <w:vAlign w:val="center"/>
          </w:tcPr>
          <w:p>
            <w:pPr>
              <w:pStyle w:val="129"/>
              <w:spacing w:line="240" w:lineRule="auto"/>
              <w:rPr>
                <w:rFonts w:hint="default" w:ascii="Times New Roman" w:hAnsi="Times New Roman" w:eastAsia="宋体"/>
                <w:highlight w:val="green"/>
                <w:lang w:val="en-US" w:eastAsia="zh-CN"/>
              </w:rPr>
            </w:pPr>
            <w:r>
              <w:rPr>
                <w:rFonts w:ascii="Times New Roman" w:hAnsi="Times New Roman"/>
                <w:highlight w:val="green"/>
              </w:rPr>
              <w:t>0.</w:t>
            </w:r>
            <w:r>
              <w:rPr>
                <w:rFonts w:hint="eastAsia" w:ascii="Times New Roman" w:hAnsi="Times New Roman"/>
                <w:highlight w:val="green"/>
                <w:lang w:val="en-US" w:eastAsia="zh-CN"/>
              </w:rPr>
              <w:t>051</w:t>
            </w:r>
            <w:r>
              <w:rPr>
                <w:rFonts w:ascii="Times New Roman" w:hAnsi="Times New Roman"/>
                <w:highlight w:val="green"/>
              </w:rPr>
              <w:t>~0.</w:t>
            </w:r>
            <w:r>
              <w:rPr>
                <w:rFonts w:hint="eastAsia" w:ascii="Times New Roman" w:hAnsi="Times New Roman"/>
                <w:highlight w:val="green"/>
                <w:lang w:val="en-US" w:eastAsia="zh-CN"/>
              </w:rPr>
              <w:t>103</w:t>
            </w:r>
          </w:p>
        </w:tc>
        <w:tc>
          <w:tcPr>
            <w:tcW w:w="1215" w:type="dxa"/>
            <w:vAlign w:val="center"/>
          </w:tcPr>
          <w:p>
            <w:pPr>
              <w:pStyle w:val="129"/>
              <w:spacing w:line="240" w:lineRule="auto"/>
              <w:rPr>
                <w:rFonts w:ascii="Times New Roman" w:hAnsi="Times New Roman"/>
                <w:highlight w:val="green"/>
              </w:rPr>
            </w:pPr>
            <w:r>
              <w:rPr>
                <w:rFonts w:hint="eastAsia" w:ascii="Times New Roman" w:hAnsi="Times New Roman"/>
                <w:highlight w:val="green"/>
                <w:lang w:val="en-US" w:eastAsia="zh-CN"/>
              </w:rPr>
              <w:t>34.3</w:t>
            </w:r>
            <w:r>
              <w:rPr>
                <w:rFonts w:ascii="Times New Roman" w:hAnsi="Times New Roman"/>
                <w:highlight w:val="green"/>
              </w:rPr>
              <w:t>3</w:t>
            </w:r>
          </w:p>
        </w:tc>
        <w:tc>
          <w:tcPr>
            <w:tcW w:w="692" w:type="dxa"/>
            <w:vAlign w:val="center"/>
          </w:tcPr>
          <w:p>
            <w:pPr>
              <w:pStyle w:val="129"/>
              <w:spacing w:line="240" w:lineRule="auto"/>
              <w:rPr>
                <w:rFonts w:ascii="Times New Roman" w:hAnsi="Times New Roman"/>
                <w:highlight w:val="green"/>
              </w:rPr>
            </w:pPr>
            <w:r>
              <w:rPr>
                <w:rFonts w:ascii="Times New Roman" w:hAnsi="Times New Roman"/>
                <w:highlight w:val="green"/>
              </w:rPr>
              <w:t>7</w:t>
            </w:r>
          </w:p>
        </w:tc>
        <w:tc>
          <w:tcPr>
            <w:tcW w:w="786" w:type="dxa"/>
            <w:vAlign w:val="center"/>
          </w:tcPr>
          <w:p>
            <w:pPr>
              <w:pStyle w:val="129"/>
              <w:spacing w:line="240" w:lineRule="auto"/>
              <w:rPr>
                <w:rFonts w:ascii="Times New Roman" w:hAnsi="Times New Roman"/>
                <w:highlight w:val="green"/>
              </w:rPr>
            </w:pPr>
            <w:r>
              <w:rPr>
                <w:rFonts w:ascii="Times New Roman" w:hAnsi="Times New Roman"/>
                <w:highlight w:val="green"/>
              </w:rPr>
              <w:t>0</w:t>
            </w:r>
          </w:p>
        </w:tc>
        <w:tc>
          <w:tcPr>
            <w:tcW w:w="874" w:type="dxa"/>
            <w:vAlign w:val="center"/>
          </w:tcPr>
          <w:p>
            <w:pPr>
              <w:pStyle w:val="129"/>
              <w:spacing w:line="240" w:lineRule="auto"/>
              <w:rPr>
                <w:rFonts w:ascii="Times New Roman" w:hAnsi="Times New Roman"/>
                <w:highlight w:val="green"/>
              </w:rPr>
            </w:pPr>
            <w:r>
              <w:rPr>
                <w:rFonts w:ascii="Times New Roman" w:hAnsi="Times New Roman"/>
                <w:highlight w:val="green"/>
              </w:rPr>
              <w:t>—</w:t>
            </w:r>
          </w:p>
        </w:tc>
        <w:tc>
          <w:tcPr>
            <w:tcW w:w="1585" w:type="dxa"/>
            <w:vAlign w:val="center"/>
          </w:tcPr>
          <w:p>
            <w:pPr>
              <w:pStyle w:val="129"/>
              <w:spacing w:line="240" w:lineRule="auto"/>
              <w:rPr>
                <w:rFonts w:ascii="Times New Roman" w:hAnsi="Times New Roman"/>
                <w:highlight w:val="green"/>
              </w:rPr>
            </w:pPr>
            <w:r>
              <w:rPr>
                <w:rFonts w:ascii="Times New Roman" w:hAnsi="Times New Roman"/>
                <w:highlight w:val="green"/>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708" w:type="dxa"/>
            <w:vAlign w:val="center"/>
          </w:tcPr>
          <w:p>
            <w:pPr>
              <w:spacing w:line="360" w:lineRule="exact"/>
              <w:ind w:firstLine="0" w:firstLineChars="0"/>
              <w:jc w:val="center"/>
              <w:rPr>
                <w:sz w:val="21"/>
                <w:szCs w:val="21"/>
                <w:highlight w:val="green"/>
              </w:rPr>
            </w:pPr>
            <w:r>
              <w:rPr>
                <w:sz w:val="21"/>
                <w:szCs w:val="21"/>
                <w:highlight w:val="green"/>
              </w:rPr>
              <w:t>2#</w:t>
            </w:r>
          </w:p>
        </w:tc>
        <w:tc>
          <w:tcPr>
            <w:tcW w:w="1146" w:type="dxa"/>
            <w:vAlign w:val="center"/>
          </w:tcPr>
          <w:p>
            <w:pPr>
              <w:pStyle w:val="129"/>
              <w:spacing w:line="240" w:lineRule="auto"/>
              <w:rPr>
                <w:rFonts w:ascii="Times New Roman" w:hAnsi="Times New Roman"/>
                <w:highlight w:val="green"/>
              </w:rPr>
            </w:pPr>
            <w:r>
              <w:rPr>
                <w:rFonts w:hint="eastAsia" w:ascii="Times New Roman" w:hAnsi="Times New Roman"/>
                <w:highlight w:val="green"/>
                <w:lang w:eastAsia="zh-CN"/>
              </w:rPr>
              <w:t>贾庄子</w:t>
            </w:r>
            <w:r>
              <w:rPr>
                <w:rFonts w:ascii="Times New Roman" w:hAnsi="Times New Roman"/>
                <w:highlight w:val="green"/>
              </w:rPr>
              <w:t>村</w:t>
            </w:r>
          </w:p>
        </w:tc>
        <w:tc>
          <w:tcPr>
            <w:tcW w:w="1516" w:type="dxa"/>
            <w:vAlign w:val="center"/>
          </w:tcPr>
          <w:p>
            <w:pPr>
              <w:pStyle w:val="129"/>
              <w:spacing w:line="240" w:lineRule="auto"/>
              <w:rPr>
                <w:rFonts w:ascii="Times New Roman" w:hAnsi="Times New Roman"/>
                <w:highlight w:val="green"/>
              </w:rPr>
            </w:pPr>
            <w:r>
              <w:rPr>
                <w:rFonts w:ascii="Times New Roman" w:hAnsi="Times New Roman"/>
                <w:highlight w:val="green"/>
              </w:rPr>
              <w:t>0.</w:t>
            </w:r>
            <w:r>
              <w:rPr>
                <w:rFonts w:hint="eastAsia" w:ascii="Times New Roman" w:hAnsi="Times New Roman"/>
                <w:highlight w:val="green"/>
                <w:lang w:val="en-US" w:eastAsia="zh-CN"/>
              </w:rPr>
              <w:t>05</w:t>
            </w:r>
            <w:r>
              <w:rPr>
                <w:rFonts w:ascii="Times New Roman" w:hAnsi="Times New Roman"/>
                <w:highlight w:val="green"/>
              </w:rPr>
              <w:t>3~0.</w:t>
            </w:r>
            <w:r>
              <w:rPr>
                <w:rFonts w:hint="eastAsia" w:ascii="Times New Roman" w:hAnsi="Times New Roman"/>
                <w:highlight w:val="green"/>
                <w:lang w:val="en-US" w:eastAsia="zh-CN"/>
              </w:rPr>
              <w:t>10</w:t>
            </w:r>
            <w:r>
              <w:rPr>
                <w:rFonts w:ascii="Times New Roman" w:hAnsi="Times New Roman"/>
                <w:highlight w:val="green"/>
              </w:rPr>
              <w:t>1</w:t>
            </w:r>
          </w:p>
        </w:tc>
        <w:tc>
          <w:tcPr>
            <w:tcW w:w="1215" w:type="dxa"/>
            <w:vAlign w:val="center"/>
          </w:tcPr>
          <w:p>
            <w:pPr>
              <w:pStyle w:val="129"/>
              <w:spacing w:line="240" w:lineRule="auto"/>
              <w:rPr>
                <w:rFonts w:hint="default" w:ascii="Times New Roman" w:hAnsi="Times New Roman" w:eastAsia="宋体"/>
                <w:highlight w:val="green"/>
                <w:lang w:val="en-US" w:eastAsia="zh-CN"/>
              </w:rPr>
            </w:pPr>
            <w:r>
              <w:rPr>
                <w:rFonts w:hint="eastAsia" w:ascii="Times New Roman" w:hAnsi="Times New Roman"/>
                <w:highlight w:val="green"/>
                <w:lang w:val="en-US" w:eastAsia="zh-CN"/>
              </w:rPr>
              <w:t>33.7</w:t>
            </w:r>
          </w:p>
        </w:tc>
        <w:tc>
          <w:tcPr>
            <w:tcW w:w="692" w:type="dxa"/>
            <w:vAlign w:val="center"/>
          </w:tcPr>
          <w:p>
            <w:pPr>
              <w:pStyle w:val="129"/>
              <w:spacing w:line="240" w:lineRule="auto"/>
              <w:rPr>
                <w:rFonts w:ascii="Times New Roman" w:hAnsi="Times New Roman"/>
                <w:highlight w:val="green"/>
              </w:rPr>
            </w:pPr>
            <w:r>
              <w:rPr>
                <w:rFonts w:ascii="Times New Roman" w:hAnsi="Times New Roman"/>
                <w:highlight w:val="green"/>
              </w:rPr>
              <w:t>7</w:t>
            </w:r>
          </w:p>
        </w:tc>
        <w:tc>
          <w:tcPr>
            <w:tcW w:w="786" w:type="dxa"/>
            <w:vAlign w:val="center"/>
          </w:tcPr>
          <w:p>
            <w:pPr>
              <w:pStyle w:val="129"/>
              <w:spacing w:line="240" w:lineRule="auto"/>
              <w:rPr>
                <w:rFonts w:ascii="Times New Roman" w:hAnsi="Times New Roman"/>
                <w:highlight w:val="green"/>
              </w:rPr>
            </w:pPr>
            <w:r>
              <w:rPr>
                <w:rFonts w:ascii="Times New Roman" w:hAnsi="Times New Roman"/>
                <w:highlight w:val="green"/>
              </w:rPr>
              <w:t>0</w:t>
            </w:r>
          </w:p>
        </w:tc>
        <w:tc>
          <w:tcPr>
            <w:tcW w:w="874" w:type="dxa"/>
            <w:vAlign w:val="center"/>
          </w:tcPr>
          <w:p>
            <w:pPr>
              <w:pStyle w:val="129"/>
              <w:spacing w:line="240" w:lineRule="auto"/>
              <w:rPr>
                <w:rFonts w:ascii="Times New Roman" w:hAnsi="Times New Roman"/>
                <w:highlight w:val="green"/>
              </w:rPr>
            </w:pPr>
            <w:r>
              <w:rPr>
                <w:rFonts w:ascii="Times New Roman" w:hAnsi="Times New Roman"/>
                <w:highlight w:val="green"/>
              </w:rPr>
              <w:t>—</w:t>
            </w:r>
          </w:p>
        </w:tc>
        <w:tc>
          <w:tcPr>
            <w:tcW w:w="1585" w:type="dxa"/>
            <w:vAlign w:val="center"/>
          </w:tcPr>
          <w:p>
            <w:pPr>
              <w:pStyle w:val="129"/>
              <w:spacing w:line="240" w:lineRule="auto"/>
              <w:rPr>
                <w:rFonts w:ascii="Times New Roman" w:hAnsi="Times New Roman"/>
                <w:highlight w:val="green"/>
              </w:rPr>
            </w:pPr>
            <w:r>
              <w:rPr>
                <w:rFonts w:ascii="Times New Roman" w:hAnsi="Times New Roman"/>
                <w:highlight w:val="green"/>
              </w:rPr>
              <w:t>—</w:t>
            </w:r>
          </w:p>
        </w:tc>
      </w:tr>
    </w:tbl>
    <w:p>
      <w:pPr>
        <w:ind w:firstLine="496"/>
        <w:jc w:val="both"/>
        <w:rPr>
          <w:spacing w:val="4"/>
          <w:sz w:val="24"/>
          <w:highlight w:val="green"/>
        </w:rPr>
      </w:pPr>
      <w:r>
        <w:rPr>
          <w:spacing w:val="4"/>
          <w:sz w:val="24"/>
          <w:highlight w:val="green"/>
        </w:rPr>
        <w:t>由监测结果统计可知，各监测点TSP日均浓度值均未超过《环境空气质量标准》（GB3096-2012）二级标准限值。</w:t>
      </w:r>
    </w:p>
    <w:p>
      <w:pPr>
        <w:pStyle w:val="6"/>
        <w:numPr>
          <w:ilvl w:val="2"/>
          <w:numId w:val="1"/>
        </w:numPr>
        <w:spacing w:before="0" w:after="0"/>
        <w:ind w:left="567"/>
        <w:rPr>
          <w:szCs w:val="28"/>
          <w:highlight w:val="green"/>
        </w:rPr>
      </w:pPr>
      <w:bookmarkStart w:id="388" w:name="_Toc28403"/>
      <w:bookmarkStart w:id="389" w:name="_Toc521591787"/>
      <w:r>
        <w:rPr>
          <w:szCs w:val="28"/>
          <w:highlight w:val="green"/>
        </w:rPr>
        <w:t>地下水</w:t>
      </w:r>
      <w:bookmarkEnd w:id="388"/>
      <w:bookmarkEnd w:id="389"/>
    </w:p>
    <w:p>
      <w:pPr>
        <w:pStyle w:val="3"/>
        <w:rPr>
          <w:highlight w:val="green"/>
        </w:rPr>
      </w:pPr>
      <w:r>
        <w:rPr>
          <w:highlight w:val="green"/>
        </w:rPr>
        <w:t>4.3.</w:t>
      </w:r>
      <w:r>
        <w:rPr>
          <w:rFonts w:hint="eastAsia"/>
          <w:highlight w:val="green"/>
          <w:lang w:val="en-US" w:eastAsia="zh-CN"/>
        </w:rPr>
        <w:t>2</w:t>
      </w:r>
      <w:r>
        <w:rPr>
          <w:highlight w:val="green"/>
        </w:rPr>
        <w:t>.1地下水现状监测</w:t>
      </w:r>
    </w:p>
    <w:p>
      <w:pPr>
        <w:autoSpaceDE w:val="0"/>
        <w:autoSpaceDN w:val="0"/>
        <w:ind w:firstLine="496"/>
        <w:rPr>
          <w:rFonts w:ascii="Times New Roman" w:hAnsi="Times New Roman" w:eastAsia="宋体" w:cs="Times New Roman"/>
          <w:spacing w:val="4"/>
          <w:sz w:val="24"/>
          <w:highlight w:val="green"/>
        </w:rPr>
      </w:pPr>
      <w:r>
        <w:rPr>
          <w:rFonts w:ascii="Times New Roman" w:hAnsi="Times New Roman" w:eastAsia="宋体" w:cs="Times New Roman"/>
          <w:spacing w:val="4"/>
          <w:sz w:val="24"/>
          <w:highlight w:val="green"/>
        </w:rPr>
        <w:t>为了解项目区及其周围区域的地下水质量状况，委托</w:t>
      </w:r>
      <w:r>
        <w:rPr>
          <w:rFonts w:hint="default" w:ascii="Times New Roman" w:hAnsi="Times New Roman" w:eastAsia="宋体" w:cs="Times New Roman"/>
          <w:spacing w:val="4"/>
          <w:sz w:val="24"/>
          <w:highlight w:val="green"/>
        </w:rPr>
        <w:t>河北德盛检测技术有限公司</w:t>
      </w:r>
      <w:r>
        <w:rPr>
          <w:rFonts w:hint="eastAsia" w:ascii="Times New Roman" w:hAnsi="Times New Roman" w:eastAsia="宋体" w:cs="Times New Roman"/>
          <w:spacing w:val="4"/>
          <w:sz w:val="24"/>
          <w:highlight w:val="green"/>
          <w:lang w:eastAsia="zh-CN"/>
        </w:rPr>
        <w:t>于</w:t>
      </w:r>
      <w:r>
        <w:rPr>
          <w:rFonts w:hint="eastAsia" w:ascii="Times New Roman" w:hAnsi="Times New Roman" w:eastAsia="宋体" w:cs="Times New Roman"/>
          <w:spacing w:val="4"/>
          <w:sz w:val="24"/>
          <w:highlight w:val="green"/>
          <w:lang w:val="en-US" w:eastAsia="zh-CN"/>
        </w:rPr>
        <w:t>2021年8月24日对区域</w:t>
      </w:r>
      <w:r>
        <w:rPr>
          <w:rFonts w:ascii="Times New Roman" w:hAnsi="Times New Roman" w:eastAsia="宋体" w:cs="Times New Roman"/>
          <w:spacing w:val="4"/>
          <w:sz w:val="24"/>
          <w:highlight w:val="green"/>
        </w:rPr>
        <w:t>地下水进行了现场采样监测。</w:t>
      </w:r>
    </w:p>
    <w:p>
      <w:pPr>
        <w:autoSpaceDE w:val="0"/>
        <w:autoSpaceDN w:val="0"/>
        <w:ind w:firstLine="496"/>
        <w:rPr>
          <w:spacing w:val="4"/>
          <w:sz w:val="24"/>
          <w:highlight w:val="green"/>
        </w:rPr>
      </w:pPr>
      <w:r>
        <w:rPr>
          <w:spacing w:val="4"/>
          <w:sz w:val="24"/>
          <w:highlight w:val="green"/>
        </w:rPr>
        <w:t>（1）监测指标</w:t>
      </w:r>
    </w:p>
    <w:p>
      <w:pPr>
        <w:autoSpaceDE w:val="0"/>
        <w:autoSpaceDN w:val="0"/>
        <w:ind w:firstLine="496"/>
        <w:rPr>
          <w:spacing w:val="4"/>
          <w:sz w:val="24"/>
          <w:highlight w:val="green"/>
        </w:rPr>
      </w:pPr>
      <w:r>
        <w:rPr>
          <w:spacing w:val="4"/>
          <w:sz w:val="24"/>
          <w:highlight w:val="green"/>
        </w:rPr>
        <w:t>地下水质检测因子如下：K</w:t>
      </w:r>
      <w:r>
        <w:rPr>
          <w:spacing w:val="4"/>
          <w:sz w:val="24"/>
          <w:highlight w:val="green"/>
          <w:vertAlign w:val="superscript"/>
        </w:rPr>
        <w:t>+</w:t>
      </w:r>
      <w:r>
        <w:rPr>
          <w:spacing w:val="4"/>
          <w:sz w:val="24"/>
          <w:highlight w:val="green"/>
        </w:rPr>
        <w:t>、Na</w:t>
      </w:r>
      <w:r>
        <w:rPr>
          <w:spacing w:val="4"/>
          <w:sz w:val="24"/>
          <w:highlight w:val="green"/>
          <w:vertAlign w:val="superscript"/>
        </w:rPr>
        <w:t>+</w:t>
      </w:r>
      <w:r>
        <w:rPr>
          <w:spacing w:val="4"/>
          <w:sz w:val="24"/>
          <w:highlight w:val="green"/>
        </w:rPr>
        <w:t>、Ca</w:t>
      </w:r>
      <w:r>
        <w:rPr>
          <w:spacing w:val="4"/>
          <w:sz w:val="24"/>
          <w:highlight w:val="green"/>
          <w:vertAlign w:val="superscript"/>
        </w:rPr>
        <w:t>2+</w:t>
      </w:r>
      <w:r>
        <w:rPr>
          <w:spacing w:val="4"/>
          <w:sz w:val="24"/>
          <w:highlight w:val="green"/>
        </w:rPr>
        <w:t>、Mg</w:t>
      </w:r>
      <w:r>
        <w:rPr>
          <w:spacing w:val="4"/>
          <w:sz w:val="24"/>
          <w:highlight w:val="green"/>
          <w:vertAlign w:val="superscript"/>
        </w:rPr>
        <w:t>2+</w:t>
      </w:r>
      <w:r>
        <w:rPr>
          <w:spacing w:val="4"/>
          <w:sz w:val="24"/>
          <w:highlight w:val="green"/>
        </w:rPr>
        <w:t>、CO</w:t>
      </w:r>
      <w:r>
        <w:rPr>
          <w:spacing w:val="4"/>
          <w:sz w:val="24"/>
          <w:highlight w:val="green"/>
          <w:vertAlign w:val="subscript"/>
        </w:rPr>
        <w:t>3</w:t>
      </w:r>
      <w:r>
        <w:rPr>
          <w:spacing w:val="4"/>
          <w:sz w:val="24"/>
          <w:highlight w:val="green"/>
          <w:vertAlign w:val="superscript"/>
        </w:rPr>
        <w:t>2-</w:t>
      </w:r>
      <w:r>
        <w:rPr>
          <w:spacing w:val="4"/>
          <w:sz w:val="24"/>
          <w:highlight w:val="green"/>
        </w:rPr>
        <w:t>、HCO</w:t>
      </w:r>
      <w:r>
        <w:rPr>
          <w:spacing w:val="4"/>
          <w:sz w:val="24"/>
          <w:highlight w:val="green"/>
          <w:vertAlign w:val="subscript"/>
        </w:rPr>
        <w:t>3</w:t>
      </w:r>
      <w:r>
        <w:rPr>
          <w:spacing w:val="4"/>
          <w:sz w:val="24"/>
          <w:highlight w:val="green"/>
          <w:vertAlign w:val="superscript"/>
        </w:rPr>
        <w:t>2-</w:t>
      </w:r>
      <w:r>
        <w:rPr>
          <w:spacing w:val="4"/>
          <w:sz w:val="24"/>
          <w:highlight w:val="green"/>
        </w:rPr>
        <w:t>、Cl</w:t>
      </w:r>
      <w:r>
        <w:rPr>
          <w:spacing w:val="4"/>
          <w:sz w:val="24"/>
          <w:highlight w:val="green"/>
          <w:vertAlign w:val="superscript"/>
        </w:rPr>
        <w:t>-</w:t>
      </w:r>
      <w:r>
        <w:rPr>
          <w:spacing w:val="4"/>
          <w:sz w:val="24"/>
          <w:highlight w:val="green"/>
        </w:rPr>
        <w:t>、SO</w:t>
      </w:r>
      <w:r>
        <w:rPr>
          <w:spacing w:val="4"/>
          <w:sz w:val="24"/>
          <w:highlight w:val="green"/>
          <w:vertAlign w:val="subscript"/>
        </w:rPr>
        <w:t>4</w:t>
      </w:r>
      <w:r>
        <w:rPr>
          <w:spacing w:val="4"/>
          <w:sz w:val="24"/>
          <w:highlight w:val="green"/>
          <w:vertAlign w:val="superscript"/>
        </w:rPr>
        <w:t>2-</w:t>
      </w:r>
      <w:r>
        <w:rPr>
          <w:spacing w:val="4"/>
          <w:sz w:val="24"/>
          <w:highlight w:val="green"/>
        </w:rPr>
        <w:t>、pH、氨氮、硝酸盐、亚硝酸盐、挥发性酚类、氰化物、砷、汞、铬（六价）、总硬度、铅、氟、镉、铁、锰、铜、锌、石油类、硫化物、溶解性总固体、</w:t>
      </w:r>
      <w:r>
        <w:rPr>
          <w:rFonts w:hint="eastAsia"/>
          <w:spacing w:val="4"/>
          <w:sz w:val="24"/>
          <w:highlight w:val="green"/>
        </w:rPr>
        <w:t>耗氧量</w:t>
      </w:r>
      <w:r>
        <w:rPr>
          <w:spacing w:val="4"/>
          <w:sz w:val="24"/>
          <w:highlight w:val="green"/>
        </w:rPr>
        <w:t>、总大肠菌群、细菌总数。</w:t>
      </w:r>
    </w:p>
    <w:p>
      <w:pPr>
        <w:autoSpaceDE w:val="0"/>
        <w:autoSpaceDN w:val="0"/>
        <w:ind w:firstLine="496"/>
        <w:rPr>
          <w:spacing w:val="4"/>
          <w:sz w:val="24"/>
          <w:highlight w:val="green"/>
        </w:rPr>
      </w:pPr>
      <w:bookmarkStart w:id="390" w:name="_Toc19595"/>
      <w:bookmarkStart w:id="391" w:name="_Toc2523"/>
      <w:bookmarkStart w:id="392" w:name="_Toc1825"/>
      <w:bookmarkStart w:id="393" w:name="_Toc499740312"/>
      <w:r>
        <w:rPr>
          <w:spacing w:val="4"/>
          <w:sz w:val="24"/>
          <w:highlight w:val="green"/>
        </w:rPr>
        <w:t>（2）监测时间及</w:t>
      </w:r>
      <w:bookmarkEnd w:id="390"/>
      <w:bookmarkEnd w:id="391"/>
      <w:bookmarkEnd w:id="392"/>
      <w:r>
        <w:rPr>
          <w:spacing w:val="4"/>
          <w:sz w:val="24"/>
          <w:highlight w:val="green"/>
        </w:rPr>
        <w:t>数量</w:t>
      </w:r>
      <w:bookmarkEnd w:id="393"/>
    </w:p>
    <w:p>
      <w:pPr>
        <w:pStyle w:val="19"/>
        <w:spacing w:before="60"/>
        <w:ind w:firstLine="480"/>
        <w:rPr>
          <w:spacing w:val="4"/>
          <w:sz w:val="24"/>
          <w:highlight w:val="green"/>
        </w:rPr>
      </w:pPr>
      <w:bookmarkStart w:id="394" w:name="_Hlk534151680"/>
      <w:r>
        <w:rPr>
          <w:rFonts w:hint="eastAsia"/>
          <w:sz w:val="24"/>
          <w:highlight w:val="green"/>
        </w:rPr>
        <w:t>项目区位于以冲洪积缓斜地小区（II</w:t>
      </w:r>
      <w:r>
        <w:rPr>
          <w:rFonts w:hint="eastAsia"/>
          <w:sz w:val="24"/>
          <w:highlight w:val="green"/>
          <w:vertAlign w:val="subscript"/>
        </w:rPr>
        <w:t>6</w:t>
      </w:r>
      <w:r>
        <w:rPr>
          <w:sz w:val="24"/>
          <w:highlight w:val="green"/>
          <w:vertAlign w:val="subscript"/>
        </w:rPr>
        <w:t>-</w:t>
      </w:r>
      <w:r>
        <w:rPr>
          <w:rFonts w:hint="eastAsia"/>
          <w:sz w:val="24"/>
          <w:highlight w:val="green"/>
          <w:vertAlign w:val="subscript"/>
        </w:rPr>
        <w:t>3</w:t>
      </w:r>
      <w:r>
        <w:rPr>
          <w:rFonts w:hint="eastAsia"/>
          <w:sz w:val="24"/>
          <w:highlight w:val="green"/>
        </w:rPr>
        <w:t>），主要分布于遵化市中部以及西部。</w:t>
      </w:r>
      <w:r>
        <w:rPr>
          <w:rFonts w:hint="eastAsia"/>
          <w:sz w:val="24"/>
          <w:szCs w:val="24"/>
          <w:highlight w:val="green"/>
        </w:rPr>
        <w:t>根据《环境影响评价技术导则地下水环境》中“表4 地下水环境现状监测频率参照表”，</w:t>
      </w:r>
      <w:bookmarkStart w:id="395" w:name="_Hlk3213246"/>
      <w:r>
        <w:rPr>
          <w:rFonts w:hint="eastAsia"/>
          <w:sz w:val="24"/>
          <w:szCs w:val="24"/>
          <w:highlight w:val="green"/>
        </w:rPr>
        <w:t>项目所在位置属</w:t>
      </w:r>
      <w:r>
        <w:rPr>
          <w:bCs/>
          <w:sz w:val="24"/>
          <w:highlight w:val="green"/>
        </w:rPr>
        <w:t>“表4 地下水环境现状监测频率参照表”</w:t>
      </w:r>
      <w:r>
        <w:rPr>
          <w:rFonts w:hint="eastAsia"/>
          <w:bCs/>
          <w:sz w:val="24"/>
          <w:highlight w:val="green"/>
        </w:rPr>
        <w:t>中的其它平原区</w:t>
      </w:r>
      <w:r>
        <w:rPr>
          <w:bCs/>
          <w:sz w:val="24"/>
          <w:highlight w:val="green"/>
        </w:rPr>
        <w:t>，二级评价</w:t>
      </w:r>
      <w:r>
        <w:rPr>
          <w:rFonts w:hint="eastAsia"/>
          <w:bCs/>
          <w:sz w:val="24"/>
          <w:highlight w:val="green"/>
        </w:rPr>
        <w:t>水质监测需进行一期</w:t>
      </w:r>
      <w:r>
        <w:rPr>
          <w:bCs/>
          <w:sz w:val="24"/>
          <w:highlight w:val="green"/>
        </w:rPr>
        <w:t>，</w:t>
      </w:r>
      <w:r>
        <w:rPr>
          <w:rFonts w:hint="eastAsia"/>
          <w:bCs/>
          <w:sz w:val="24"/>
          <w:highlight w:val="green"/>
        </w:rPr>
        <w:t>水位监测需进行一期</w:t>
      </w:r>
      <w:r>
        <w:rPr>
          <w:bCs/>
          <w:sz w:val="24"/>
          <w:highlight w:val="green"/>
        </w:rPr>
        <w:t>。</w:t>
      </w:r>
      <w:bookmarkEnd w:id="394"/>
      <w:bookmarkEnd w:id="395"/>
    </w:p>
    <w:p>
      <w:pPr>
        <w:autoSpaceDE w:val="0"/>
        <w:autoSpaceDN w:val="0"/>
        <w:ind w:firstLine="560"/>
        <w:rPr>
          <w:spacing w:val="4"/>
          <w:sz w:val="24"/>
          <w:highlight w:val="green"/>
        </w:rPr>
      </w:pPr>
      <w:bookmarkStart w:id="396" w:name="_Toc12039"/>
      <w:bookmarkStart w:id="397" w:name="_Toc15672"/>
      <w:bookmarkStart w:id="398" w:name="_Toc499740313"/>
      <w:bookmarkStart w:id="399" w:name="_Toc31440"/>
      <w:r>
        <w:rPr>
          <w:highlight w:val="green"/>
        </w:rPr>
        <w:t>（3）</w:t>
      </w:r>
      <w:r>
        <w:rPr>
          <w:spacing w:val="4"/>
          <w:sz w:val="24"/>
          <w:highlight w:val="green"/>
        </w:rPr>
        <w:t>监测分析方法</w:t>
      </w:r>
      <w:bookmarkEnd w:id="396"/>
      <w:bookmarkEnd w:id="397"/>
      <w:bookmarkEnd w:id="398"/>
      <w:bookmarkEnd w:id="399"/>
    </w:p>
    <w:p>
      <w:pPr>
        <w:autoSpaceDE w:val="0"/>
        <w:autoSpaceDN w:val="0"/>
        <w:ind w:firstLine="496"/>
        <w:rPr>
          <w:spacing w:val="4"/>
          <w:sz w:val="24"/>
          <w:highlight w:val="green"/>
        </w:rPr>
      </w:pPr>
      <w:r>
        <w:rPr>
          <w:spacing w:val="4"/>
          <w:sz w:val="24"/>
          <w:highlight w:val="green"/>
        </w:rPr>
        <w:t>地下水监测分析方法见表4.3-</w:t>
      </w:r>
      <w:r>
        <w:rPr>
          <w:rFonts w:hint="eastAsia"/>
          <w:spacing w:val="4"/>
          <w:sz w:val="24"/>
          <w:highlight w:val="green"/>
          <w:lang w:val="en-US" w:eastAsia="zh-CN"/>
        </w:rPr>
        <w:t>8</w:t>
      </w:r>
      <w:r>
        <w:rPr>
          <w:spacing w:val="4"/>
          <w:sz w:val="24"/>
          <w:highlight w:val="green"/>
        </w:rPr>
        <w:t>。</w:t>
      </w:r>
    </w:p>
    <w:p>
      <w:pPr>
        <w:autoSpaceDE w:val="0"/>
        <w:autoSpaceDN w:val="0"/>
        <w:spacing w:line="240" w:lineRule="auto"/>
        <w:ind w:firstLine="436"/>
        <w:jc w:val="center"/>
        <w:rPr>
          <w:rFonts w:eastAsia="黑体"/>
          <w:spacing w:val="4"/>
          <w:sz w:val="21"/>
          <w:szCs w:val="21"/>
          <w:highlight w:val="green"/>
        </w:rPr>
      </w:pPr>
      <w:r>
        <w:rPr>
          <w:rFonts w:eastAsia="黑体"/>
          <w:spacing w:val="4"/>
          <w:sz w:val="21"/>
          <w:szCs w:val="21"/>
          <w:highlight w:val="green"/>
        </w:rPr>
        <w:t>表4.3-</w:t>
      </w:r>
      <w:r>
        <w:rPr>
          <w:rFonts w:hint="eastAsia" w:eastAsia="黑体"/>
          <w:spacing w:val="4"/>
          <w:sz w:val="21"/>
          <w:szCs w:val="21"/>
          <w:highlight w:val="green"/>
          <w:lang w:val="en-US" w:eastAsia="zh-CN"/>
        </w:rPr>
        <w:t xml:space="preserve">8 </w:t>
      </w:r>
      <w:r>
        <w:rPr>
          <w:rFonts w:hint="eastAsia" w:eastAsia="黑体"/>
          <w:spacing w:val="4"/>
          <w:sz w:val="21"/>
          <w:szCs w:val="21"/>
          <w:highlight w:val="green"/>
        </w:rPr>
        <w:t xml:space="preserve"> </w:t>
      </w:r>
      <w:r>
        <w:rPr>
          <w:rFonts w:eastAsia="黑体"/>
          <w:spacing w:val="4"/>
          <w:sz w:val="21"/>
          <w:szCs w:val="21"/>
          <w:highlight w:val="green"/>
        </w:rPr>
        <w:t>地下水检测分析方法及仪器情况表</w:t>
      </w:r>
    </w:p>
    <w:tbl>
      <w:tblPr>
        <w:tblStyle w:val="48"/>
        <w:tblW w:w="8522" w:type="dxa"/>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6"/>
        <w:gridCol w:w="855"/>
        <w:gridCol w:w="4470"/>
        <w:gridCol w:w="1770"/>
        <w:gridCol w:w="841"/>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序号</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检测项目</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分析方法及国标代号</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仪器名称</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检出限</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pH</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《生活饮用水标准检验方法感官性状和物理指标》GB/T 5750.4-2006   5.1玻璃电极法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pH计</w:t>
            </w:r>
          </w:p>
          <w:p>
            <w:pPr>
              <w:adjustRightInd w:val="0"/>
              <w:snapToGrid w:val="0"/>
              <w:spacing w:line="240" w:lineRule="auto"/>
              <w:ind w:firstLine="0" w:firstLineChars="0"/>
              <w:jc w:val="center"/>
              <w:rPr>
                <w:sz w:val="21"/>
                <w:szCs w:val="21"/>
                <w:highlight w:val="green"/>
              </w:rPr>
            </w:pPr>
            <w:r>
              <w:rPr>
                <w:sz w:val="21"/>
                <w:szCs w:val="21"/>
                <w:highlight w:val="green"/>
              </w:rPr>
              <w:t>PHS-3C  JC-07</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总硬度</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《生活饮用水标准检验方法感官性状和物理指标》GB/T 5750.4-2006   7.1 乙二胺四乙酸二钠滴定法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25ml   滴定管</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1.0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3</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溶解性总</w:t>
            </w:r>
          </w:p>
          <w:p>
            <w:pPr>
              <w:adjustRightInd w:val="0"/>
              <w:snapToGrid w:val="0"/>
              <w:spacing w:line="240" w:lineRule="auto"/>
              <w:ind w:firstLine="0" w:firstLineChars="0"/>
              <w:jc w:val="center"/>
              <w:rPr>
                <w:sz w:val="21"/>
                <w:szCs w:val="21"/>
                <w:highlight w:val="green"/>
              </w:rPr>
            </w:pPr>
            <w:r>
              <w:rPr>
                <w:sz w:val="21"/>
                <w:szCs w:val="21"/>
                <w:highlight w:val="green"/>
              </w:rPr>
              <w:t>固体</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《生活饮用水标准检验方法感官性状和物理指标》GB/T 5750.4-2006    8.1 称量法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分析天平</w:t>
            </w:r>
          </w:p>
          <w:p>
            <w:pPr>
              <w:adjustRightInd w:val="0"/>
              <w:snapToGrid w:val="0"/>
              <w:spacing w:line="240" w:lineRule="auto"/>
              <w:ind w:firstLine="0" w:firstLineChars="0"/>
              <w:jc w:val="center"/>
              <w:rPr>
                <w:sz w:val="21"/>
                <w:szCs w:val="21"/>
                <w:highlight w:val="green"/>
              </w:rPr>
            </w:pPr>
            <w:r>
              <w:rPr>
                <w:sz w:val="21"/>
                <w:szCs w:val="21"/>
                <w:highlight w:val="green"/>
              </w:rPr>
              <w:t>FA2004b  CY-01</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4</w:t>
            </w:r>
          </w:p>
        </w:tc>
        <w:tc>
          <w:tcPr>
            <w:tcW w:w="855" w:type="dxa"/>
            <w:vAlign w:val="center"/>
          </w:tcPr>
          <w:p>
            <w:pPr>
              <w:adjustRightInd w:val="0"/>
              <w:snapToGrid w:val="0"/>
              <w:spacing w:line="240" w:lineRule="auto"/>
              <w:ind w:firstLine="0" w:firstLineChars="0"/>
              <w:jc w:val="center"/>
              <w:rPr>
                <w:sz w:val="21"/>
                <w:szCs w:val="21"/>
                <w:highlight w:val="green"/>
              </w:rPr>
            </w:pPr>
            <w:r>
              <w:rPr>
                <w:rFonts w:hint="eastAsia"/>
                <w:sz w:val="21"/>
                <w:szCs w:val="21"/>
                <w:highlight w:val="green"/>
              </w:rPr>
              <w:t>耗氧量</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《生活饮用水标准检验方法有机物综合指标》</w:t>
            </w:r>
          </w:p>
          <w:p>
            <w:pPr>
              <w:widowControl/>
              <w:adjustRightInd w:val="0"/>
              <w:snapToGrid w:val="0"/>
              <w:spacing w:line="240" w:lineRule="auto"/>
              <w:ind w:firstLine="0" w:firstLineChars="0"/>
              <w:jc w:val="center"/>
              <w:rPr>
                <w:sz w:val="21"/>
                <w:szCs w:val="21"/>
                <w:highlight w:val="green"/>
              </w:rPr>
            </w:pPr>
            <w:r>
              <w:rPr>
                <w:sz w:val="21"/>
                <w:szCs w:val="21"/>
                <w:highlight w:val="green"/>
              </w:rPr>
              <w:t>GB/T 5750.7-2006    1.1酸性高锰酸钾滴定法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25ml   滴定管</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 xml:space="preserve">0.05mg/L </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5</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硝酸盐</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《生活饮用水标准检验方法无机非金属指标》</w:t>
            </w:r>
          </w:p>
          <w:p>
            <w:pPr>
              <w:adjustRightInd w:val="0"/>
              <w:snapToGrid w:val="0"/>
              <w:spacing w:line="240" w:lineRule="auto"/>
              <w:ind w:firstLine="0" w:firstLineChars="0"/>
              <w:jc w:val="center"/>
              <w:rPr>
                <w:sz w:val="21"/>
                <w:szCs w:val="21"/>
                <w:highlight w:val="green"/>
              </w:rPr>
            </w:pPr>
            <w:r>
              <w:rPr>
                <w:sz w:val="21"/>
                <w:szCs w:val="21"/>
                <w:highlight w:val="green"/>
              </w:rPr>
              <w:t>GB/T 5750.5-2006  5.2 紫外分光光度法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紫外可见分光</w:t>
            </w:r>
          </w:p>
          <w:p>
            <w:pPr>
              <w:adjustRightInd w:val="0"/>
              <w:snapToGrid w:val="0"/>
              <w:spacing w:line="240" w:lineRule="auto"/>
              <w:ind w:firstLine="0" w:firstLineChars="0"/>
              <w:jc w:val="center"/>
              <w:rPr>
                <w:sz w:val="21"/>
                <w:szCs w:val="21"/>
                <w:highlight w:val="green"/>
              </w:rPr>
            </w:pPr>
            <w:r>
              <w:rPr>
                <w:sz w:val="21"/>
                <w:szCs w:val="21"/>
                <w:highlight w:val="green"/>
              </w:rPr>
              <w:t>光度计</w:t>
            </w:r>
          </w:p>
          <w:p>
            <w:pPr>
              <w:adjustRightInd w:val="0"/>
              <w:snapToGrid w:val="0"/>
              <w:spacing w:line="240" w:lineRule="auto"/>
              <w:ind w:firstLine="0" w:firstLineChars="0"/>
              <w:jc w:val="center"/>
              <w:rPr>
                <w:sz w:val="21"/>
                <w:szCs w:val="21"/>
                <w:highlight w:val="green"/>
              </w:rPr>
            </w:pPr>
            <w:r>
              <w:rPr>
                <w:sz w:val="21"/>
                <w:szCs w:val="21"/>
                <w:highlight w:val="green"/>
              </w:rPr>
              <w:t>UV754N   JC-11</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0.2mg/L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6</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亚硝酸盐</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《生活饮用水标准检验方法无机非金属指标》</w:t>
            </w:r>
          </w:p>
          <w:p>
            <w:pPr>
              <w:adjustRightInd w:val="0"/>
              <w:snapToGrid w:val="0"/>
              <w:spacing w:line="240" w:lineRule="auto"/>
              <w:ind w:firstLine="0" w:firstLineChars="0"/>
              <w:jc w:val="center"/>
              <w:rPr>
                <w:sz w:val="21"/>
                <w:szCs w:val="21"/>
                <w:highlight w:val="green"/>
              </w:rPr>
            </w:pPr>
            <w:r>
              <w:rPr>
                <w:sz w:val="21"/>
                <w:szCs w:val="21"/>
                <w:highlight w:val="green"/>
              </w:rPr>
              <w:t>GB/T 5750.5-2006    10.1 重氮偶合分光光度法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紫外可见分光</w:t>
            </w:r>
          </w:p>
          <w:p>
            <w:pPr>
              <w:adjustRightInd w:val="0"/>
              <w:snapToGrid w:val="0"/>
              <w:spacing w:line="240" w:lineRule="auto"/>
              <w:ind w:firstLine="0" w:firstLineChars="0"/>
              <w:jc w:val="center"/>
              <w:rPr>
                <w:sz w:val="21"/>
                <w:szCs w:val="21"/>
                <w:highlight w:val="green"/>
              </w:rPr>
            </w:pPr>
            <w:r>
              <w:rPr>
                <w:sz w:val="21"/>
                <w:szCs w:val="21"/>
                <w:highlight w:val="green"/>
              </w:rPr>
              <w:t>光度计</w:t>
            </w:r>
          </w:p>
          <w:p>
            <w:pPr>
              <w:adjustRightInd w:val="0"/>
              <w:snapToGrid w:val="0"/>
              <w:spacing w:line="240" w:lineRule="auto"/>
              <w:ind w:firstLine="0" w:firstLineChars="0"/>
              <w:jc w:val="center"/>
              <w:rPr>
                <w:sz w:val="21"/>
                <w:szCs w:val="21"/>
                <w:highlight w:val="green"/>
              </w:rPr>
            </w:pPr>
            <w:r>
              <w:rPr>
                <w:sz w:val="21"/>
                <w:szCs w:val="21"/>
                <w:highlight w:val="green"/>
              </w:rPr>
              <w:t>UV754N   JC-11</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0.001mg/L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7</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氨氮</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《生活饮用水标准检验方法无机非金属指标》</w:t>
            </w:r>
          </w:p>
          <w:p>
            <w:pPr>
              <w:adjustRightInd w:val="0"/>
              <w:snapToGrid w:val="0"/>
              <w:spacing w:line="240" w:lineRule="auto"/>
              <w:ind w:firstLine="0" w:firstLineChars="0"/>
              <w:jc w:val="center"/>
              <w:rPr>
                <w:sz w:val="21"/>
                <w:szCs w:val="21"/>
                <w:highlight w:val="green"/>
              </w:rPr>
            </w:pPr>
            <w:r>
              <w:rPr>
                <w:sz w:val="21"/>
                <w:szCs w:val="21"/>
                <w:highlight w:val="green"/>
              </w:rPr>
              <w:t>GB/T 5750.5-2006   9.1纳氏试剂分光光度法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可见分光光度计</w:t>
            </w:r>
          </w:p>
          <w:p>
            <w:pPr>
              <w:adjustRightInd w:val="0"/>
              <w:snapToGrid w:val="0"/>
              <w:spacing w:line="240" w:lineRule="auto"/>
              <w:ind w:firstLine="0" w:firstLineChars="0"/>
              <w:jc w:val="center"/>
              <w:rPr>
                <w:sz w:val="21"/>
                <w:szCs w:val="21"/>
                <w:highlight w:val="green"/>
              </w:rPr>
            </w:pPr>
            <w:r>
              <w:rPr>
                <w:sz w:val="21"/>
                <w:szCs w:val="21"/>
                <w:highlight w:val="green"/>
              </w:rPr>
              <w:t xml:space="preserve">  721   JC-10</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0.02mg/L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8</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氟化物</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《水质氟化物的测定离子选择电极法》</w:t>
            </w:r>
          </w:p>
          <w:p>
            <w:pPr>
              <w:adjustRightInd w:val="0"/>
              <w:snapToGrid w:val="0"/>
              <w:spacing w:line="240" w:lineRule="auto"/>
              <w:ind w:firstLine="0" w:firstLineChars="0"/>
              <w:jc w:val="center"/>
              <w:rPr>
                <w:sz w:val="21"/>
                <w:szCs w:val="21"/>
                <w:highlight w:val="green"/>
              </w:rPr>
            </w:pPr>
            <w:r>
              <w:rPr>
                <w:sz w:val="21"/>
                <w:szCs w:val="21"/>
                <w:highlight w:val="green"/>
              </w:rPr>
              <w:t xml:space="preserve"> GB/T 7484-1987</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离子计</w:t>
            </w:r>
          </w:p>
          <w:p>
            <w:pPr>
              <w:adjustRightInd w:val="0"/>
              <w:snapToGrid w:val="0"/>
              <w:spacing w:line="240" w:lineRule="auto"/>
              <w:ind w:firstLine="0" w:firstLineChars="0"/>
              <w:jc w:val="center"/>
              <w:rPr>
                <w:sz w:val="21"/>
                <w:szCs w:val="21"/>
                <w:highlight w:val="green"/>
              </w:rPr>
            </w:pPr>
            <w:r>
              <w:rPr>
                <w:sz w:val="21"/>
                <w:szCs w:val="21"/>
                <w:highlight w:val="green"/>
              </w:rPr>
              <w:t>PXSJ-216  JC-09</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0.05mg/L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9</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铜</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《生活饮用水标准检验方法金属指标》无火焰原子吸收分光光度法 GB/T5750.6-2006  4.1</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TAS-990/原子吸收分光光度计/SLR-004</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5μg/L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10</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锌</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《生活饮用水标准检验方法金属指标》GB/T 5750.6-2006中5.1 .1(直接法)火焰原子吸收分光光度法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TAS-990/原子吸收分光光度计/SLR-004</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0.050mg/L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11</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氰化物</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《生活饮用水标准检验方法无机非金属指标》</w:t>
            </w:r>
          </w:p>
          <w:p>
            <w:pPr>
              <w:adjustRightInd w:val="0"/>
              <w:snapToGrid w:val="0"/>
              <w:spacing w:line="240" w:lineRule="auto"/>
              <w:ind w:firstLine="0" w:firstLineChars="0"/>
              <w:jc w:val="center"/>
              <w:rPr>
                <w:sz w:val="21"/>
                <w:szCs w:val="21"/>
                <w:highlight w:val="green"/>
              </w:rPr>
            </w:pPr>
            <w:r>
              <w:rPr>
                <w:sz w:val="21"/>
                <w:szCs w:val="21"/>
                <w:highlight w:val="green"/>
              </w:rPr>
              <w:t>GB/T 5750.5-2006  4.1 异烟酸-吡唑酮光度法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可见分光光度计</w:t>
            </w:r>
          </w:p>
          <w:p>
            <w:pPr>
              <w:adjustRightInd w:val="0"/>
              <w:snapToGrid w:val="0"/>
              <w:spacing w:line="240" w:lineRule="auto"/>
              <w:ind w:firstLine="0" w:firstLineChars="0"/>
              <w:jc w:val="center"/>
              <w:rPr>
                <w:sz w:val="21"/>
                <w:szCs w:val="21"/>
                <w:highlight w:val="green"/>
              </w:rPr>
            </w:pPr>
            <w:r>
              <w:rPr>
                <w:sz w:val="21"/>
                <w:szCs w:val="21"/>
                <w:highlight w:val="green"/>
              </w:rPr>
              <w:t xml:space="preserve">  721   JC-10</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0.002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12</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挥发性类</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《水质挥发酚的测定4-氨基安替比林分光光度法》 HJ 503-2009</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可见分光光度计</w:t>
            </w:r>
          </w:p>
          <w:p>
            <w:pPr>
              <w:adjustRightInd w:val="0"/>
              <w:snapToGrid w:val="0"/>
              <w:spacing w:line="240" w:lineRule="auto"/>
              <w:ind w:firstLine="0" w:firstLineChars="0"/>
              <w:jc w:val="center"/>
              <w:rPr>
                <w:sz w:val="21"/>
                <w:szCs w:val="21"/>
                <w:highlight w:val="green"/>
              </w:rPr>
            </w:pPr>
            <w:r>
              <w:rPr>
                <w:sz w:val="21"/>
                <w:szCs w:val="21"/>
                <w:highlight w:val="green"/>
              </w:rPr>
              <w:t xml:space="preserve">  721   JC-10</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0.0003mg/L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13</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铬（六价）</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《水质六价铬的测定二苯碳酰二肼分光光度法》 GB/T 7467-1987</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可见分光光度计</w:t>
            </w:r>
          </w:p>
          <w:p>
            <w:pPr>
              <w:adjustRightInd w:val="0"/>
              <w:snapToGrid w:val="0"/>
              <w:spacing w:line="240" w:lineRule="auto"/>
              <w:ind w:firstLine="0" w:firstLineChars="0"/>
              <w:jc w:val="center"/>
              <w:rPr>
                <w:sz w:val="21"/>
                <w:szCs w:val="21"/>
                <w:highlight w:val="green"/>
              </w:rPr>
            </w:pPr>
            <w:r>
              <w:rPr>
                <w:sz w:val="21"/>
                <w:szCs w:val="21"/>
                <w:highlight w:val="green"/>
              </w:rPr>
              <w:t xml:space="preserve">  721   JC-10</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0.004mg/L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14</w:t>
            </w:r>
          </w:p>
        </w:tc>
        <w:tc>
          <w:tcPr>
            <w:tcW w:w="855"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铅</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w:t>
            </w:r>
          </w:p>
          <w:p>
            <w:pPr>
              <w:adjustRightInd w:val="0"/>
              <w:snapToGrid w:val="0"/>
              <w:spacing w:line="240" w:lineRule="auto"/>
              <w:ind w:firstLine="0" w:firstLineChars="0"/>
              <w:jc w:val="center"/>
              <w:rPr>
                <w:sz w:val="21"/>
                <w:szCs w:val="21"/>
                <w:highlight w:val="green"/>
              </w:rPr>
            </w:pPr>
            <w:r>
              <w:rPr>
                <w:sz w:val="21"/>
                <w:szCs w:val="21"/>
                <w:highlight w:val="green"/>
              </w:rPr>
              <w:t>GB/T 5750.6-2006 11.2 无火焰原子吸收分光光度法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 xml:space="preserve">原子吸收分光光度计AA2630  JC-18  </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2.5μg/L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15</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镉</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w:t>
            </w:r>
          </w:p>
          <w:p>
            <w:pPr>
              <w:adjustRightInd w:val="0"/>
              <w:snapToGrid w:val="0"/>
              <w:spacing w:line="240" w:lineRule="auto"/>
              <w:ind w:firstLine="0" w:firstLineChars="0"/>
              <w:jc w:val="center"/>
              <w:rPr>
                <w:sz w:val="21"/>
                <w:szCs w:val="21"/>
                <w:highlight w:val="green"/>
              </w:rPr>
            </w:pPr>
            <w:r>
              <w:rPr>
                <w:sz w:val="21"/>
                <w:szCs w:val="21"/>
                <w:highlight w:val="green"/>
              </w:rPr>
              <w:t>GB/T 5750.6-2006     9.2原子吸收分光光度法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 xml:space="preserve">原子吸收分光光度计AA2630  JC-18  </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0.01mg/L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16</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铁</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w:t>
            </w:r>
          </w:p>
          <w:p>
            <w:pPr>
              <w:adjustRightInd w:val="0"/>
              <w:snapToGrid w:val="0"/>
              <w:spacing w:line="240" w:lineRule="auto"/>
              <w:ind w:firstLine="0" w:firstLineChars="0"/>
              <w:jc w:val="center"/>
              <w:rPr>
                <w:sz w:val="21"/>
                <w:szCs w:val="21"/>
                <w:highlight w:val="green"/>
              </w:rPr>
            </w:pPr>
            <w:r>
              <w:rPr>
                <w:sz w:val="21"/>
                <w:szCs w:val="21"/>
                <w:highlight w:val="green"/>
              </w:rPr>
              <w:t>GB/T 5750.6-2006  2.1 原子吸收分光光度法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 xml:space="preserve">原子吸收分光光度计AA2630  JC-18  </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0.05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17</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锰</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w:t>
            </w:r>
          </w:p>
          <w:p>
            <w:pPr>
              <w:adjustRightInd w:val="0"/>
              <w:snapToGrid w:val="0"/>
              <w:spacing w:line="240" w:lineRule="auto"/>
              <w:ind w:firstLine="0" w:firstLineChars="0"/>
              <w:jc w:val="center"/>
              <w:rPr>
                <w:sz w:val="21"/>
                <w:szCs w:val="21"/>
                <w:highlight w:val="green"/>
              </w:rPr>
            </w:pPr>
            <w:r>
              <w:rPr>
                <w:sz w:val="21"/>
                <w:szCs w:val="21"/>
                <w:highlight w:val="green"/>
              </w:rPr>
              <w:t>GB/T 5750.6-2006  3.1原子吸收分光光度法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 xml:space="preserve">原子吸收分光光度计AA2630  JC-18  </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0.05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18</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石油类</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《水质石油类和动植物油类的测定红外分光光度法》HJ 637-2012</w:t>
            </w:r>
          </w:p>
        </w:tc>
        <w:tc>
          <w:tcPr>
            <w:tcW w:w="17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红外分光测油仪</w:t>
            </w:r>
          </w:p>
          <w:p>
            <w:pPr>
              <w:widowControl/>
              <w:adjustRightInd w:val="0"/>
              <w:snapToGrid w:val="0"/>
              <w:spacing w:line="240" w:lineRule="auto"/>
              <w:ind w:firstLine="0" w:firstLineChars="0"/>
              <w:jc w:val="center"/>
              <w:rPr>
                <w:sz w:val="21"/>
                <w:szCs w:val="21"/>
                <w:highlight w:val="green"/>
              </w:rPr>
            </w:pPr>
            <w:r>
              <w:rPr>
                <w:sz w:val="21"/>
                <w:szCs w:val="21"/>
                <w:highlight w:val="green"/>
              </w:rPr>
              <w:t>OL580  JC-12</w:t>
            </w:r>
          </w:p>
        </w:tc>
        <w:tc>
          <w:tcPr>
            <w:tcW w:w="841"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0.04mg/L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19</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硫化物</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《生活饮用水标准检验方法无机非金属指标》 GB/T 5750.5-2006    6.1 N,N-二乙基对苯二胺分光光度法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可见分光光度计</w:t>
            </w:r>
          </w:p>
          <w:p>
            <w:pPr>
              <w:widowControl/>
              <w:adjustRightInd w:val="0"/>
              <w:snapToGrid w:val="0"/>
              <w:spacing w:line="240" w:lineRule="auto"/>
              <w:ind w:firstLine="0" w:firstLineChars="0"/>
              <w:jc w:val="center"/>
              <w:rPr>
                <w:sz w:val="21"/>
                <w:szCs w:val="21"/>
                <w:highlight w:val="green"/>
              </w:rPr>
            </w:pPr>
            <w:r>
              <w:rPr>
                <w:sz w:val="21"/>
                <w:szCs w:val="21"/>
                <w:highlight w:val="green"/>
              </w:rPr>
              <w:t>721  JC-10</w:t>
            </w:r>
          </w:p>
        </w:tc>
        <w:tc>
          <w:tcPr>
            <w:tcW w:w="841"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0.02mg/L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20</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汞</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《水质总汞的测定冷原子吸收分光光度法》</w:t>
            </w:r>
          </w:p>
          <w:p>
            <w:pPr>
              <w:adjustRightInd w:val="0"/>
              <w:snapToGrid w:val="0"/>
              <w:spacing w:line="240" w:lineRule="auto"/>
              <w:ind w:firstLine="0" w:firstLineChars="0"/>
              <w:jc w:val="center"/>
              <w:rPr>
                <w:sz w:val="21"/>
                <w:szCs w:val="21"/>
                <w:highlight w:val="green"/>
              </w:rPr>
            </w:pPr>
            <w:r>
              <w:rPr>
                <w:sz w:val="21"/>
                <w:szCs w:val="21"/>
                <w:highlight w:val="green"/>
              </w:rPr>
              <w:t xml:space="preserve"> HJ 597-2011</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冷原子吸收测汞仪</w:t>
            </w:r>
          </w:p>
          <w:p>
            <w:pPr>
              <w:adjustRightInd w:val="0"/>
              <w:snapToGrid w:val="0"/>
              <w:spacing w:line="240" w:lineRule="auto"/>
              <w:ind w:firstLine="0" w:firstLineChars="0"/>
              <w:rPr>
                <w:sz w:val="21"/>
                <w:szCs w:val="21"/>
                <w:highlight w:val="green"/>
              </w:rPr>
            </w:pPr>
            <w:r>
              <w:rPr>
                <w:sz w:val="21"/>
                <w:szCs w:val="21"/>
                <w:highlight w:val="green"/>
              </w:rPr>
              <w:t>F732-VJ   JC-13</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0.02μg/L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21</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砷</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w:t>
            </w:r>
          </w:p>
          <w:p>
            <w:pPr>
              <w:adjustRightInd w:val="0"/>
              <w:snapToGrid w:val="0"/>
              <w:spacing w:line="240" w:lineRule="auto"/>
              <w:ind w:firstLine="0" w:firstLineChars="0"/>
              <w:jc w:val="center"/>
              <w:rPr>
                <w:sz w:val="21"/>
                <w:szCs w:val="21"/>
                <w:highlight w:val="green"/>
              </w:rPr>
            </w:pPr>
            <w:r>
              <w:rPr>
                <w:sz w:val="21"/>
                <w:szCs w:val="21"/>
                <w:highlight w:val="green"/>
              </w:rPr>
              <w:t>GB/T 5750.6-2006       6.1氢化物原子荧光法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原子荧光分光光度计AFS-230E JC-19</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1.0μg/L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22</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K</w:t>
            </w:r>
            <w:r>
              <w:rPr>
                <w:sz w:val="21"/>
                <w:szCs w:val="21"/>
                <w:highlight w:val="green"/>
                <w:vertAlign w:val="superscript"/>
              </w:rPr>
              <w:t>+</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w:t>
            </w:r>
          </w:p>
          <w:p>
            <w:pPr>
              <w:adjustRightInd w:val="0"/>
              <w:snapToGrid w:val="0"/>
              <w:spacing w:line="240" w:lineRule="auto"/>
              <w:ind w:firstLine="0" w:firstLineChars="0"/>
              <w:jc w:val="center"/>
              <w:rPr>
                <w:sz w:val="21"/>
                <w:szCs w:val="21"/>
                <w:highlight w:val="green"/>
              </w:rPr>
            </w:pPr>
            <w:r>
              <w:rPr>
                <w:sz w:val="21"/>
                <w:szCs w:val="21"/>
                <w:highlight w:val="green"/>
              </w:rPr>
              <w:t>GB/T 5750.6-2006   22.1火焰原子吸收分光光度法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原子吸收分光光度计AA2630  JC-18</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0.05mg/L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23</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Na</w:t>
            </w:r>
            <w:r>
              <w:rPr>
                <w:sz w:val="21"/>
                <w:szCs w:val="21"/>
                <w:highlight w:val="green"/>
                <w:vertAlign w:val="superscript"/>
              </w:rPr>
              <w:t>+</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《生活饮用水标准检验方法金属指标》</w:t>
            </w:r>
          </w:p>
          <w:p>
            <w:pPr>
              <w:widowControl/>
              <w:adjustRightInd w:val="0"/>
              <w:snapToGrid w:val="0"/>
              <w:spacing w:line="240" w:lineRule="auto"/>
              <w:ind w:firstLine="0" w:firstLineChars="0"/>
              <w:jc w:val="center"/>
              <w:rPr>
                <w:sz w:val="21"/>
                <w:szCs w:val="21"/>
                <w:highlight w:val="green"/>
              </w:rPr>
            </w:pPr>
            <w:r>
              <w:rPr>
                <w:sz w:val="21"/>
                <w:szCs w:val="21"/>
                <w:highlight w:val="green"/>
              </w:rPr>
              <w:t>GB/T 5750.6-2006   22.1火焰原子吸收分光光度法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原子吸收分光光度计AA2630  JC-18</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0.01mg/L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24</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Ca</w:t>
            </w:r>
            <w:r>
              <w:rPr>
                <w:sz w:val="21"/>
                <w:szCs w:val="21"/>
                <w:highlight w:val="green"/>
                <w:vertAlign w:val="superscript"/>
              </w:rPr>
              <w:t>2+</w:t>
            </w:r>
          </w:p>
        </w:tc>
        <w:tc>
          <w:tcPr>
            <w:tcW w:w="4470" w:type="dxa"/>
            <w:vAlign w:val="center"/>
          </w:tcPr>
          <w:p>
            <w:pPr>
              <w:autoSpaceDE w:val="0"/>
              <w:autoSpaceDN w:val="0"/>
              <w:adjustRightInd w:val="0"/>
              <w:snapToGrid w:val="0"/>
              <w:spacing w:line="240" w:lineRule="auto"/>
              <w:ind w:firstLine="0" w:firstLineChars="0"/>
              <w:jc w:val="center"/>
              <w:rPr>
                <w:sz w:val="21"/>
                <w:szCs w:val="21"/>
                <w:highlight w:val="green"/>
              </w:rPr>
            </w:pPr>
            <w:r>
              <w:rPr>
                <w:sz w:val="21"/>
                <w:szCs w:val="21"/>
                <w:highlight w:val="green"/>
              </w:rPr>
              <w:t>《水质钙和镁的测定原子吸收分光光度法》</w:t>
            </w:r>
          </w:p>
          <w:p>
            <w:pPr>
              <w:autoSpaceDE w:val="0"/>
              <w:autoSpaceDN w:val="0"/>
              <w:adjustRightInd w:val="0"/>
              <w:snapToGrid w:val="0"/>
              <w:spacing w:line="240" w:lineRule="auto"/>
              <w:ind w:firstLine="0" w:firstLineChars="0"/>
              <w:jc w:val="center"/>
              <w:rPr>
                <w:sz w:val="21"/>
                <w:szCs w:val="21"/>
                <w:highlight w:val="green"/>
              </w:rPr>
            </w:pPr>
            <w:r>
              <w:rPr>
                <w:sz w:val="21"/>
                <w:szCs w:val="21"/>
                <w:highlight w:val="green"/>
              </w:rPr>
              <w:t>GB/T 11905-1989</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原子吸收分光光度计AA2630  JC-18</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0.02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25</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Mg</w:t>
            </w:r>
            <w:r>
              <w:rPr>
                <w:sz w:val="21"/>
                <w:szCs w:val="21"/>
                <w:highlight w:val="green"/>
                <w:vertAlign w:val="superscript"/>
              </w:rPr>
              <w:t>2+</w:t>
            </w:r>
          </w:p>
        </w:tc>
        <w:tc>
          <w:tcPr>
            <w:tcW w:w="4470" w:type="dxa"/>
            <w:vAlign w:val="center"/>
          </w:tcPr>
          <w:p>
            <w:pPr>
              <w:autoSpaceDE w:val="0"/>
              <w:autoSpaceDN w:val="0"/>
              <w:adjustRightInd w:val="0"/>
              <w:snapToGrid w:val="0"/>
              <w:spacing w:line="240" w:lineRule="auto"/>
              <w:ind w:firstLine="0" w:firstLineChars="0"/>
              <w:jc w:val="center"/>
              <w:rPr>
                <w:sz w:val="21"/>
                <w:szCs w:val="21"/>
                <w:highlight w:val="green"/>
              </w:rPr>
            </w:pPr>
            <w:r>
              <w:rPr>
                <w:sz w:val="21"/>
                <w:szCs w:val="21"/>
                <w:highlight w:val="green"/>
              </w:rPr>
              <w:t>《水质钙和镁的测定原子吸收分光光度法》</w:t>
            </w:r>
          </w:p>
          <w:p>
            <w:pPr>
              <w:autoSpaceDE w:val="0"/>
              <w:autoSpaceDN w:val="0"/>
              <w:adjustRightInd w:val="0"/>
              <w:snapToGrid w:val="0"/>
              <w:spacing w:line="240" w:lineRule="auto"/>
              <w:ind w:firstLine="0" w:firstLineChars="0"/>
              <w:jc w:val="center"/>
              <w:rPr>
                <w:sz w:val="21"/>
                <w:szCs w:val="21"/>
                <w:highlight w:val="green"/>
              </w:rPr>
            </w:pPr>
            <w:r>
              <w:rPr>
                <w:sz w:val="21"/>
                <w:szCs w:val="21"/>
                <w:highlight w:val="green"/>
              </w:rPr>
              <w:t>GB/T 11905-1989</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原子吸收分光光度计AA2630  JC-18</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0.002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26</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CO</w:t>
            </w:r>
            <w:r>
              <w:rPr>
                <w:sz w:val="21"/>
                <w:szCs w:val="21"/>
                <w:highlight w:val="green"/>
                <w:vertAlign w:val="subscript"/>
              </w:rPr>
              <w:t>3</w:t>
            </w:r>
            <w:r>
              <w:rPr>
                <w:sz w:val="21"/>
                <w:szCs w:val="21"/>
                <w:highlight w:val="green"/>
                <w:vertAlign w:val="superscript"/>
              </w:rPr>
              <w:t>2-</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《地下水质检测方法滴定法测定碳酸根、重碳酸根和氢氧根》DZ/T 0064.49-1993</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25ml   滴定管</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5mg/L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27</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HCO</w:t>
            </w:r>
            <w:r>
              <w:rPr>
                <w:sz w:val="21"/>
                <w:szCs w:val="21"/>
                <w:highlight w:val="green"/>
                <w:vertAlign w:val="subscript"/>
              </w:rPr>
              <w:t>3</w:t>
            </w:r>
            <w:r>
              <w:rPr>
                <w:sz w:val="21"/>
                <w:szCs w:val="21"/>
                <w:highlight w:val="green"/>
                <w:vertAlign w:val="superscript"/>
              </w:rPr>
              <w:t>-</w:t>
            </w:r>
          </w:p>
        </w:tc>
        <w:tc>
          <w:tcPr>
            <w:tcW w:w="4470" w:type="dxa"/>
            <w:vAlign w:val="center"/>
          </w:tcPr>
          <w:p>
            <w:pPr>
              <w:widowControl/>
              <w:adjustRightInd w:val="0"/>
              <w:snapToGrid w:val="0"/>
              <w:spacing w:line="240" w:lineRule="auto"/>
              <w:ind w:firstLine="0" w:firstLineChars="0"/>
              <w:jc w:val="center"/>
              <w:rPr>
                <w:sz w:val="21"/>
                <w:szCs w:val="21"/>
                <w:highlight w:val="green"/>
              </w:rPr>
            </w:pPr>
            <w:r>
              <w:rPr>
                <w:sz w:val="21"/>
                <w:szCs w:val="21"/>
                <w:highlight w:val="green"/>
              </w:rPr>
              <w:t>《地下水质检测方法滴定法测定碳酸根、重碳酸根和氢氧根》DZ/T 0064.49-1993</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25ml   滴定管</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5mg/L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28</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Cl</w:t>
            </w:r>
            <w:r>
              <w:rPr>
                <w:sz w:val="21"/>
                <w:szCs w:val="21"/>
                <w:highlight w:val="green"/>
                <w:vertAlign w:val="superscript"/>
              </w:rPr>
              <w:t>-</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《水质无机阴离子（F</w:t>
            </w:r>
            <w:r>
              <w:rPr>
                <w:sz w:val="21"/>
                <w:szCs w:val="21"/>
                <w:highlight w:val="green"/>
                <w:vertAlign w:val="superscript"/>
              </w:rPr>
              <w:t>-</w:t>
            </w:r>
            <w:r>
              <w:rPr>
                <w:sz w:val="21"/>
                <w:szCs w:val="21"/>
                <w:highlight w:val="green"/>
              </w:rPr>
              <w:t>、Cl</w:t>
            </w:r>
            <w:r>
              <w:rPr>
                <w:sz w:val="21"/>
                <w:szCs w:val="21"/>
                <w:highlight w:val="green"/>
                <w:vertAlign w:val="superscript"/>
              </w:rPr>
              <w:t>-</w:t>
            </w:r>
            <w:r>
              <w:rPr>
                <w:sz w:val="21"/>
                <w:szCs w:val="21"/>
                <w:highlight w:val="green"/>
              </w:rPr>
              <w:t>、NO</w:t>
            </w:r>
            <w:r>
              <w:rPr>
                <w:sz w:val="21"/>
                <w:szCs w:val="21"/>
                <w:highlight w:val="green"/>
                <w:vertAlign w:val="subscript"/>
              </w:rPr>
              <w:t>2</w:t>
            </w:r>
            <w:r>
              <w:rPr>
                <w:sz w:val="21"/>
                <w:szCs w:val="21"/>
                <w:highlight w:val="green"/>
                <w:vertAlign w:val="superscript"/>
              </w:rPr>
              <w:t>-</w:t>
            </w:r>
            <w:r>
              <w:rPr>
                <w:sz w:val="21"/>
                <w:szCs w:val="21"/>
                <w:highlight w:val="green"/>
              </w:rPr>
              <w:t>、Br</w:t>
            </w:r>
            <w:r>
              <w:rPr>
                <w:sz w:val="21"/>
                <w:szCs w:val="21"/>
                <w:highlight w:val="green"/>
                <w:vertAlign w:val="superscript"/>
              </w:rPr>
              <w:t>-</w:t>
            </w:r>
            <w:r>
              <w:rPr>
                <w:sz w:val="21"/>
                <w:szCs w:val="21"/>
                <w:highlight w:val="green"/>
              </w:rPr>
              <w:t>、NO</w:t>
            </w:r>
            <w:r>
              <w:rPr>
                <w:sz w:val="21"/>
                <w:szCs w:val="21"/>
                <w:highlight w:val="green"/>
                <w:vertAlign w:val="subscript"/>
              </w:rPr>
              <w:t>3</w:t>
            </w:r>
            <w:r>
              <w:rPr>
                <w:sz w:val="21"/>
                <w:szCs w:val="21"/>
                <w:highlight w:val="green"/>
                <w:vertAlign w:val="superscript"/>
              </w:rPr>
              <w:t>-</w:t>
            </w:r>
            <w:r>
              <w:rPr>
                <w:sz w:val="21"/>
                <w:szCs w:val="21"/>
                <w:highlight w:val="green"/>
              </w:rPr>
              <w:t>、PO</w:t>
            </w:r>
            <w:r>
              <w:rPr>
                <w:sz w:val="21"/>
                <w:szCs w:val="21"/>
                <w:highlight w:val="green"/>
                <w:vertAlign w:val="subscript"/>
              </w:rPr>
              <w:t>4</w:t>
            </w:r>
            <w:r>
              <w:rPr>
                <w:sz w:val="21"/>
                <w:szCs w:val="21"/>
                <w:highlight w:val="green"/>
                <w:vertAlign w:val="superscript"/>
              </w:rPr>
              <w:t>3-</w:t>
            </w:r>
            <w:r>
              <w:rPr>
                <w:sz w:val="21"/>
                <w:szCs w:val="21"/>
                <w:highlight w:val="green"/>
              </w:rPr>
              <w:t>、SO</w:t>
            </w:r>
            <w:r>
              <w:rPr>
                <w:sz w:val="21"/>
                <w:szCs w:val="21"/>
                <w:highlight w:val="green"/>
                <w:vertAlign w:val="subscript"/>
              </w:rPr>
              <w:t>3</w:t>
            </w:r>
            <w:r>
              <w:rPr>
                <w:sz w:val="21"/>
                <w:szCs w:val="21"/>
                <w:highlight w:val="green"/>
                <w:vertAlign w:val="superscript"/>
              </w:rPr>
              <w:t>2-</w:t>
            </w:r>
            <w:r>
              <w:rPr>
                <w:sz w:val="21"/>
                <w:szCs w:val="21"/>
                <w:highlight w:val="green"/>
              </w:rPr>
              <w:t>、SO</w:t>
            </w:r>
            <w:r>
              <w:rPr>
                <w:sz w:val="21"/>
                <w:szCs w:val="21"/>
                <w:highlight w:val="green"/>
                <w:vertAlign w:val="subscript"/>
              </w:rPr>
              <w:t>4</w:t>
            </w:r>
            <w:r>
              <w:rPr>
                <w:sz w:val="21"/>
                <w:szCs w:val="21"/>
                <w:highlight w:val="green"/>
                <w:vertAlign w:val="superscript"/>
              </w:rPr>
              <w:t>2-</w:t>
            </w:r>
            <w:r>
              <w:rPr>
                <w:sz w:val="21"/>
                <w:szCs w:val="21"/>
                <w:highlight w:val="green"/>
              </w:rPr>
              <w:t>）的测定离子色谱法》  HJ 84-2016</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离子色谱仪</w:t>
            </w:r>
          </w:p>
          <w:p>
            <w:pPr>
              <w:adjustRightInd w:val="0"/>
              <w:snapToGrid w:val="0"/>
              <w:spacing w:line="240" w:lineRule="auto"/>
              <w:ind w:firstLine="0" w:firstLineChars="0"/>
              <w:jc w:val="center"/>
              <w:rPr>
                <w:sz w:val="21"/>
                <w:szCs w:val="21"/>
                <w:highlight w:val="green"/>
              </w:rPr>
            </w:pPr>
            <w:r>
              <w:rPr>
                <w:sz w:val="21"/>
                <w:szCs w:val="21"/>
                <w:highlight w:val="green"/>
              </w:rPr>
              <w:t>CIC-100  JC-14</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0.007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29</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SO</w:t>
            </w:r>
            <w:r>
              <w:rPr>
                <w:sz w:val="21"/>
                <w:szCs w:val="21"/>
                <w:highlight w:val="green"/>
                <w:vertAlign w:val="subscript"/>
              </w:rPr>
              <w:t>4</w:t>
            </w:r>
            <w:r>
              <w:rPr>
                <w:sz w:val="21"/>
                <w:szCs w:val="21"/>
                <w:highlight w:val="green"/>
                <w:vertAlign w:val="superscript"/>
              </w:rPr>
              <w:t>2-</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《水质无机阴离子（F</w:t>
            </w:r>
            <w:r>
              <w:rPr>
                <w:sz w:val="21"/>
                <w:szCs w:val="21"/>
                <w:highlight w:val="green"/>
                <w:vertAlign w:val="superscript"/>
              </w:rPr>
              <w:t>-</w:t>
            </w:r>
            <w:r>
              <w:rPr>
                <w:sz w:val="21"/>
                <w:szCs w:val="21"/>
                <w:highlight w:val="green"/>
              </w:rPr>
              <w:t>、Cl</w:t>
            </w:r>
            <w:r>
              <w:rPr>
                <w:sz w:val="21"/>
                <w:szCs w:val="21"/>
                <w:highlight w:val="green"/>
                <w:vertAlign w:val="superscript"/>
              </w:rPr>
              <w:t>-</w:t>
            </w:r>
            <w:r>
              <w:rPr>
                <w:sz w:val="21"/>
                <w:szCs w:val="21"/>
                <w:highlight w:val="green"/>
              </w:rPr>
              <w:t>、NO</w:t>
            </w:r>
            <w:r>
              <w:rPr>
                <w:sz w:val="21"/>
                <w:szCs w:val="21"/>
                <w:highlight w:val="green"/>
                <w:vertAlign w:val="subscript"/>
              </w:rPr>
              <w:t>2</w:t>
            </w:r>
            <w:r>
              <w:rPr>
                <w:sz w:val="21"/>
                <w:szCs w:val="21"/>
                <w:highlight w:val="green"/>
                <w:vertAlign w:val="superscript"/>
              </w:rPr>
              <w:t>-</w:t>
            </w:r>
            <w:r>
              <w:rPr>
                <w:sz w:val="21"/>
                <w:szCs w:val="21"/>
                <w:highlight w:val="green"/>
              </w:rPr>
              <w:t>、Br</w:t>
            </w:r>
            <w:r>
              <w:rPr>
                <w:sz w:val="21"/>
                <w:szCs w:val="21"/>
                <w:highlight w:val="green"/>
                <w:vertAlign w:val="superscript"/>
              </w:rPr>
              <w:t>-</w:t>
            </w:r>
            <w:r>
              <w:rPr>
                <w:sz w:val="21"/>
                <w:szCs w:val="21"/>
                <w:highlight w:val="green"/>
              </w:rPr>
              <w:t>、NO</w:t>
            </w:r>
            <w:r>
              <w:rPr>
                <w:sz w:val="21"/>
                <w:szCs w:val="21"/>
                <w:highlight w:val="green"/>
                <w:vertAlign w:val="subscript"/>
              </w:rPr>
              <w:t>3</w:t>
            </w:r>
            <w:r>
              <w:rPr>
                <w:sz w:val="21"/>
                <w:szCs w:val="21"/>
                <w:highlight w:val="green"/>
                <w:vertAlign w:val="superscript"/>
              </w:rPr>
              <w:t>-</w:t>
            </w:r>
            <w:r>
              <w:rPr>
                <w:sz w:val="21"/>
                <w:szCs w:val="21"/>
                <w:highlight w:val="green"/>
              </w:rPr>
              <w:t>、PO</w:t>
            </w:r>
            <w:r>
              <w:rPr>
                <w:sz w:val="21"/>
                <w:szCs w:val="21"/>
                <w:highlight w:val="green"/>
                <w:vertAlign w:val="subscript"/>
              </w:rPr>
              <w:t>4</w:t>
            </w:r>
            <w:r>
              <w:rPr>
                <w:sz w:val="21"/>
                <w:szCs w:val="21"/>
                <w:highlight w:val="green"/>
                <w:vertAlign w:val="superscript"/>
              </w:rPr>
              <w:t>3-</w:t>
            </w:r>
            <w:r>
              <w:rPr>
                <w:sz w:val="21"/>
                <w:szCs w:val="21"/>
                <w:highlight w:val="green"/>
              </w:rPr>
              <w:t>、SO</w:t>
            </w:r>
            <w:r>
              <w:rPr>
                <w:sz w:val="21"/>
                <w:szCs w:val="21"/>
                <w:highlight w:val="green"/>
                <w:vertAlign w:val="subscript"/>
              </w:rPr>
              <w:t>3</w:t>
            </w:r>
            <w:r>
              <w:rPr>
                <w:sz w:val="21"/>
                <w:szCs w:val="21"/>
                <w:highlight w:val="green"/>
                <w:vertAlign w:val="superscript"/>
              </w:rPr>
              <w:t>2-</w:t>
            </w:r>
            <w:r>
              <w:rPr>
                <w:sz w:val="21"/>
                <w:szCs w:val="21"/>
                <w:highlight w:val="green"/>
              </w:rPr>
              <w:t>、SO</w:t>
            </w:r>
            <w:r>
              <w:rPr>
                <w:sz w:val="21"/>
                <w:szCs w:val="21"/>
                <w:highlight w:val="green"/>
                <w:vertAlign w:val="subscript"/>
              </w:rPr>
              <w:t>4</w:t>
            </w:r>
            <w:r>
              <w:rPr>
                <w:sz w:val="21"/>
                <w:szCs w:val="21"/>
                <w:highlight w:val="green"/>
                <w:vertAlign w:val="superscript"/>
              </w:rPr>
              <w:t>2-</w:t>
            </w:r>
            <w:r>
              <w:rPr>
                <w:sz w:val="21"/>
                <w:szCs w:val="21"/>
                <w:highlight w:val="green"/>
              </w:rPr>
              <w:t>）的测定离子色谱法》  HJ 84-2016</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离子色谱仪</w:t>
            </w:r>
          </w:p>
          <w:p>
            <w:pPr>
              <w:adjustRightInd w:val="0"/>
              <w:snapToGrid w:val="0"/>
              <w:spacing w:line="240" w:lineRule="auto"/>
              <w:ind w:firstLine="0" w:firstLineChars="0"/>
              <w:jc w:val="center"/>
              <w:rPr>
                <w:sz w:val="21"/>
                <w:szCs w:val="21"/>
                <w:highlight w:val="green"/>
              </w:rPr>
            </w:pPr>
            <w:r>
              <w:rPr>
                <w:sz w:val="21"/>
                <w:szCs w:val="21"/>
                <w:highlight w:val="green"/>
              </w:rPr>
              <w:t>CIC-100  JC-14</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0.018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30</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总大肠杆菌群</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《生活饮用水标准检验方法微生物指标》</w:t>
            </w:r>
          </w:p>
          <w:p>
            <w:pPr>
              <w:adjustRightInd w:val="0"/>
              <w:snapToGrid w:val="0"/>
              <w:spacing w:line="240" w:lineRule="auto"/>
              <w:ind w:firstLine="0" w:firstLineChars="0"/>
              <w:jc w:val="center"/>
              <w:rPr>
                <w:sz w:val="21"/>
                <w:szCs w:val="21"/>
                <w:highlight w:val="green"/>
              </w:rPr>
            </w:pPr>
            <w:r>
              <w:rPr>
                <w:sz w:val="21"/>
                <w:szCs w:val="21"/>
                <w:highlight w:val="green"/>
              </w:rPr>
              <w:t>GB/T 5750.12-2006</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生化培养箱 SPX-150BⅢ JC-03</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32</w:t>
            </w:r>
          </w:p>
        </w:tc>
        <w:tc>
          <w:tcPr>
            <w:tcW w:w="855"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细菌总数</w:t>
            </w:r>
          </w:p>
        </w:tc>
        <w:tc>
          <w:tcPr>
            <w:tcW w:w="44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《生活饮用水标准检验方法微生物指标》</w:t>
            </w:r>
          </w:p>
          <w:p>
            <w:pPr>
              <w:adjustRightInd w:val="0"/>
              <w:snapToGrid w:val="0"/>
              <w:spacing w:line="240" w:lineRule="auto"/>
              <w:ind w:firstLine="0" w:firstLineChars="0"/>
              <w:jc w:val="center"/>
              <w:rPr>
                <w:sz w:val="21"/>
                <w:szCs w:val="21"/>
                <w:highlight w:val="green"/>
              </w:rPr>
            </w:pPr>
            <w:r>
              <w:rPr>
                <w:sz w:val="21"/>
                <w:szCs w:val="21"/>
                <w:highlight w:val="green"/>
              </w:rPr>
              <w:t>GB/T 5750.12-2006       1.1平皿计数法</w:t>
            </w:r>
          </w:p>
        </w:tc>
        <w:tc>
          <w:tcPr>
            <w:tcW w:w="1770"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生化培养箱 SPX-150BⅢ JC-03</w:t>
            </w:r>
          </w:p>
        </w:tc>
        <w:tc>
          <w:tcPr>
            <w:tcW w:w="841" w:type="dxa"/>
            <w:vAlign w:val="center"/>
          </w:tcPr>
          <w:p>
            <w:pPr>
              <w:adjustRightInd w:val="0"/>
              <w:snapToGrid w:val="0"/>
              <w:spacing w:line="240" w:lineRule="auto"/>
              <w:ind w:firstLine="0" w:firstLineChars="0"/>
              <w:jc w:val="center"/>
              <w:rPr>
                <w:sz w:val="21"/>
                <w:szCs w:val="21"/>
                <w:highlight w:val="green"/>
              </w:rPr>
            </w:pPr>
            <w:r>
              <w:rPr>
                <w:sz w:val="21"/>
                <w:szCs w:val="21"/>
                <w:highlight w:val="green"/>
              </w:rPr>
              <w:t>-----</w:t>
            </w:r>
          </w:p>
        </w:tc>
      </w:tr>
    </w:tbl>
    <w:p>
      <w:pPr>
        <w:pStyle w:val="3"/>
        <w:rPr>
          <w:highlight w:val="green"/>
        </w:rPr>
      </w:pPr>
      <w:bookmarkStart w:id="400" w:name="_Toc499740314"/>
      <w:bookmarkStart w:id="401" w:name="_Toc29111"/>
      <w:bookmarkStart w:id="402" w:name="_Toc12318"/>
      <w:bookmarkStart w:id="403" w:name="_Toc20386"/>
      <w:r>
        <w:rPr>
          <w:highlight w:val="green"/>
        </w:rPr>
        <w:t>4.3.</w:t>
      </w:r>
      <w:r>
        <w:rPr>
          <w:rFonts w:hint="eastAsia"/>
          <w:highlight w:val="green"/>
          <w:lang w:val="en-US" w:eastAsia="zh-CN"/>
        </w:rPr>
        <w:t>2</w:t>
      </w:r>
      <w:r>
        <w:rPr>
          <w:highlight w:val="green"/>
        </w:rPr>
        <w:t>.2地下水水质现状监测结果</w:t>
      </w:r>
      <w:bookmarkEnd w:id="400"/>
      <w:bookmarkEnd w:id="401"/>
      <w:bookmarkEnd w:id="402"/>
      <w:bookmarkEnd w:id="403"/>
    </w:p>
    <w:p>
      <w:pPr>
        <w:autoSpaceDE w:val="0"/>
        <w:autoSpaceDN w:val="0"/>
        <w:ind w:firstLine="480"/>
        <w:rPr>
          <w:sz w:val="24"/>
          <w:szCs w:val="24"/>
          <w:highlight w:val="green"/>
        </w:rPr>
      </w:pPr>
      <w:r>
        <w:rPr>
          <w:sz w:val="24"/>
          <w:szCs w:val="24"/>
          <w:highlight w:val="green"/>
        </w:rPr>
        <w:t>评价区地下水水质现状检测结果见表4.3-</w:t>
      </w:r>
      <w:r>
        <w:rPr>
          <w:rFonts w:hint="eastAsia"/>
          <w:sz w:val="24"/>
          <w:szCs w:val="24"/>
          <w:highlight w:val="green"/>
          <w:lang w:val="en-US" w:eastAsia="zh-CN"/>
        </w:rPr>
        <w:t>9</w:t>
      </w:r>
      <w:r>
        <w:rPr>
          <w:sz w:val="24"/>
          <w:szCs w:val="24"/>
          <w:highlight w:val="green"/>
        </w:rPr>
        <w:t>。</w:t>
      </w:r>
    </w:p>
    <w:p>
      <w:pPr>
        <w:spacing w:line="240" w:lineRule="auto"/>
        <w:ind w:firstLine="420"/>
        <w:jc w:val="center"/>
        <w:rPr>
          <w:rFonts w:eastAsia="黑体"/>
          <w:bCs/>
          <w:sz w:val="21"/>
          <w:szCs w:val="21"/>
          <w:highlight w:val="green"/>
        </w:rPr>
      </w:pPr>
      <w:r>
        <w:rPr>
          <w:rFonts w:eastAsia="黑体"/>
          <w:bCs/>
          <w:sz w:val="21"/>
          <w:szCs w:val="21"/>
          <w:highlight w:val="green"/>
        </w:rPr>
        <w:t>表4.3-</w:t>
      </w:r>
      <w:r>
        <w:rPr>
          <w:rFonts w:hint="eastAsia" w:eastAsia="黑体"/>
          <w:bCs/>
          <w:sz w:val="21"/>
          <w:szCs w:val="21"/>
          <w:highlight w:val="green"/>
          <w:lang w:val="en-US" w:eastAsia="zh-CN"/>
        </w:rPr>
        <w:t>9</w:t>
      </w:r>
      <w:r>
        <w:rPr>
          <w:rFonts w:hint="eastAsia" w:eastAsia="黑体"/>
          <w:bCs/>
          <w:sz w:val="21"/>
          <w:szCs w:val="21"/>
          <w:highlight w:val="green"/>
        </w:rPr>
        <w:t xml:space="preserve">  </w:t>
      </w:r>
      <w:r>
        <w:rPr>
          <w:rFonts w:eastAsia="黑体"/>
          <w:bCs/>
          <w:sz w:val="21"/>
          <w:szCs w:val="21"/>
          <w:highlight w:val="green"/>
        </w:rPr>
        <w:t>地下水水质监测结果表单位：mg/L</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1226"/>
        <w:gridCol w:w="1337"/>
        <w:gridCol w:w="1089"/>
        <w:gridCol w:w="1089"/>
        <w:gridCol w:w="1089"/>
        <w:gridCol w:w="1090"/>
        <w:gridCol w:w="1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vMerge w:val="restar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bookmarkStart w:id="404" w:name="_Toc499740315"/>
            <w:bookmarkStart w:id="405" w:name="_Toc16352"/>
            <w:bookmarkStart w:id="406" w:name="_Toc4858"/>
            <w:bookmarkStart w:id="407" w:name="_Toc9979"/>
            <w:r>
              <w:rPr>
                <w:rFonts w:hint="default" w:ascii="Times New Roman" w:hAnsi="Times New Roman" w:eastAsia="宋体" w:cs="Times New Roman"/>
                <w:sz w:val="21"/>
                <w:szCs w:val="21"/>
                <w:highlight w:val="green"/>
              </w:rPr>
              <w:t>序号</w:t>
            </w:r>
          </w:p>
        </w:tc>
        <w:tc>
          <w:tcPr>
            <w:tcW w:w="719" w:type="pct"/>
            <w:vMerge w:val="restar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检测项目</w:t>
            </w:r>
          </w:p>
        </w:tc>
        <w:tc>
          <w:tcPr>
            <w:tcW w:w="784" w:type="pct"/>
            <w:vMerge w:val="restar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单位</w:t>
            </w:r>
          </w:p>
        </w:tc>
        <w:tc>
          <w:tcPr>
            <w:tcW w:w="3197" w:type="pct"/>
            <w:gridSpan w:val="5"/>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检测点位及</w:t>
            </w:r>
            <w:r>
              <w:rPr>
                <w:rFonts w:hint="eastAsia" w:ascii="Times New Roman" w:hAnsi="Times New Roman" w:eastAsia="宋体" w:cs="Times New Roman"/>
                <w:sz w:val="21"/>
                <w:szCs w:val="21"/>
                <w:highlight w:val="green"/>
                <w:lang w:val="en-US" w:eastAsia="zh-CN"/>
              </w:rPr>
              <w:t>采样</w:t>
            </w:r>
            <w:r>
              <w:rPr>
                <w:rFonts w:hint="default" w:ascii="Times New Roman" w:hAnsi="Times New Roman" w:eastAsia="宋体" w:cs="Times New Roman"/>
                <w:sz w:val="21"/>
                <w:szCs w:val="21"/>
                <w:highlight w:val="green"/>
              </w:rPr>
              <w:t>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vMerge w:val="continue"/>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p>
        </w:tc>
        <w:tc>
          <w:tcPr>
            <w:tcW w:w="719" w:type="pct"/>
            <w:vMerge w:val="continue"/>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p>
        </w:tc>
        <w:tc>
          <w:tcPr>
            <w:tcW w:w="784" w:type="pct"/>
            <w:vMerge w:val="continue"/>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p>
        </w:tc>
        <w:tc>
          <w:tcPr>
            <w:tcW w:w="3197" w:type="pct"/>
            <w:gridSpan w:val="5"/>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202</w:t>
            </w:r>
            <w:r>
              <w:rPr>
                <w:rFonts w:hint="eastAsia" w:ascii="Times New Roman" w:hAnsi="Times New Roman" w:eastAsia="宋体" w:cs="Times New Roman"/>
                <w:sz w:val="21"/>
                <w:szCs w:val="21"/>
                <w:highlight w:val="green"/>
                <w:lang w:val="en-US" w:eastAsia="zh-CN"/>
              </w:rPr>
              <w:t>1.8.24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vMerge w:val="continue"/>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p>
        </w:tc>
        <w:tc>
          <w:tcPr>
            <w:tcW w:w="719" w:type="pct"/>
            <w:vMerge w:val="continue"/>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p>
        </w:tc>
        <w:tc>
          <w:tcPr>
            <w:tcW w:w="784" w:type="pct"/>
            <w:vMerge w:val="continue"/>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p>
        </w:tc>
        <w:tc>
          <w:tcPr>
            <w:tcW w:w="639" w:type="pc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郝各庄村潜水层</w:t>
            </w:r>
          </w:p>
        </w:tc>
        <w:tc>
          <w:tcPr>
            <w:tcW w:w="639" w:type="pc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孟家铺村潜水层</w:t>
            </w:r>
          </w:p>
        </w:tc>
        <w:tc>
          <w:tcPr>
            <w:tcW w:w="639" w:type="pc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堡子店村潜水层</w:t>
            </w:r>
          </w:p>
        </w:tc>
        <w:tc>
          <w:tcPr>
            <w:tcW w:w="639" w:type="pc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屈家铺村潜水层</w:t>
            </w:r>
          </w:p>
        </w:tc>
        <w:tc>
          <w:tcPr>
            <w:tcW w:w="639" w:type="pc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贾庄子村潜水层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1</w:t>
            </w:r>
          </w:p>
        </w:tc>
        <w:tc>
          <w:tcPr>
            <w:tcW w:w="719" w:type="pct"/>
            <w:tcBorders>
              <w:top w:val="single" w:color="auto" w:sz="4" w:space="0"/>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pH</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无量纲</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7.21</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7.37</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7.45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7.38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7.11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2</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总硬度</w:t>
            </w:r>
          </w:p>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eastAsia="zh-CN"/>
              </w:rPr>
              <w:t>（以</w:t>
            </w:r>
            <w:r>
              <w:rPr>
                <w:rFonts w:hint="eastAsia" w:ascii="Times New Roman" w:hAnsi="Times New Roman" w:eastAsia="宋体" w:cs="Times New Roman"/>
                <w:sz w:val="21"/>
                <w:szCs w:val="21"/>
                <w:highlight w:val="green"/>
                <w:lang w:val="en-US" w:eastAsia="zh-CN"/>
              </w:rPr>
              <w:t>CaCO</w:t>
            </w:r>
            <w:r>
              <w:rPr>
                <w:rFonts w:hint="eastAsia" w:ascii="Times New Roman" w:hAnsi="Times New Roman" w:eastAsia="宋体" w:cs="Times New Roman"/>
                <w:sz w:val="21"/>
                <w:szCs w:val="21"/>
                <w:highlight w:val="green"/>
                <w:vertAlign w:val="subscript"/>
                <w:lang w:val="en-US" w:eastAsia="zh-CN"/>
              </w:rPr>
              <w:t>3</w:t>
            </w:r>
            <w:r>
              <w:rPr>
                <w:rFonts w:hint="eastAsia" w:ascii="Times New Roman" w:hAnsi="Times New Roman" w:eastAsia="宋体" w:cs="Times New Roman"/>
                <w:sz w:val="21"/>
                <w:szCs w:val="21"/>
                <w:highlight w:val="green"/>
                <w:lang w:val="en-US" w:eastAsia="zh-CN"/>
              </w:rPr>
              <w:t>计</w:t>
            </w:r>
            <w:r>
              <w:rPr>
                <w:rFonts w:hint="eastAsia" w:ascii="Times New Roman" w:hAnsi="Times New Roman" w:eastAsia="宋体" w:cs="Times New Roman"/>
                <w:sz w:val="21"/>
                <w:szCs w:val="21"/>
                <w:highlight w:val="green"/>
                <w:lang w:eastAsia="zh-CN"/>
              </w:rPr>
              <w:t>）</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201</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220</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254</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237</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3</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耗氧量</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0.41</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0.45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0.52</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0.58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4</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溶解性总固体</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215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211</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431</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423</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5</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挥发性酚类</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6</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氨氮</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0.047</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0.035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0.041</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7</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氰化物</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8</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六价铬</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9</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硝酸盐</w:t>
            </w:r>
          </w:p>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（以N计）</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19.5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19.7</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10</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rPr>
            </w:pPr>
            <w:r>
              <w:rPr>
                <w:rFonts w:hint="default" w:ascii="Times New Roman" w:hAnsi="Times New Roman" w:eastAsia="宋体" w:cs="Times New Roman"/>
                <w:sz w:val="21"/>
                <w:szCs w:val="21"/>
                <w:highlight w:val="green"/>
              </w:rPr>
              <w:t>亚硝酸盐</w:t>
            </w:r>
          </w:p>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（以N计）</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0.015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0.014</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0.112</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0.005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11</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CO</w:t>
            </w:r>
            <w:r>
              <w:rPr>
                <w:rFonts w:hint="default" w:ascii="Times New Roman" w:hAnsi="Times New Roman" w:eastAsia="宋体" w:cs="Times New Roman"/>
                <w:sz w:val="21"/>
                <w:szCs w:val="21"/>
                <w:highlight w:val="green"/>
                <w:vertAlign w:val="subscript"/>
              </w:rPr>
              <w:t>3</w:t>
            </w:r>
            <w:r>
              <w:rPr>
                <w:rFonts w:hint="default" w:ascii="Times New Roman" w:hAnsi="Times New Roman" w:eastAsia="宋体" w:cs="Times New Roman"/>
                <w:sz w:val="21"/>
                <w:szCs w:val="21"/>
                <w:highlight w:val="green"/>
                <w:vertAlign w:val="superscript"/>
              </w:rPr>
              <w:t>2-</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12</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HCO</w:t>
            </w:r>
            <w:r>
              <w:rPr>
                <w:rFonts w:hint="default" w:ascii="Times New Roman" w:hAnsi="Times New Roman" w:eastAsia="宋体" w:cs="Times New Roman"/>
                <w:sz w:val="21"/>
                <w:szCs w:val="21"/>
                <w:highlight w:val="green"/>
                <w:vertAlign w:val="subscript"/>
              </w:rPr>
              <w:t>3</w:t>
            </w:r>
            <w:r>
              <w:rPr>
                <w:rFonts w:hint="default" w:ascii="Times New Roman" w:hAnsi="Times New Roman" w:eastAsia="宋体" w:cs="Times New Roman"/>
                <w:sz w:val="21"/>
                <w:szCs w:val="21"/>
                <w:highlight w:val="green"/>
                <w:vertAlign w:val="superscript"/>
              </w:rPr>
              <w:t>-</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114</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159</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13</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氟化物</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0.56</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0.57</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0.16</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0.16</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14</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Cl</w:t>
            </w:r>
            <w:r>
              <w:rPr>
                <w:rFonts w:hint="default" w:ascii="Times New Roman" w:hAnsi="Times New Roman" w:eastAsia="宋体" w:cs="Times New Roman"/>
                <w:sz w:val="21"/>
                <w:szCs w:val="21"/>
                <w:highlight w:val="green"/>
                <w:vertAlign w:val="superscript"/>
              </w:rPr>
              <w:t>-</w:t>
            </w:r>
            <w:r>
              <w:rPr>
                <w:rFonts w:hint="default" w:ascii="Times New Roman" w:hAnsi="Times New Roman" w:eastAsia="宋体" w:cs="Times New Roman"/>
                <w:sz w:val="21"/>
                <w:szCs w:val="21"/>
                <w:highlight w:val="green"/>
              </w:rPr>
              <w:t>/氯化物</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28.3</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29.4</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33.6</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 xml:space="preserve">33.0 </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15</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SO</w:t>
            </w:r>
            <w:r>
              <w:rPr>
                <w:rFonts w:hint="default" w:ascii="Times New Roman" w:hAnsi="Times New Roman" w:eastAsia="宋体" w:cs="Times New Roman"/>
                <w:sz w:val="21"/>
                <w:szCs w:val="21"/>
                <w:highlight w:val="green"/>
                <w:vertAlign w:val="subscript"/>
              </w:rPr>
              <w:t>4</w:t>
            </w:r>
            <w:r>
              <w:rPr>
                <w:rFonts w:hint="default" w:ascii="Times New Roman" w:hAnsi="Times New Roman" w:eastAsia="宋体" w:cs="Times New Roman"/>
                <w:sz w:val="21"/>
                <w:szCs w:val="21"/>
                <w:highlight w:val="green"/>
                <w:vertAlign w:val="superscript"/>
              </w:rPr>
              <w:t>2-</w:t>
            </w:r>
            <w:r>
              <w:rPr>
                <w:rFonts w:hint="default" w:ascii="Times New Roman" w:hAnsi="Times New Roman" w:eastAsia="宋体" w:cs="Times New Roman"/>
                <w:sz w:val="21"/>
                <w:szCs w:val="21"/>
                <w:highlight w:val="green"/>
              </w:rPr>
              <w:t>/硫酸盐</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101</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138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123</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16</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菌落总数</w:t>
            </w:r>
            <w:r>
              <w:rPr>
                <w:rFonts w:hint="default" w:ascii="Times New Roman" w:hAnsi="Times New Roman" w:eastAsia="宋体" w:cs="Times New Roman"/>
                <w:sz w:val="21"/>
                <w:szCs w:val="21"/>
                <w:highlight w:val="green"/>
                <w:lang w:val="en-US" w:eastAsia="zh-CN"/>
              </w:rPr>
              <w:t>*</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CFU/mL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43</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50</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36</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56</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17</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总大肠菌群</w:t>
            </w:r>
            <w:r>
              <w:rPr>
                <w:rFonts w:hint="default" w:ascii="Times New Roman" w:hAnsi="Times New Roman" w:eastAsia="宋体" w:cs="Times New Roman"/>
                <w:sz w:val="21"/>
                <w:szCs w:val="21"/>
                <w:highlight w:val="green"/>
                <w:lang w:val="en-US" w:eastAsia="zh-CN"/>
              </w:rPr>
              <w:t>*</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MPN/100mL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&lt;</w:t>
            </w:r>
            <w:r>
              <w:rPr>
                <w:rFonts w:hint="eastAsia" w:ascii="Times New Roman" w:hAnsi="Times New Roman" w:eastAsia="宋体" w:cs="Times New Roman"/>
                <w:sz w:val="21"/>
                <w:szCs w:val="21"/>
                <w:highlight w:val="green"/>
                <w:lang w:val="en-US" w:eastAsia="zh-CN"/>
              </w:rPr>
              <w:t>2</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&lt;</w:t>
            </w:r>
            <w:r>
              <w:rPr>
                <w:rFonts w:hint="eastAsia" w:ascii="Times New Roman" w:hAnsi="Times New Roman" w:eastAsia="宋体" w:cs="Times New Roman"/>
                <w:sz w:val="21"/>
                <w:szCs w:val="21"/>
                <w:highlight w:val="green"/>
                <w:lang w:val="en-US" w:eastAsia="zh-CN"/>
              </w:rPr>
              <w:t>2</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&lt;</w:t>
            </w:r>
            <w:r>
              <w:rPr>
                <w:rFonts w:hint="eastAsia" w:ascii="Times New Roman" w:hAnsi="Times New Roman" w:eastAsia="宋体" w:cs="Times New Roman"/>
                <w:sz w:val="21"/>
                <w:szCs w:val="21"/>
                <w:highlight w:val="green"/>
                <w:lang w:val="en-US" w:eastAsia="zh-CN"/>
              </w:rPr>
              <w:t>2</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&lt;</w:t>
            </w:r>
            <w:r>
              <w:rPr>
                <w:rFonts w:hint="eastAsia" w:ascii="Times New Roman" w:hAnsi="Times New Roman" w:eastAsia="宋体" w:cs="Times New Roman"/>
                <w:sz w:val="21"/>
                <w:szCs w:val="21"/>
                <w:highlight w:val="green"/>
                <w:lang w:val="en-US" w:eastAsia="zh-CN"/>
              </w:rPr>
              <w:t>2</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lang w:val="en-US" w:eastAsia="zh-CN"/>
              </w:rPr>
              <w:t>&lt;</w:t>
            </w:r>
            <w:r>
              <w:rPr>
                <w:rFonts w:hint="eastAsia" w:ascii="Times New Roman" w:hAnsi="Times New Roman" w:eastAsia="宋体" w:cs="Times New Roman"/>
                <w:sz w:val="21"/>
                <w:szCs w:val="21"/>
                <w:highlight w:val="gree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18</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石油类</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19</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K</w:t>
            </w:r>
            <w:r>
              <w:rPr>
                <w:rFonts w:hint="default" w:ascii="Times New Roman" w:hAnsi="Times New Roman" w:eastAsia="宋体" w:cs="Times New Roman"/>
                <w:sz w:val="21"/>
                <w:szCs w:val="21"/>
                <w:highlight w:val="green"/>
                <w:vertAlign w:val="superscript"/>
              </w:rPr>
              <w:t>+</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1.43</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0.91</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0.92</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0.98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20</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Na</w:t>
            </w:r>
            <w:r>
              <w:rPr>
                <w:rFonts w:hint="default" w:ascii="Times New Roman" w:hAnsi="Times New Roman" w:eastAsia="宋体" w:cs="Times New Roman"/>
                <w:sz w:val="21"/>
                <w:szCs w:val="21"/>
                <w:highlight w:val="green"/>
                <w:vertAlign w:val="superscript"/>
              </w:rPr>
              <w:t>+</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11.8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20.7</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20.9</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20.5</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21</w:t>
            </w:r>
          </w:p>
        </w:tc>
        <w:tc>
          <w:tcPr>
            <w:tcW w:w="71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Ca</w:t>
            </w:r>
            <w:r>
              <w:rPr>
                <w:rFonts w:hint="default" w:ascii="Times New Roman" w:hAnsi="Times New Roman" w:eastAsia="宋体" w:cs="Times New Roman"/>
                <w:sz w:val="21"/>
                <w:szCs w:val="21"/>
                <w:highlight w:val="green"/>
                <w:vertAlign w:val="superscript"/>
              </w:rPr>
              <w:t>2+</w:t>
            </w:r>
          </w:p>
        </w:tc>
        <w:tc>
          <w:tcPr>
            <w:tcW w:w="784" w:type="pct"/>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default" w:ascii="Times New Roman" w:hAnsi="Times New Roman" w:eastAsia="宋体" w:cs="Times New Roman"/>
                <w:sz w:val="21"/>
                <w:szCs w:val="21"/>
                <w:highlight w:val="green"/>
              </w:rPr>
              <w:t>mg/L</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29.8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25.8</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26.0</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26.2</w:t>
            </w:r>
          </w:p>
        </w:tc>
        <w:tc>
          <w:tcPr>
            <w:tcW w:w="639" w:type="pct"/>
            <w:tcBorders>
              <w:left w:val="single" w:color="auto" w:sz="4" w:space="0"/>
              <w:right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sz w:val="21"/>
                <w:szCs w:val="21"/>
                <w:highlight w:val="green"/>
                <w:lang w:val="en-US" w:eastAsia="zh-CN"/>
              </w:rPr>
            </w:pPr>
            <w:r>
              <w:rPr>
                <w:rFonts w:hint="eastAsia" w:ascii="Times New Roman" w:hAnsi="Times New Roman" w:eastAsia="宋体" w:cs="Times New Roman"/>
                <w:sz w:val="21"/>
                <w:szCs w:val="21"/>
                <w:highlight w:val="green"/>
                <w:lang w:val="en-US" w:eastAsia="zh-CN"/>
              </w:rPr>
              <w:t>29.4</w:t>
            </w:r>
          </w:p>
        </w:tc>
      </w:tr>
    </w:tbl>
    <w:p>
      <w:pPr>
        <w:ind w:firstLine="422"/>
        <w:rPr>
          <w:b/>
          <w:sz w:val="21"/>
          <w:szCs w:val="21"/>
          <w:highlight w:val="green"/>
        </w:rPr>
      </w:pPr>
      <w:r>
        <w:rPr>
          <w:b/>
          <w:sz w:val="21"/>
          <w:szCs w:val="21"/>
          <w:highlight w:val="green"/>
        </w:rPr>
        <w:t>注：ND表示未检出。</w:t>
      </w:r>
      <w:bookmarkEnd w:id="404"/>
    </w:p>
    <w:bookmarkEnd w:id="405"/>
    <w:bookmarkEnd w:id="406"/>
    <w:bookmarkEnd w:id="407"/>
    <w:p>
      <w:pPr>
        <w:pStyle w:val="3"/>
        <w:rPr>
          <w:highlight w:val="green"/>
        </w:rPr>
      </w:pPr>
      <w:bookmarkStart w:id="408" w:name="_Toc8566"/>
      <w:bookmarkStart w:id="409" w:name="_Toc499740317"/>
      <w:bookmarkStart w:id="410" w:name="_Toc4965"/>
      <w:bookmarkStart w:id="411" w:name="_Toc8045"/>
      <w:r>
        <w:rPr>
          <w:highlight w:val="green"/>
        </w:rPr>
        <w:t>4.3.3.</w:t>
      </w:r>
      <w:r>
        <w:rPr>
          <w:rFonts w:hint="eastAsia"/>
          <w:highlight w:val="green"/>
          <w:lang w:val="en-US" w:eastAsia="zh-CN"/>
        </w:rPr>
        <w:t>3</w:t>
      </w:r>
      <w:r>
        <w:rPr>
          <w:highlight w:val="green"/>
        </w:rPr>
        <w:t>评价区地下水质量现状评价结果分析</w:t>
      </w:r>
      <w:bookmarkEnd w:id="408"/>
      <w:bookmarkEnd w:id="409"/>
      <w:bookmarkEnd w:id="410"/>
      <w:bookmarkEnd w:id="411"/>
    </w:p>
    <w:p>
      <w:pPr>
        <w:ind w:firstLine="480"/>
        <w:rPr>
          <w:sz w:val="24"/>
          <w:szCs w:val="24"/>
          <w:highlight w:val="green"/>
        </w:rPr>
      </w:pPr>
      <w:r>
        <w:rPr>
          <w:sz w:val="24"/>
          <w:szCs w:val="24"/>
          <w:highlight w:val="green"/>
        </w:rPr>
        <w:t>由评价结果可知，监测地下水水质点各项监测指标均能满足《地下水质量标准》（GB/T14848-2017）III类水质标准</w:t>
      </w:r>
      <w:r>
        <w:rPr>
          <w:rFonts w:hint="eastAsia"/>
          <w:sz w:val="24"/>
          <w:szCs w:val="24"/>
          <w:highlight w:val="green"/>
        </w:rPr>
        <w:t>及《地表水环境质量标准》（GB3838-2002）（石油类）III类标准</w:t>
      </w:r>
      <w:r>
        <w:rPr>
          <w:sz w:val="24"/>
          <w:szCs w:val="24"/>
          <w:highlight w:val="green"/>
        </w:rPr>
        <w:t>。因此，总体来说评价区地下水水质现状良好。</w:t>
      </w:r>
    </w:p>
    <w:p>
      <w:pPr>
        <w:pStyle w:val="6"/>
        <w:numPr>
          <w:ilvl w:val="2"/>
          <w:numId w:val="1"/>
        </w:numPr>
        <w:spacing w:before="0" w:after="0"/>
        <w:ind w:left="567"/>
        <w:rPr>
          <w:szCs w:val="28"/>
          <w:highlight w:val="green"/>
        </w:rPr>
      </w:pPr>
      <w:bookmarkStart w:id="412" w:name="_Toc521591788"/>
      <w:bookmarkStart w:id="413" w:name="_Toc25557"/>
      <w:r>
        <w:rPr>
          <w:szCs w:val="28"/>
          <w:highlight w:val="green"/>
        </w:rPr>
        <w:t>噪声</w:t>
      </w:r>
      <w:bookmarkEnd w:id="412"/>
      <w:bookmarkEnd w:id="413"/>
    </w:p>
    <w:p>
      <w:pPr>
        <w:ind w:firstLine="480"/>
        <w:jc w:val="both"/>
        <w:rPr>
          <w:sz w:val="24"/>
          <w:highlight w:val="green"/>
        </w:rPr>
      </w:pPr>
      <w:r>
        <w:rPr>
          <w:sz w:val="24"/>
          <w:highlight w:val="green"/>
        </w:rPr>
        <w:t>为了解项目厂界噪声现状，委</w:t>
      </w:r>
      <w:r>
        <w:rPr>
          <w:sz w:val="24"/>
          <w:szCs w:val="22"/>
          <w:highlight w:val="green"/>
        </w:rPr>
        <w:t>托河北德盛检测技术有限公司对</w:t>
      </w:r>
      <w:r>
        <w:rPr>
          <w:sz w:val="24"/>
          <w:highlight w:val="green"/>
        </w:rPr>
        <w:t>本项目</w:t>
      </w:r>
      <w:r>
        <w:rPr>
          <w:rFonts w:hint="eastAsia"/>
          <w:sz w:val="24"/>
          <w:highlight w:val="green"/>
        </w:rPr>
        <w:t>南北厂区</w:t>
      </w:r>
      <w:r>
        <w:rPr>
          <w:sz w:val="24"/>
          <w:highlight w:val="green"/>
        </w:rPr>
        <w:t>厂界现状进行了监测。</w:t>
      </w:r>
    </w:p>
    <w:p>
      <w:pPr>
        <w:adjustRightInd w:val="0"/>
        <w:snapToGrid w:val="0"/>
        <w:ind w:firstLine="480"/>
        <w:jc w:val="both"/>
        <w:textAlignment w:val="auto"/>
        <w:rPr>
          <w:kern w:val="2"/>
          <w:sz w:val="24"/>
          <w:szCs w:val="24"/>
          <w:highlight w:val="green"/>
        </w:rPr>
      </w:pPr>
      <w:r>
        <w:rPr>
          <w:kern w:val="2"/>
          <w:sz w:val="24"/>
          <w:szCs w:val="24"/>
          <w:highlight w:val="green"/>
        </w:rPr>
        <w:t>（1）监测布点：根据本项目周围的环境现状，在项目</w:t>
      </w:r>
      <w:r>
        <w:rPr>
          <w:rFonts w:hint="eastAsia"/>
          <w:kern w:val="2"/>
          <w:sz w:val="24"/>
          <w:szCs w:val="24"/>
          <w:highlight w:val="green"/>
        </w:rPr>
        <w:t>南北厂区</w:t>
      </w:r>
      <w:r>
        <w:rPr>
          <w:kern w:val="2"/>
          <w:sz w:val="24"/>
          <w:szCs w:val="24"/>
          <w:highlight w:val="green"/>
        </w:rPr>
        <w:t>用地范围边界</w:t>
      </w:r>
      <w:r>
        <w:rPr>
          <w:rFonts w:hint="eastAsia"/>
          <w:kern w:val="2"/>
          <w:sz w:val="24"/>
          <w:szCs w:val="24"/>
          <w:highlight w:val="green"/>
        </w:rPr>
        <w:t>各</w:t>
      </w:r>
      <w:r>
        <w:rPr>
          <w:kern w:val="2"/>
          <w:sz w:val="24"/>
          <w:szCs w:val="24"/>
          <w:highlight w:val="green"/>
        </w:rPr>
        <w:t>布设4个噪声监测点。</w:t>
      </w:r>
    </w:p>
    <w:p>
      <w:pPr>
        <w:adjustRightInd w:val="0"/>
        <w:snapToGrid w:val="0"/>
        <w:ind w:firstLine="480"/>
        <w:jc w:val="both"/>
        <w:textAlignment w:val="auto"/>
        <w:rPr>
          <w:kern w:val="2"/>
          <w:sz w:val="24"/>
          <w:szCs w:val="24"/>
          <w:highlight w:val="green"/>
        </w:rPr>
      </w:pPr>
      <w:r>
        <w:rPr>
          <w:kern w:val="2"/>
          <w:sz w:val="24"/>
          <w:szCs w:val="24"/>
          <w:highlight w:val="green"/>
        </w:rPr>
        <w:t>（2）监测项目：等效连续A声级</w:t>
      </w:r>
      <w:r>
        <w:rPr>
          <w:i/>
          <w:kern w:val="2"/>
          <w:sz w:val="24"/>
          <w:szCs w:val="24"/>
          <w:highlight w:val="green"/>
        </w:rPr>
        <w:t>L</w:t>
      </w:r>
      <w:r>
        <w:rPr>
          <w:kern w:val="2"/>
          <w:sz w:val="24"/>
          <w:szCs w:val="24"/>
          <w:highlight w:val="green"/>
          <w:vertAlign w:val="subscript"/>
        </w:rPr>
        <w:t>eq</w:t>
      </w:r>
      <w:r>
        <w:rPr>
          <w:kern w:val="2"/>
          <w:sz w:val="24"/>
          <w:szCs w:val="24"/>
          <w:highlight w:val="green"/>
        </w:rPr>
        <w:t>。</w:t>
      </w:r>
    </w:p>
    <w:p>
      <w:pPr>
        <w:adjustRightInd w:val="0"/>
        <w:snapToGrid w:val="0"/>
        <w:ind w:firstLine="480"/>
        <w:jc w:val="both"/>
        <w:textAlignment w:val="auto"/>
        <w:rPr>
          <w:kern w:val="2"/>
          <w:sz w:val="24"/>
          <w:szCs w:val="24"/>
          <w:highlight w:val="green"/>
        </w:rPr>
      </w:pPr>
      <w:r>
        <w:rPr>
          <w:kern w:val="2"/>
          <w:sz w:val="24"/>
          <w:szCs w:val="24"/>
          <w:highlight w:val="green"/>
        </w:rPr>
        <w:t>（3）监测方法：采用点测法，按照《声环境质量标准》（GB3096-2008）中的相关要求。</w:t>
      </w:r>
    </w:p>
    <w:p>
      <w:pPr>
        <w:ind w:firstLine="480"/>
        <w:jc w:val="both"/>
        <w:rPr>
          <w:sz w:val="24"/>
          <w:highlight w:val="green"/>
        </w:rPr>
      </w:pPr>
      <w:r>
        <w:rPr>
          <w:kern w:val="2"/>
          <w:sz w:val="24"/>
          <w:szCs w:val="24"/>
          <w:highlight w:val="green"/>
        </w:rPr>
        <w:t>（4）监测时间：</w:t>
      </w:r>
      <w:r>
        <w:rPr>
          <w:sz w:val="24"/>
          <w:highlight w:val="green"/>
        </w:rPr>
        <w:t>厂界环境质量噪声监测时间为20</w:t>
      </w:r>
      <w:r>
        <w:rPr>
          <w:rFonts w:hint="eastAsia"/>
          <w:sz w:val="24"/>
          <w:highlight w:val="green"/>
        </w:rPr>
        <w:t>21</w:t>
      </w:r>
      <w:r>
        <w:rPr>
          <w:sz w:val="24"/>
          <w:highlight w:val="green"/>
        </w:rPr>
        <w:t>年</w:t>
      </w:r>
      <w:r>
        <w:rPr>
          <w:rFonts w:hint="eastAsia"/>
          <w:sz w:val="24"/>
          <w:highlight w:val="green"/>
        </w:rPr>
        <w:t>5</w:t>
      </w:r>
      <w:r>
        <w:rPr>
          <w:sz w:val="24"/>
          <w:highlight w:val="green"/>
        </w:rPr>
        <w:t>月1</w:t>
      </w:r>
      <w:r>
        <w:rPr>
          <w:rFonts w:hint="eastAsia"/>
          <w:sz w:val="24"/>
          <w:highlight w:val="green"/>
        </w:rPr>
        <w:t>8</w:t>
      </w:r>
      <w:r>
        <w:rPr>
          <w:sz w:val="24"/>
          <w:highlight w:val="green"/>
        </w:rPr>
        <w:t>日~</w:t>
      </w:r>
      <w:r>
        <w:rPr>
          <w:rFonts w:hint="eastAsia"/>
          <w:sz w:val="24"/>
          <w:highlight w:val="green"/>
        </w:rPr>
        <w:t>5</w:t>
      </w:r>
      <w:r>
        <w:rPr>
          <w:sz w:val="24"/>
          <w:highlight w:val="green"/>
        </w:rPr>
        <w:t>月1</w:t>
      </w:r>
      <w:r>
        <w:rPr>
          <w:rFonts w:hint="eastAsia"/>
          <w:sz w:val="24"/>
          <w:highlight w:val="green"/>
        </w:rPr>
        <w:t>9</w:t>
      </w:r>
      <w:r>
        <w:rPr>
          <w:sz w:val="24"/>
          <w:highlight w:val="green"/>
        </w:rPr>
        <w:t>日，测量两天，每天昼、夜各监测一次。</w:t>
      </w:r>
      <w:r>
        <w:rPr>
          <w:kern w:val="2"/>
          <w:sz w:val="24"/>
          <w:szCs w:val="24"/>
          <w:highlight w:val="green"/>
        </w:rPr>
        <w:t>监测时段：昼间06：00~22：00，夜间22：00~06：00。</w:t>
      </w:r>
    </w:p>
    <w:p>
      <w:pPr>
        <w:adjustRightInd w:val="0"/>
        <w:snapToGrid w:val="0"/>
        <w:ind w:firstLine="480"/>
        <w:jc w:val="both"/>
        <w:textAlignment w:val="auto"/>
        <w:rPr>
          <w:kern w:val="2"/>
          <w:sz w:val="24"/>
          <w:szCs w:val="24"/>
          <w:highlight w:val="green"/>
        </w:rPr>
      </w:pPr>
      <w:r>
        <w:rPr>
          <w:kern w:val="2"/>
          <w:sz w:val="24"/>
          <w:szCs w:val="24"/>
          <w:highlight w:val="green"/>
        </w:rPr>
        <w:t>（5）监测环境条件：无雨雪、无雷电天气，风速小于5.0m/s。</w:t>
      </w:r>
    </w:p>
    <w:p>
      <w:pPr>
        <w:adjustRightInd w:val="0"/>
        <w:snapToGrid w:val="0"/>
        <w:ind w:firstLine="480"/>
        <w:jc w:val="both"/>
        <w:textAlignment w:val="auto"/>
        <w:rPr>
          <w:kern w:val="2"/>
          <w:sz w:val="24"/>
          <w:szCs w:val="24"/>
          <w:highlight w:val="green"/>
        </w:rPr>
      </w:pPr>
      <w:r>
        <w:rPr>
          <w:kern w:val="2"/>
          <w:sz w:val="24"/>
          <w:szCs w:val="24"/>
          <w:highlight w:val="green"/>
        </w:rPr>
        <w:t>（6）监测仪器：</w:t>
      </w:r>
      <w:r>
        <w:rPr>
          <w:rFonts w:hint="eastAsia"/>
          <w:kern w:val="2"/>
          <w:sz w:val="24"/>
          <w:szCs w:val="24"/>
          <w:highlight w:val="green"/>
        </w:rPr>
        <w:t>AWA5688/多功能声级计</w:t>
      </w:r>
      <w:r>
        <w:rPr>
          <w:kern w:val="2"/>
          <w:sz w:val="24"/>
          <w:szCs w:val="24"/>
          <w:highlight w:val="green"/>
        </w:rPr>
        <w:t>。</w:t>
      </w:r>
    </w:p>
    <w:p>
      <w:pPr>
        <w:adjustRightInd w:val="0"/>
        <w:snapToGrid w:val="0"/>
        <w:ind w:firstLine="480"/>
        <w:jc w:val="both"/>
        <w:textAlignment w:val="auto"/>
        <w:rPr>
          <w:kern w:val="2"/>
          <w:sz w:val="24"/>
          <w:szCs w:val="24"/>
          <w:highlight w:val="green"/>
        </w:rPr>
      </w:pPr>
      <w:r>
        <w:rPr>
          <w:kern w:val="2"/>
          <w:sz w:val="24"/>
          <w:szCs w:val="24"/>
          <w:highlight w:val="green"/>
        </w:rPr>
        <w:t>（7）监测结果及分析：监测结果见表4.3-</w:t>
      </w:r>
      <w:r>
        <w:rPr>
          <w:rFonts w:hint="eastAsia"/>
          <w:kern w:val="2"/>
          <w:sz w:val="24"/>
          <w:szCs w:val="24"/>
          <w:highlight w:val="green"/>
          <w:lang w:val="en-US" w:eastAsia="zh-CN"/>
        </w:rPr>
        <w:t>10</w:t>
      </w:r>
      <w:r>
        <w:rPr>
          <w:kern w:val="2"/>
          <w:sz w:val="24"/>
          <w:szCs w:val="24"/>
          <w:highlight w:val="green"/>
        </w:rPr>
        <w:t>。</w:t>
      </w:r>
    </w:p>
    <w:p>
      <w:pPr>
        <w:adjustRightInd w:val="0"/>
        <w:snapToGrid w:val="0"/>
        <w:spacing w:line="240" w:lineRule="auto"/>
        <w:ind w:firstLine="0" w:firstLineChars="0"/>
        <w:jc w:val="center"/>
        <w:textAlignment w:val="auto"/>
        <w:rPr>
          <w:rFonts w:eastAsia="黑体"/>
          <w:bCs/>
          <w:kern w:val="2"/>
          <w:sz w:val="21"/>
          <w:highlight w:val="green"/>
        </w:rPr>
      </w:pPr>
      <w:r>
        <w:rPr>
          <w:rFonts w:eastAsia="黑体"/>
          <w:bCs/>
          <w:kern w:val="2"/>
          <w:sz w:val="21"/>
          <w:highlight w:val="green"/>
        </w:rPr>
        <w:t>表4.3-</w:t>
      </w:r>
      <w:r>
        <w:rPr>
          <w:rFonts w:hint="eastAsia" w:eastAsia="黑体"/>
          <w:bCs/>
          <w:kern w:val="2"/>
          <w:sz w:val="21"/>
          <w:highlight w:val="green"/>
          <w:lang w:val="en-US" w:eastAsia="zh-CN"/>
        </w:rPr>
        <w:t>10</w:t>
      </w:r>
      <w:r>
        <w:rPr>
          <w:rFonts w:hint="eastAsia" w:eastAsia="黑体"/>
          <w:bCs/>
          <w:kern w:val="2"/>
          <w:sz w:val="21"/>
          <w:highlight w:val="green"/>
        </w:rPr>
        <w:t xml:space="preserve">  </w:t>
      </w:r>
      <w:r>
        <w:rPr>
          <w:rFonts w:eastAsia="黑体"/>
          <w:bCs/>
          <w:kern w:val="2"/>
          <w:sz w:val="21"/>
          <w:highlight w:val="green"/>
        </w:rPr>
        <w:t>项目声环境质量现状监测结果单位：dB(A)</w:t>
      </w:r>
    </w:p>
    <w:tbl>
      <w:tblPr>
        <w:tblStyle w:val="48"/>
        <w:tblW w:w="4829"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598"/>
        <w:gridCol w:w="1323"/>
        <w:gridCol w:w="1001"/>
        <w:gridCol w:w="1087"/>
        <w:gridCol w:w="850"/>
        <w:gridCol w:w="855"/>
        <w:gridCol w:w="850"/>
        <w:gridCol w:w="85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编号</w:t>
            </w:r>
          </w:p>
        </w:tc>
        <w:tc>
          <w:tcPr>
            <w:tcW w:w="1166" w:type="pct"/>
            <w:gridSpan w:val="2"/>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监测点位置</w:t>
            </w:r>
          </w:p>
        </w:tc>
        <w:tc>
          <w:tcPr>
            <w:tcW w:w="1268" w:type="pct"/>
            <w:gridSpan w:val="2"/>
            <w:vMerge w:val="restart"/>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监测值</w:t>
            </w:r>
          </w:p>
        </w:tc>
        <w:tc>
          <w:tcPr>
            <w:tcW w:w="1035" w:type="pct"/>
            <w:gridSpan w:val="2"/>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标准值</w:t>
            </w:r>
          </w:p>
        </w:tc>
        <w:tc>
          <w:tcPr>
            <w:tcW w:w="1032" w:type="pct"/>
            <w:gridSpan w:val="2"/>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达标情况</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p>
        </w:tc>
        <w:tc>
          <w:tcPr>
            <w:tcW w:w="1166" w:type="pct"/>
            <w:gridSpan w:val="2"/>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p>
        </w:tc>
        <w:tc>
          <w:tcPr>
            <w:tcW w:w="1268" w:type="pct"/>
            <w:gridSpan w:val="2"/>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p>
        </w:tc>
        <w:tc>
          <w:tcPr>
            <w:tcW w:w="51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昼间</w:t>
            </w:r>
          </w:p>
        </w:tc>
        <w:tc>
          <w:tcPr>
            <w:tcW w:w="519"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夜间</w:t>
            </w:r>
          </w:p>
        </w:tc>
        <w:tc>
          <w:tcPr>
            <w:tcW w:w="51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昼间</w:t>
            </w:r>
          </w:p>
        </w:tc>
        <w:tc>
          <w:tcPr>
            <w:tcW w:w="51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夜间</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1166" w:type="pct"/>
            <w:gridSpan w:val="2"/>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昼间</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green"/>
              </w:rPr>
            </w:pPr>
            <w:r>
              <w:rPr>
                <w:b/>
                <w:kern w:val="2"/>
                <w:sz w:val="21"/>
                <w:szCs w:val="21"/>
                <w:highlight w:val="green"/>
              </w:rPr>
              <w:t>夜间</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1#</w:t>
            </w:r>
          </w:p>
        </w:tc>
        <w:tc>
          <w:tcPr>
            <w:tcW w:w="363" w:type="pct"/>
            <w:vMerge w:val="restart"/>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南厂区</w:t>
            </w: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东厂界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57.</w:t>
            </w:r>
            <w:r>
              <w:rPr>
                <w:rFonts w:hint="eastAsia"/>
                <w:kern w:val="2"/>
                <w:sz w:val="21"/>
                <w:szCs w:val="21"/>
                <w:highlight w:val="green"/>
              </w:rPr>
              <w:t>2</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4</w:t>
            </w:r>
            <w:r>
              <w:rPr>
                <w:rFonts w:hint="eastAsia"/>
                <w:kern w:val="2"/>
                <w:sz w:val="21"/>
                <w:szCs w:val="21"/>
                <w:highlight w:val="green"/>
              </w:rPr>
              <w:t>5</w:t>
            </w:r>
            <w:r>
              <w:rPr>
                <w:kern w:val="2"/>
                <w:sz w:val="21"/>
                <w:szCs w:val="21"/>
                <w:highlight w:val="green"/>
              </w:rPr>
              <w:t>.6</w:t>
            </w:r>
          </w:p>
        </w:tc>
        <w:tc>
          <w:tcPr>
            <w:tcW w:w="51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60</w:t>
            </w:r>
          </w:p>
        </w:tc>
        <w:tc>
          <w:tcPr>
            <w:tcW w:w="519"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50</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2#</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南厂界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5</w:t>
            </w:r>
            <w:r>
              <w:rPr>
                <w:rFonts w:hint="eastAsia"/>
                <w:kern w:val="2"/>
                <w:sz w:val="21"/>
                <w:szCs w:val="21"/>
                <w:highlight w:val="green"/>
              </w:rPr>
              <w:t>4.6</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45.3</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3#</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西厂界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56.2</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44.4</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4#</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北厂界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55.8</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45.4</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5</w:t>
            </w:r>
            <w:r>
              <w:rPr>
                <w:kern w:val="2"/>
                <w:sz w:val="21"/>
                <w:szCs w:val="21"/>
                <w:highlight w:val="green"/>
              </w:rPr>
              <w:t>#</w:t>
            </w:r>
          </w:p>
        </w:tc>
        <w:tc>
          <w:tcPr>
            <w:tcW w:w="363" w:type="pct"/>
            <w:vMerge w:val="restart"/>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北厂区</w:t>
            </w: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东厂界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57.3</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44.2</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6</w:t>
            </w:r>
            <w:r>
              <w:rPr>
                <w:kern w:val="2"/>
                <w:sz w:val="21"/>
                <w:szCs w:val="21"/>
                <w:highlight w:val="green"/>
              </w:rPr>
              <w:t>#</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南厂界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55.7</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45.2</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7</w:t>
            </w:r>
            <w:r>
              <w:rPr>
                <w:kern w:val="2"/>
                <w:sz w:val="21"/>
                <w:szCs w:val="21"/>
                <w:highlight w:val="green"/>
              </w:rPr>
              <w:t>#</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西厂界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53.9</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41.7</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8</w:t>
            </w:r>
            <w:r>
              <w:rPr>
                <w:kern w:val="2"/>
                <w:sz w:val="21"/>
                <w:szCs w:val="21"/>
                <w:highlight w:val="green"/>
              </w:rPr>
              <w:t>#</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北厂界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54.7</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rFonts w:hint="eastAsia"/>
                <w:kern w:val="2"/>
                <w:sz w:val="21"/>
                <w:szCs w:val="21"/>
                <w:highlight w:val="green"/>
              </w:rPr>
              <w:t>42.6</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green"/>
              </w:rPr>
            </w:pPr>
            <w:r>
              <w:rPr>
                <w:kern w:val="2"/>
                <w:sz w:val="21"/>
                <w:szCs w:val="21"/>
                <w:highlight w:val="green"/>
              </w:rPr>
              <w:t>达标</w:t>
            </w:r>
          </w:p>
        </w:tc>
      </w:tr>
    </w:tbl>
    <w:p>
      <w:pPr>
        <w:adjustRightInd w:val="0"/>
        <w:snapToGrid w:val="0"/>
        <w:spacing w:before="120" w:beforeLines="50" w:line="440" w:lineRule="exact"/>
        <w:ind w:firstLine="480"/>
        <w:jc w:val="both"/>
        <w:textAlignment w:val="auto"/>
        <w:rPr>
          <w:kern w:val="2"/>
          <w:sz w:val="24"/>
          <w:szCs w:val="24"/>
          <w:highlight w:val="green"/>
        </w:rPr>
      </w:pPr>
      <w:r>
        <w:rPr>
          <w:kern w:val="2"/>
          <w:sz w:val="24"/>
          <w:szCs w:val="24"/>
          <w:highlight w:val="green"/>
        </w:rPr>
        <w:t>由监测结果可知，项目厂界四周昼夜噪声监测值均能满足《声环境质量标准》（GB3096-2008）中的2类标准，表明项目所在区域内的声环境质量较好。</w:t>
      </w:r>
    </w:p>
    <w:p>
      <w:pPr>
        <w:pStyle w:val="6"/>
        <w:numPr>
          <w:ilvl w:val="2"/>
          <w:numId w:val="1"/>
        </w:numPr>
        <w:spacing w:before="0" w:after="0"/>
        <w:ind w:left="567"/>
        <w:rPr>
          <w:szCs w:val="28"/>
          <w:highlight w:val="green"/>
        </w:rPr>
      </w:pPr>
      <w:r>
        <w:rPr>
          <w:szCs w:val="28"/>
          <w:highlight w:val="green"/>
        </w:rPr>
        <w:t>土壤环境</w:t>
      </w:r>
    </w:p>
    <w:p>
      <w:pPr>
        <w:adjustRightInd w:val="0"/>
        <w:snapToGrid w:val="0"/>
        <w:spacing w:before="120" w:beforeLines="50" w:line="440" w:lineRule="exact"/>
        <w:ind w:firstLine="480"/>
        <w:jc w:val="both"/>
        <w:textAlignment w:val="auto"/>
        <w:rPr>
          <w:kern w:val="2"/>
          <w:sz w:val="24"/>
          <w:szCs w:val="24"/>
          <w:highlight w:val="green"/>
        </w:rPr>
      </w:pPr>
      <w:r>
        <w:rPr>
          <w:kern w:val="2"/>
          <w:sz w:val="24"/>
          <w:szCs w:val="24"/>
          <w:highlight w:val="green"/>
        </w:rPr>
        <w:t>⑴监测点位</w:t>
      </w:r>
    </w:p>
    <w:p>
      <w:pPr>
        <w:adjustRightInd w:val="0"/>
        <w:snapToGrid w:val="0"/>
        <w:spacing w:before="120" w:beforeLines="50" w:line="440" w:lineRule="exact"/>
        <w:ind w:firstLine="480"/>
        <w:jc w:val="both"/>
        <w:textAlignment w:val="auto"/>
        <w:rPr>
          <w:kern w:val="2"/>
          <w:sz w:val="24"/>
          <w:szCs w:val="24"/>
          <w:highlight w:val="green"/>
        </w:rPr>
      </w:pPr>
      <w:r>
        <w:rPr>
          <w:kern w:val="2"/>
          <w:sz w:val="24"/>
          <w:szCs w:val="24"/>
          <w:highlight w:val="green"/>
        </w:rPr>
        <w:t>根据项目位置及周边用地情况，</w:t>
      </w:r>
      <w:r>
        <w:rPr>
          <w:rFonts w:hint="eastAsia"/>
          <w:kern w:val="2"/>
          <w:sz w:val="24"/>
          <w:szCs w:val="24"/>
          <w:highlight w:val="green"/>
        </w:rPr>
        <w:t>南、北厂区各</w:t>
      </w:r>
      <w:r>
        <w:rPr>
          <w:kern w:val="2"/>
          <w:sz w:val="24"/>
          <w:szCs w:val="24"/>
          <w:highlight w:val="green"/>
        </w:rPr>
        <w:t>布设监测点3个表层样点。</w:t>
      </w:r>
    </w:p>
    <w:p>
      <w:pPr>
        <w:adjustRightInd w:val="0"/>
        <w:snapToGrid w:val="0"/>
        <w:spacing w:before="120" w:beforeLines="50" w:line="440" w:lineRule="exact"/>
        <w:ind w:firstLine="480"/>
        <w:jc w:val="both"/>
        <w:textAlignment w:val="auto"/>
        <w:rPr>
          <w:kern w:val="2"/>
          <w:sz w:val="24"/>
          <w:szCs w:val="24"/>
          <w:highlight w:val="green"/>
        </w:rPr>
      </w:pPr>
      <w:r>
        <w:rPr>
          <w:kern w:val="2"/>
          <w:sz w:val="24"/>
          <w:szCs w:val="24"/>
          <w:highlight w:val="green"/>
        </w:rPr>
        <w:t>⑵监测因子</w:t>
      </w:r>
    </w:p>
    <w:p>
      <w:pPr>
        <w:ind w:firstLine="480"/>
        <w:rPr>
          <w:sz w:val="24"/>
          <w:szCs w:val="24"/>
          <w:highlight w:val="green"/>
        </w:rPr>
      </w:pPr>
      <w:r>
        <w:rPr>
          <w:kern w:val="2"/>
          <w:sz w:val="24"/>
          <w:szCs w:val="24"/>
          <w:highlight w:val="green"/>
        </w:rPr>
        <w:t>1#监测点</w:t>
      </w:r>
      <w:r>
        <w:rPr>
          <w:rFonts w:hint="eastAsia"/>
          <w:kern w:val="2"/>
          <w:sz w:val="24"/>
          <w:szCs w:val="24"/>
          <w:highlight w:val="green"/>
        </w:rPr>
        <w:t>、2</w:t>
      </w:r>
      <w:r>
        <w:rPr>
          <w:kern w:val="2"/>
          <w:sz w:val="24"/>
          <w:szCs w:val="24"/>
          <w:highlight w:val="green"/>
        </w:rPr>
        <w:t>#监测点：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w:t>
      </w:r>
      <w:r>
        <w:rPr>
          <w:sz w:val="24"/>
          <w:szCs w:val="24"/>
          <w:highlight w:val="green"/>
        </w:rPr>
        <w:t>二苯并[a、h]蒽、茚并[1,2,3-cd]芘、石油烃、pH，共47项。</w:t>
      </w:r>
    </w:p>
    <w:p>
      <w:pPr>
        <w:ind w:firstLine="480"/>
        <w:rPr>
          <w:sz w:val="24"/>
          <w:szCs w:val="24"/>
          <w:highlight w:val="green"/>
        </w:rPr>
      </w:pPr>
      <w:r>
        <w:rPr>
          <w:rFonts w:hint="eastAsia"/>
          <w:sz w:val="24"/>
          <w:szCs w:val="24"/>
          <w:highlight w:val="green"/>
        </w:rPr>
        <w:t>其余</w:t>
      </w:r>
      <w:r>
        <w:rPr>
          <w:sz w:val="24"/>
          <w:szCs w:val="24"/>
          <w:highlight w:val="green"/>
        </w:rPr>
        <w:t>监测点：石油烃、pH。</w:t>
      </w:r>
    </w:p>
    <w:p>
      <w:pPr>
        <w:ind w:firstLine="480"/>
        <w:rPr>
          <w:sz w:val="24"/>
          <w:szCs w:val="24"/>
          <w:highlight w:val="green"/>
        </w:rPr>
      </w:pPr>
      <w:r>
        <w:rPr>
          <w:sz w:val="24"/>
          <w:szCs w:val="24"/>
          <w:highlight w:val="green"/>
        </w:rPr>
        <w:t>⑶监测时间及监测频率：</w:t>
      </w:r>
    </w:p>
    <w:p>
      <w:pPr>
        <w:ind w:firstLine="480"/>
        <w:rPr>
          <w:sz w:val="24"/>
          <w:szCs w:val="24"/>
          <w:highlight w:val="green"/>
        </w:rPr>
      </w:pPr>
      <w:r>
        <w:rPr>
          <w:sz w:val="24"/>
          <w:szCs w:val="24"/>
          <w:highlight w:val="green"/>
        </w:rPr>
        <w:t>监测时间为202</w:t>
      </w:r>
      <w:r>
        <w:rPr>
          <w:rFonts w:hint="eastAsia"/>
          <w:sz w:val="24"/>
          <w:szCs w:val="24"/>
          <w:highlight w:val="green"/>
        </w:rPr>
        <w:t>1</w:t>
      </w:r>
      <w:r>
        <w:rPr>
          <w:sz w:val="24"/>
          <w:szCs w:val="24"/>
          <w:highlight w:val="green"/>
        </w:rPr>
        <w:t>年</w:t>
      </w:r>
      <w:r>
        <w:rPr>
          <w:rFonts w:hint="eastAsia"/>
          <w:sz w:val="24"/>
          <w:szCs w:val="24"/>
          <w:highlight w:val="green"/>
        </w:rPr>
        <w:t>5</w:t>
      </w:r>
      <w:r>
        <w:rPr>
          <w:sz w:val="24"/>
          <w:szCs w:val="24"/>
          <w:highlight w:val="green"/>
        </w:rPr>
        <w:t>月，监测频率为监测1天，监测1次。</w:t>
      </w:r>
    </w:p>
    <w:p>
      <w:pPr>
        <w:ind w:firstLine="480"/>
        <w:rPr>
          <w:sz w:val="24"/>
          <w:szCs w:val="24"/>
          <w:highlight w:val="green"/>
        </w:rPr>
      </w:pPr>
      <w:r>
        <w:rPr>
          <w:sz w:val="24"/>
          <w:szCs w:val="24"/>
          <w:highlight w:val="green"/>
        </w:rPr>
        <w:t>⑷监测方法</w:t>
      </w:r>
    </w:p>
    <w:p>
      <w:pPr>
        <w:ind w:firstLine="480"/>
        <w:rPr>
          <w:sz w:val="24"/>
          <w:szCs w:val="24"/>
          <w:highlight w:val="green"/>
        </w:rPr>
      </w:pPr>
      <w:r>
        <w:rPr>
          <w:sz w:val="24"/>
          <w:szCs w:val="24"/>
          <w:highlight w:val="green"/>
        </w:rPr>
        <w:t>按《土壤环境质量 建设用地土壤污染风险管控标准（试行）》（GB36600-2018）进行。</w:t>
      </w:r>
    </w:p>
    <w:p>
      <w:pPr>
        <w:ind w:firstLine="480"/>
        <w:rPr>
          <w:sz w:val="24"/>
          <w:szCs w:val="24"/>
          <w:highlight w:val="green"/>
        </w:rPr>
      </w:pPr>
      <w:r>
        <w:rPr>
          <w:sz w:val="24"/>
          <w:szCs w:val="24"/>
          <w:highlight w:val="green"/>
        </w:rPr>
        <w:t>⑸监测结果</w:t>
      </w:r>
    </w:p>
    <w:p>
      <w:pPr>
        <w:adjustRightInd w:val="0"/>
        <w:snapToGrid w:val="0"/>
        <w:spacing w:line="240" w:lineRule="auto"/>
        <w:ind w:firstLine="0" w:firstLineChars="0"/>
        <w:jc w:val="center"/>
        <w:textAlignment w:val="auto"/>
        <w:rPr>
          <w:b/>
          <w:highlight w:val="green"/>
        </w:rPr>
      </w:pPr>
      <w:r>
        <w:rPr>
          <w:rFonts w:eastAsia="黑体"/>
          <w:bCs/>
          <w:kern w:val="2"/>
          <w:sz w:val="21"/>
          <w:szCs w:val="22"/>
          <w:highlight w:val="green"/>
        </w:rPr>
        <w:t>表4.3-</w:t>
      </w:r>
      <w:r>
        <w:rPr>
          <w:rFonts w:hint="eastAsia" w:eastAsia="黑体"/>
          <w:bCs/>
          <w:kern w:val="2"/>
          <w:sz w:val="21"/>
          <w:szCs w:val="22"/>
          <w:highlight w:val="green"/>
          <w:lang w:val="en-US" w:eastAsia="zh-CN"/>
        </w:rPr>
        <w:t>11</w:t>
      </w:r>
      <w:r>
        <w:rPr>
          <w:rFonts w:eastAsia="黑体"/>
          <w:bCs/>
          <w:kern w:val="2"/>
          <w:sz w:val="21"/>
          <w:szCs w:val="22"/>
          <w:highlight w:val="green"/>
        </w:rPr>
        <w:t xml:space="preserve">      </w:t>
      </w:r>
      <w:r>
        <w:rPr>
          <w:rFonts w:hint="eastAsia" w:eastAsia="黑体"/>
          <w:bCs/>
          <w:kern w:val="2"/>
          <w:sz w:val="21"/>
          <w:szCs w:val="22"/>
          <w:highlight w:val="green"/>
        </w:rPr>
        <w:t>南</w:t>
      </w:r>
      <w:r>
        <w:rPr>
          <w:rFonts w:eastAsia="黑体"/>
          <w:bCs/>
          <w:kern w:val="2"/>
          <w:sz w:val="21"/>
          <w:szCs w:val="22"/>
          <w:highlight w:val="green"/>
        </w:rPr>
        <w:t xml:space="preserve">厂区内各监测点的监测结果一览表     单位mg/kg  </w:t>
      </w:r>
      <w:r>
        <w:rPr>
          <w:b/>
          <w:highlight w:val="green"/>
        </w:rPr>
        <w:t xml:space="preserve"> </w:t>
      </w:r>
    </w:p>
    <w:tbl>
      <w:tblPr>
        <w:tblStyle w:val="48"/>
        <w:tblW w:w="906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60"/>
        <w:gridCol w:w="1709"/>
        <w:gridCol w:w="1714"/>
        <w:gridCol w:w="1236"/>
        <w:gridCol w:w="1479"/>
        <w:gridCol w:w="10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069" w:type="dxa"/>
            <w:gridSpan w:val="6"/>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《土壤环境质量 建设用地土壤污染风险管控标准（试行）》（GB36600-2018）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监测点位置</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3#</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筛选值</w:t>
            </w:r>
          </w:p>
        </w:tc>
        <w:tc>
          <w:tcPr>
            <w:tcW w:w="1071" w:type="dxa"/>
            <w:vAlign w:val="center"/>
          </w:tcPr>
          <w:p>
            <w:pPr>
              <w:adjustRightInd w:val="0"/>
              <w:snapToGrid w:val="0"/>
              <w:spacing w:line="300" w:lineRule="exact"/>
              <w:ind w:firstLine="0" w:firstLineChars="0"/>
              <w:jc w:val="both"/>
              <w:rPr>
                <w:snapToGrid w:val="0"/>
                <w:sz w:val="21"/>
                <w:szCs w:val="21"/>
                <w:highlight w:val="green"/>
              </w:rPr>
            </w:pPr>
            <w:r>
              <w:rPr>
                <w:snapToGrid w:val="0"/>
                <w:sz w:val="21"/>
                <w:szCs w:val="21"/>
                <w:highlight w:val="green"/>
              </w:rPr>
              <w:t>评价结论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69" w:type="dxa"/>
            <w:gridSpan w:val="6"/>
            <w:vAlign w:val="center"/>
          </w:tcPr>
          <w:p>
            <w:pPr>
              <w:adjustRightInd w:val="0"/>
              <w:snapToGrid w:val="0"/>
              <w:spacing w:line="300" w:lineRule="exact"/>
              <w:ind w:firstLine="420"/>
              <w:jc w:val="center"/>
              <w:textAlignment w:val="baseline"/>
              <w:rPr>
                <w:snapToGrid w:val="0"/>
                <w:sz w:val="21"/>
                <w:szCs w:val="21"/>
                <w:highlight w:val="green"/>
              </w:rPr>
            </w:pPr>
            <w:r>
              <w:rPr>
                <w:snapToGrid w:val="0"/>
                <w:sz w:val="21"/>
                <w:szCs w:val="21"/>
                <w:highlight w:val="green"/>
              </w:rPr>
              <w:t>重金属和无机物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砷</w:t>
            </w:r>
          </w:p>
        </w:tc>
        <w:tc>
          <w:tcPr>
            <w:tcW w:w="1709"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3.04</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60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镉</w:t>
            </w:r>
          </w:p>
        </w:tc>
        <w:tc>
          <w:tcPr>
            <w:tcW w:w="1709"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0.08</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65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铬（六价）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5.7</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铜</w:t>
            </w:r>
          </w:p>
        </w:tc>
        <w:tc>
          <w:tcPr>
            <w:tcW w:w="1709"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47</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18000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铅</w:t>
            </w:r>
          </w:p>
        </w:tc>
        <w:tc>
          <w:tcPr>
            <w:tcW w:w="1709"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23.9</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800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汞</w:t>
            </w:r>
          </w:p>
        </w:tc>
        <w:tc>
          <w:tcPr>
            <w:tcW w:w="1709"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0.017</w:t>
            </w:r>
          </w:p>
        </w:tc>
        <w:tc>
          <w:tcPr>
            <w:tcW w:w="1714"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38</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镍</w:t>
            </w:r>
          </w:p>
        </w:tc>
        <w:tc>
          <w:tcPr>
            <w:tcW w:w="1709"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51</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900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9069" w:type="dxa"/>
            <w:gridSpan w:val="6"/>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挥发性有机物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四氯化碳</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2.8</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氯仿</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0.9</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氯甲烷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37</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1,1-二氯乙烷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9</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1,2-二氯乙烷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1,1-二氯乙烯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66</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顺-1,2-二氯乙烯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596</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反-1,2-二氯乙烯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54</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二氯甲烷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616</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1,2-二氯丙烷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1,1,1,2-四氯乙烷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1,1,2,2-四氯乙烷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6.8</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四氯乙烯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53</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1,1,1-三氯乙烷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840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1,1,2-三氯乙烷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2.8</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三氯乙烯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2.8</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1,2,3-三氯丙烷</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0.5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氯乙烯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0.43</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4</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氯苯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270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1,2-二氯苯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560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1,4-二氯苯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乙苯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28</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苯乙烯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1290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甲苯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1200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间二甲苯+对二甲苯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570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邻二甲苯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640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069" w:type="dxa"/>
            <w:gridSpan w:val="6"/>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半挥发性有机物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硝基苯</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76</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苯胺</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260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2-氯酚</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2256</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苯并[a]蒽</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苯并[a]芘</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苯并[b]荧蒽</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苯并[k]荧蒽</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151</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䓛</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1293</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210" w:firstLineChars="100"/>
              <w:jc w:val="both"/>
              <w:rPr>
                <w:snapToGrid w:val="0"/>
                <w:sz w:val="21"/>
                <w:szCs w:val="21"/>
                <w:highlight w:val="green"/>
              </w:rPr>
            </w:pPr>
            <w:r>
              <w:rPr>
                <w:snapToGrid w:val="0"/>
                <w:sz w:val="21"/>
                <w:szCs w:val="21"/>
                <w:highlight w:val="green"/>
              </w:rPr>
              <w:t>二苯丙[a，h]蒽</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0" w:firstLineChars="0"/>
              <w:jc w:val="both"/>
              <w:rPr>
                <w:snapToGrid w:val="0"/>
                <w:sz w:val="21"/>
                <w:szCs w:val="21"/>
                <w:highlight w:val="green"/>
              </w:rPr>
            </w:pPr>
            <w:r>
              <w:rPr>
                <w:snapToGrid w:val="0"/>
                <w:sz w:val="21"/>
                <w:szCs w:val="21"/>
                <w:highlight w:val="green"/>
              </w:rPr>
              <w:t>茚并[1,2,3-cd]芘</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15</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萘</w:t>
            </w:r>
          </w:p>
        </w:tc>
        <w:tc>
          <w:tcPr>
            <w:tcW w:w="170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ND</w:t>
            </w:r>
          </w:p>
        </w:tc>
        <w:tc>
          <w:tcPr>
            <w:tcW w:w="1714"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236"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70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069" w:type="dxa"/>
            <w:gridSpan w:val="6"/>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pH</w:t>
            </w:r>
          </w:p>
        </w:tc>
        <w:tc>
          <w:tcPr>
            <w:tcW w:w="1709"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7.05</w:t>
            </w:r>
          </w:p>
        </w:tc>
        <w:tc>
          <w:tcPr>
            <w:tcW w:w="1714"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6.41</w:t>
            </w:r>
          </w:p>
        </w:tc>
        <w:tc>
          <w:tcPr>
            <w:tcW w:w="1236"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6.55</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069" w:type="dxa"/>
            <w:gridSpan w:val="6"/>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油烃类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石油烃（C</w:t>
            </w:r>
            <w:r>
              <w:rPr>
                <w:snapToGrid w:val="0"/>
                <w:sz w:val="21"/>
                <w:szCs w:val="21"/>
                <w:highlight w:val="green"/>
                <w:vertAlign w:val="subscript"/>
              </w:rPr>
              <w:t>10</w:t>
            </w:r>
            <w:r>
              <w:rPr>
                <w:snapToGrid w:val="0"/>
                <w:sz w:val="21"/>
                <w:szCs w:val="21"/>
                <w:highlight w:val="green"/>
              </w:rPr>
              <w:t>-C</w:t>
            </w:r>
            <w:r>
              <w:rPr>
                <w:snapToGrid w:val="0"/>
                <w:sz w:val="21"/>
                <w:szCs w:val="21"/>
                <w:highlight w:val="green"/>
                <w:vertAlign w:val="subscript"/>
              </w:rPr>
              <w:t>40</w:t>
            </w:r>
            <w:r>
              <w:rPr>
                <w:snapToGrid w:val="0"/>
                <w:sz w:val="21"/>
                <w:szCs w:val="21"/>
                <w:highlight w:val="green"/>
              </w:rPr>
              <w:t>）</w:t>
            </w:r>
          </w:p>
        </w:tc>
        <w:tc>
          <w:tcPr>
            <w:tcW w:w="1709"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11</w:t>
            </w:r>
          </w:p>
        </w:tc>
        <w:tc>
          <w:tcPr>
            <w:tcW w:w="1714"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ND</w:t>
            </w:r>
          </w:p>
        </w:tc>
        <w:tc>
          <w:tcPr>
            <w:tcW w:w="1236" w:type="dxa"/>
            <w:vAlign w:val="center"/>
          </w:tcPr>
          <w:p>
            <w:pPr>
              <w:adjustRightInd w:val="0"/>
              <w:snapToGrid w:val="0"/>
              <w:spacing w:line="300" w:lineRule="exact"/>
              <w:ind w:firstLine="420"/>
              <w:jc w:val="center"/>
              <w:rPr>
                <w:snapToGrid w:val="0"/>
                <w:sz w:val="21"/>
                <w:szCs w:val="21"/>
                <w:highlight w:val="green"/>
              </w:rPr>
            </w:pPr>
            <w:r>
              <w:rPr>
                <w:rFonts w:hint="eastAsia"/>
                <w:snapToGrid w:val="0"/>
                <w:sz w:val="21"/>
                <w:szCs w:val="21"/>
                <w:highlight w:val="green"/>
              </w:rPr>
              <w:t>ND</w:t>
            </w:r>
          </w:p>
        </w:tc>
        <w:tc>
          <w:tcPr>
            <w:tcW w:w="1479"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4500</w:t>
            </w:r>
          </w:p>
        </w:tc>
        <w:tc>
          <w:tcPr>
            <w:tcW w:w="1071" w:type="dxa"/>
            <w:vAlign w:val="center"/>
          </w:tcPr>
          <w:p>
            <w:pPr>
              <w:adjustRightInd w:val="0"/>
              <w:snapToGrid w:val="0"/>
              <w:spacing w:line="300" w:lineRule="exact"/>
              <w:ind w:firstLine="420"/>
              <w:jc w:val="center"/>
              <w:rPr>
                <w:snapToGrid w:val="0"/>
                <w:sz w:val="21"/>
                <w:szCs w:val="21"/>
                <w:highlight w:val="green"/>
              </w:rPr>
            </w:pPr>
            <w:r>
              <w:rPr>
                <w:snapToGrid w:val="0"/>
                <w:sz w:val="21"/>
                <w:szCs w:val="21"/>
                <w:highlight w:val="green"/>
              </w:rPr>
              <w:t>达标</w:t>
            </w:r>
          </w:p>
        </w:tc>
      </w:tr>
    </w:tbl>
    <w:p>
      <w:pPr>
        <w:autoSpaceDE w:val="0"/>
        <w:autoSpaceDN w:val="0"/>
        <w:ind w:firstLine="480"/>
        <w:jc w:val="both"/>
        <w:textAlignment w:val="auto"/>
        <w:rPr>
          <w:bCs/>
          <w:sz w:val="24"/>
          <w:szCs w:val="22"/>
          <w:highlight w:val="green"/>
        </w:rPr>
      </w:pPr>
      <w:r>
        <w:rPr>
          <w:bCs/>
          <w:sz w:val="24"/>
          <w:szCs w:val="22"/>
          <w:highlight w:val="green"/>
        </w:rPr>
        <w:t>根据土壤现状监测统计结果，所测各项土壤指标均符合国家《土壤环境质量标准 建设用地土壤污染风险管控标准》（试行）（GB36600-2018）中第二类用地筛选值。由此可见，项目所在区域内的土壤环境质量良好。</w:t>
      </w:r>
    </w:p>
    <w:p>
      <w:pPr>
        <w:pStyle w:val="47"/>
        <w:ind w:left="560"/>
        <w:rPr>
          <w:highlight w:val="gree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pPr>
    </w:p>
    <w:p>
      <w:pPr>
        <w:pStyle w:val="4"/>
        <w:numPr>
          <w:ilvl w:val="0"/>
          <w:numId w:val="1"/>
        </w:numPr>
        <w:rPr>
          <w:rFonts w:ascii="Times New Roman"/>
          <w:sz w:val="36"/>
          <w:highlight w:val="none"/>
        </w:rPr>
      </w:pPr>
      <w:bookmarkStart w:id="414" w:name="_Toc375206181"/>
      <w:bookmarkStart w:id="415" w:name="_Toc524285108"/>
      <w:bookmarkStart w:id="416" w:name="_Toc499651414"/>
      <w:bookmarkStart w:id="417" w:name="_Toc521591789"/>
      <w:bookmarkStart w:id="418" w:name="_Toc503218113"/>
      <w:bookmarkStart w:id="419" w:name="_Toc19670"/>
      <w:bookmarkStart w:id="420" w:name="_Toc12145"/>
      <w:bookmarkStart w:id="421" w:name="_Toc536557295"/>
      <w:bookmarkStart w:id="422" w:name="_Toc13145"/>
      <w:r>
        <w:rPr>
          <w:rFonts w:ascii="Times New Roman"/>
          <w:sz w:val="36"/>
          <w:highlight w:val="none"/>
        </w:rPr>
        <w:t>环境影响预测与</w:t>
      </w:r>
      <w:bookmarkEnd w:id="414"/>
      <w:r>
        <w:rPr>
          <w:rFonts w:ascii="Times New Roman"/>
          <w:sz w:val="36"/>
          <w:highlight w:val="none"/>
        </w:rPr>
        <w:t>评价</w:t>
      </w:r>
      <w:bookmarkEnd w:id="415"/>
      <w:bookmarkEnd w:id="416"/>
      <w:bookmarkEnd w:id="417"/>
      <w:bookmarkEnd w:id="418"/>
      <w:bookmarkEnd w:id="419"/>
      <w:bookmarkEnd w:id="420"/>
      <w:bookmarkEnd w:id="421"/>
      <w:bookmarkEnd w:id="422"/>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423" w:name="_Toc521591790"/>
      <w:bookmarkStart w:id="424" w:name="_Toc23811"/>
      <w:bookmarkStart w:id="425" w:name="_Toc15393"/>
      <w:bookmarkStart w:id="426" w:name="_Toc524285109"/>
      <w:bookmarkStart w:id="427" w:name="_Toc503218114"/>
      <w:bookmarkStart w:id="428" w:name="_Toc499651415"/>
      <w:bookmarkStart w:id="429" w:name="_Toc375206182"/>
      <w:bookmarkStart w:id="430" w:name="_Toc8328"/>
      <w:bookmarkStart w:id="431" w:name="_Toc536557296"/>
      <w:r>
        <w:rPr>
          <w:rFonts w:ascii="Times New Roman" w:hAnsi="Times New Roman" w:eastAsia="宋体"/>
          <w:bCs w:val="0"/>
          <w:snapToGrid w:val="0"/>
          <w:kern w:val="0"/>
          <w:sz w:val="28"/>
          <w:szCs w:val="28"/>
          <w:highlight w:val="none"/>
        </w:rPr>
        <w:t>施工期环境影响分析</w:t>
      </w:r>
      <w:bookmarkEnd w:id="423"/>
      <w:bookmarkEnd w:id="424"/>
      <w:bookmarkEnd w:id="425"/>
      <w:bookmarkEnd w:id="426"/>
      <w:bookmarkEnd w:id="427"/>
      <w:bookmarkEnd w:id="428"/>
      <w:bookmarkEnd w:id="429"/>
      <w:bookmarkEnd w:id="430"/>
      <w:bookmarkEnd w:id="431"/>
    </w:p>
    <w:p>
      <w:pPr>
        <w:pStyle w:val="6"/>
        <w:numPr>
          <w:ilvl w:val="2"/>
          <w:numId w:val="1"/>
        </w:numPr>
        <w:spacing w:before="0" w:after="0"/>
        <w:ind w:left="567"/>
        <w:rPr>
          <w:szCs w:val="28"/>
          <w:highlight w:val="none"/>
        </w:rPr>
      </w:pPr>
      <w:bookmarkStart w:id="432" w:name="_Toc28501"/>
      <w:bookmarkStart w:id="433" w:name="_Toc521591791"/>
      <w:bookmarkStart w:id="434" w:name="_Hlk527093731"/>
      <w:r>
        <w:rPr>
          <w:szCs w:val="28"/>
          <w:highlight w:val="none"/>
        </w:rPr>
        <w:t>施工期大气影响分析</w:t>
      </w:r>
      <w:bookmarkEnd w:id="432"/>
      <w:bookmarkEnd w:id="433"/>
    </w:p>
    <w:p>
      <w:pPr>
        <w:autoSpaceDE w:val="0"/>
        <w:autoSpaceDN w:val="0"/>
        <w:ind w:firstLine="480"/>
        <w:jc w:val="both"/>
        <w:textAlignment w:val="auto"/>
        <w:rPr>
          <w:bCs/>
          <w:sz w:val="24"/>
          <w:highlight w:val="none"/>
        </w:rPr>
      </w:pPr>
      <w:r>
        <w:rPr>
          <w:bCs/>
          <w:sz w:val="24"/>
          <w:highlight w:val="none"/>
        </w:rPr>
        <w:t>本项目施工期废气主要为施工扬尘，施工扬尘主要来自以下几个方面：</w:t>
      </w:r>
    </w:p>
    <w:p>
      <w:pPr>
        <w:autoSpaceDE w:val="0"/>
        <w:autoSpaceDN w:val="0"/>
        <w:ind w:firstLine="480"/>
        <w:jc w:val="both"/>
        <w:textAlignment w:val="auto"/>
        <w:rPr>
          <w:bCs/>
          <w:sz w:val="24"/>
          <w:highlight w:val="none"/>
        </w:rPr>
      </w:pPr>
      <w:r>
        <w:rPr>
          <w:bCs/>
          <w:sz w:val="24"/>
          <w:highlight w:val="none"/>
        </w:rPr>
        <w:t>（1）场地平整过程产生的扬尘</w:t>
      </w:r>
      <w:r>
        <w:rPr>
          <w:rFonts w:hint="eastAsia"/>
          <w:bCs/>
          <w:sz w:val="24"/>
          <w:highlight w:val="none"/>
        </w:rPr>
        <w:t>；</w:t>
      </w:r>
    </w:p>
    <w:p>
      <w:pPr>
        <w:autoSpaceDE w:val="0"/>
        <w:autoSpaceDN w:val="0"/>
        <w:ind w:firstLine="480"/>
        <w:jc w:val="both"/>
        <w:textAlignment w:val="auto"/>
        <w:rPr>
          <w:bCs/>
          <w:sz w:val="24"/>
          <w:highlight w:val="none"/>
        </w:rPr>
      </w:pPr>
      <w:r>
        <w:rPr>
          <w:rFonts w:hint="eastAsia"/>
          <w:bCs/>
          <w:sz w:val="24"/>
          <w:highlight w:val="none"/>
        </w:rPr>
        <w:t>（2）</w:t>
      </w:r>
      <w:r>
        <w:rPr>
          <w:bCs/>
          <w:sz w:val="24"/>
          <w:highlight w:val="none"/>
        </w:rPr>
        <w:t>运输车辆运行时产生的道路扬尘；</w:t>
      </w:r>
    </w:p>
    <w:p>
      <w:pPr>
        <w:autoSpaceDE w:val="0"/>
        <w:autoSpaceDN w:val="0"/>
        <w:ind w:firstLine="480"/>
        <w:jc w:val="both"/>
        <w:textAlignment w:val="auto"/>
        <w:rPr>
          <w:bCs/>
          <w:sz w:val="24"/>
          <w:highlight w:val="none"/>
        </w:rPr>
      </w:pPr>
      <w:r>
        <w:rPr>
          <w:bCs/>
          <w:sz w:val="24"/>
          <w:highlight w:val="none"/>
        </w:rPr>
        <w:t>（</w:t>
      </w:r>
      <w:r>
        <w:rPr>
          <w:rFonts w:hint="eastAsia"/>
          <w:bCs/>
          <w:sz w:val="24"/>
          <w:highlight w:val="none"/>
        </w:rPr>
        <w:t>3</w:t>
      </w:r>
      <w:r>
        <w:rPr>
          <w:bCs/>
          <w:sz w:val="24"/>
          <w:highlight w:val="none"/>
        </w:rPr>
        <w:t>）车辆运输过程中散落的砂石、土等材料产生的二次扬尘；</w:t>
      </w:r>
    </w:p>
    <w:p>
      <w:pPr>
        <w:autoSpaceDE w:val="0"/>
        <w:autoSpaceDN w:val="0"/>
        <w:ind w:firstLine="480"/>
        <w:jc w:val="both"/>
        <w:textAlignment w:val="auto"/>
        <w:rPr>
          <w:bCs/>
          <w:sz w:val="24"/>
          <w:highlight w:val="none"/>
        </w:rPr>
      </w:pPr>
      <w:r>
        <w:rPr>
          <w:bCs/>
          <w:sz w:val="24"/>
          <w:highlight w:val="none"/>
        </w:rPr>
        <w:t>（</w:t>
      </w:r>
      <w:r>
        <w:rPr>
          <w:rFonts w:hint="eastAsia"/>
          <w:bCs/>
          <w:sz w:val="24"/>
          <w:highlight w:val="none"/>
        </w:rPr>
        <w:t>4</w:t>
      </w:r>
      <w:r>
        <w:rPr>
          <w:bCs/>
          <w:sz w:val="24"/>
          <w:highlight w:val="none"/>
        </w:rPr>
        <w:t>）露天堆放的建材及裸露的施工区表层产生的扬尘；</w:t>
      </w:r>
    </w:p>
    <w:p>
      <w:pPr>
        <w:autoSpaceDE w:val="0"/>
        <w:autoSpaceDN w:val="0"/>
        <w:ind w:firstLine="480"/>
        <w:jc w:val="both"/>
        <w:textAlignment w:val="auto"/>
        <w:rPr>
          <w:bCs/>
          <w:sz w:val="24"/>
          <w:highlight w:val="none"/>
        </w:rPr>
      </w:pPr>
      <w:r>
        <w:rPr>
          <w:bCs/>
          <w:sz w:val="24"/>
          <w:highlight w:val="none"/>
        </w:rPr>
        <w:t>（</w:t>
      </w:r>
      <w:r>
        <w:rPr>
          <w:rFonts w:hint="eastAsia"/>
          <w:bCs/>
          <w:sz w:val="24"/>
          <w:highlight w:val="none"/>
        </w:rPr>
        <w:t>5</w:t>
      </w:r>
      <w:r>
        <w:rPr>
          <w:bCs/>
          <w:sz w:val="24"/>
          <w:highlight w:val="none"/>
        </w:rPr>
        <w:t>）建材的装卸、搅拌过程中产生的扬尘。</w:t>
      </w:r>
    </w:p>
    <w:p>
      <w:pPr>
        <w:autoSpaceDE w:val="0"/>
        <w:autoSpaceDN w:val="0"/>
        <w:ind w:firstLine="480"/>
        <w:jc w:val="both"/>
        <w:textAlignment w:val="auto"/>
        <w:rPr>
          <w:bCs/>
          <w:sz w:val="24"/>
          <w:highlight w:val="none"/>
        </w:rPr>
      </w:pPr>
      <w:r>
        <w:rPr>
          <w:sz w:val="24"/>
          <w:highlight w:val="none"/>
        </w:rPr>
        <w:t>由于施工污染源为间歇性源并且扬尘点低，会在近距离内形成局部污染，</w:t>
      </w:r>
      <w:r>
        <w:rPr>
          <w:bCs/>
          <w:sz w:val="24"/>
          <w:highlight w:val="none"/>
        </w:rPr>
        <w:t>对附近的大气环境和居民带来不利的影响，因此必须采取合理可行的控制措施，尽量减轻污染程度，缩小影响范围。其主要对策有：</w:t>
      </w:r>
    </w:p>
    <w:p>
      <w:pPr>
        <w:autoSpaceDE w:val="0"/>
        <w:autoSpaceDN w:val="0"/>
        <w:ind w:firstLine="480"/>
        <w:jc w:val="both"/>
        <w:textAlignment w:val="auto"/>
        <w:rPr>
          <w:bCs/>
          <w:sz w:val="24"/>
          <w:highlight w:val="none"/>
        </w:rPr>
      </w:pPr>
      <w:r>
        <w:rPr>
          <w:bCs/>
          <w:sz w:val="24"/>
          <w:highlight w:val="none"/>
        </w:rPr>
        <w:t>（1）对施工现场进行科学管理，砂石料应统一堆放，水泥应设专门库房堆放，减少搬运环节，搬运时轻举轻放，防止包装袋破裂。</w:t>
      </w:r>
    </w:p>
    <w:p>
      <w:pPr>
        <w:autoSpaceDE w:val="0"/>
        <w:autoSpaceDN w:val="0"/>
        <w:ind w:firstLine="480"/>
        <w:jc w:val="both"/>
        <w:textAlignment w:val="auto"/>
        <w:rPr>
          <w:bCs/>
          <w:sz w:val="24"/>
          <w:highlight w:val="none"/>
        </w:rPr>
      </w:pPr>
      <w:r>
        <w:rPr>
          <w:bCs/>
          <w:sz w:val="24"/>
          <w:highlight w:val="none"/>
        </w:rPr>
        <w:t>（2）开挖时，对作业面适当喷水，使其保持一定的湿度，以减少扬尘量。</w:t>
      </w:r>
    </w:p>
    <w:p>
      <w:pPr>
        <w:autoSpaceDE w:val="0"/>
        <w:autoSpaceDN w:val="0"/>
        <w:ind w:firstLine="480"/>
        <w:jc w:val="both"/>
        <w:textAlignment w:val="auto"/>
        <w:rPr>
          <w:bCs/>
          <w:sz w:val="24"/>
          <w:highlight w:val="none"/>
        </w:rPr>
      </w:pPr>
      <w:r>
        <w:rPr>
          <w:bCs/>
          <w:sz w:val="24"/>
          <w:highlight w:val="none"/>
        </w:rPr>
        <w:t>根据规定，扬尘基本排放量测算如下：施工场地、施工道路的扬尘可用洒水和清扫措施予以抑止。如果只洒水清扫，可使扬尘量减少70%~80%，如洒水清扫后再洒水，抑尘效率达90%以上。有关试验表明，在施工场地每天洒水抑尘作业4~5次，其扬尘造成的TSP污染距离可缩小到20~50m范围内。</w:t>
      </w:r>
    </w:p>
    <w:p>
      <w:pPr>
        <w:autoSpaceDE w:val="0"/>
        <w:autoSpaceDN w:val="0"/>
        <w:ind w:firstLine="480"/>
        <w:jc w:val="both"/>
        <w:textAlignment w:val="auto"/>
        <w:rPr>
          <w:bCs/>
          <w:sz w:val="24"/>
          <w:highlight w:val="none"/>
        </w:rPr>
      </w:pPr>
      <w:r>
        <w:rPr>
          <w:bCs/>
          <w:sz w:val="24"/>
          <w:highlight w:val="none"/>
        </w:rPr>
        <w:t>（3）谨防运输车辆装载过满，并采取遮盖、密闭措施，减少沿途抛洒，并及时清扫散落在路面的泥土和灰尘，冲洗轮胎，定时洒水压尘，减少运输过程中的扬尘。</w:t>
      </w:r>
    </w:p>
    <w:p>
      <w:pPr>
        <w:autoSpaceDE w:val="0"/>
        <w:autoSpaceDN w:val="0"/>
        <w:ind w:firstLine="480"/>
        <w:jc w:val="both"/>
        <w:textAlignment w:val="auto"/>
        <w:rPr>
          <w:bCs/>
          <w:sz w:val="24"/>
          <w:highlight w:val="none"/>
        </w:rPr>
      </w:pPr>
      <w:r>
        <w:rPr>
          <w:bCs/>
          <w:sz w:val="24"/>
          <w:highlight w:val="none"/>
        </w:rPr>
        <w:t>（4）风速过大时停止施工，对堆放的砂石等建筑材料进行遮盖处理。</w:t>
      </w:r>
    </w:p>
    <w:p>
      <w:pPr>
        <w:spacing w:line="480" w:lineRule="exact"/>
        <w:ind w:firstLine="480"/>
        <w:jc w:val="both"/>
        <w:rPr>
          <w:bCs/>
          <w:sz w:val="24"/>
          <w:highlight w:val="none"/>
        </w:rPr>
      </w:pPr>
      <w:r>
        <w:rPr>
          <w:bCs/>
          <w:sz w:val="24"/>
          <w:highlight w:val="none"/>
        </w:rPr>
        <w:t>通过采取以上防治措施，施工弃土及时回填，砂料、石灰、水泥等堆放时应采用篷布遮盖，运输道路采取洒水等措施后，厂界周围环境空气质量可以满足二级标准要求。</w:t>
      </w:r>
    </w:p>
    <w:p>
      <w:pPr>
        <w:pStyle w:val="6"/>
        <w:numPr>
          <w:ilvl w:val="2"/>
          <w:numId w:val="1"/>
        </w:numPr>
        <w:spacing w:before="0" w:after="0"/>
        <w:ind w:left="567"/>
        <w:rPr>
          <w:szCs w:val="28"/>
          <w:highlight w:val="none"/>
        </w:rPr>
      </w:pPr>
      <w:bookmarkStart w:id="435" w:name="_Toc521591792"/>
      <w:bookmarkStart w:id="436" w:name="_Toc17054"/>
      <w:r>
        <w:rPr>
          <w:szCs w:val="28"/>
          <w:highlight w:val="none"/>
        </w:rPr>
        <w:t>施工期水环境影响分析</w:t>
      </w:r>
      <w:bookmarkEnd w:id="435"/>
      <w:bookmarkEnd w:id="436"/>
    </w:p>
    <w:p>
      <w:pPr>
        <w:autoSpaceDE w:val="0"/>
        <w:autoSpaceDN w:val="0"/>
        <w:ind w:firstLine="480"/>
        <w:jc w:val="both"/>
        <w:textAlignment w:val="auto"/>
        <w:rPr>
          <w:bCs/>
          <w:sz w:val="24"/>
          <w:highlight w:val="none"/>
        </w:rPr>
      </w:pPr>
      <w:r>
        <w:rPr>
          <w:bCs/>
          <w:sz w:val="24"/>
          <w:highlight w:val="none"/>
        </w:rPr>
        <w:t>施工期废水主要为施工人员的生活污水、施工废水等。其中工程施工废水包括施工现场清洗、建材清洗、混凝土浇筑、养护、冲洗等，这部分废水有一定量的油污和泥沙。施工人员的生活污水含有一定量的有机物。另外，雨季作业场地的地面径流水，含有大量的泥土和高浓度的悬浮物。</w:t>
      </w:r>
    </w:p>
    <w:p>
      <w:pPr>
        <w:autoSpaceDE w:val="0"/>
        <w:autoSpaceDN w:val="0"/>
        <w:ind w:firstLine="480"/>
        <w:jc w:val="both"/>
        <w:textAlignment w:val="auto"/>
        <w:rPr>
          <w:bCs/>
          <w:sz w:val="24"/>
          <w:highlight w:val="none"/>
        </w:rPr>
      </w:pPr>
      <w:r>
        <w:rPr>
          <w:bCs/>
          <w:sz w:val="24"/>
          <w:highlight w:val="none"/>
        </w:rPr>
        <w:t>环评要求施工单位在易出现漏油的机械设备下方设集油槽（池），收集后外售处理，并在施工现场设置临时集水池、沉砂池等临时性污水简易处理设施，将施工废水进行处理后用于拌和土和水泥。施工场地建旱厕，生活污水用于浇灌附近农田。</w:t>
      </w:r>
    </w:p>
    <w:p>
      <w:pPr>
        <w:pStyle w:val="6"/>
        <w:numPr>
          <w:ilvl w:val="2"/>
          <w:numId w:val="1"/>
        </w:numPr>
        <w:spacing w:before="0" w:after="0"/>
        <w:ind w:left="567"/>
        <w:rPr>
          <w:szCs w:val="28"/>
          <w:highlight w:val="none"/>
        </w:rPr>
      </w:pPr>
      <w:bookmarkStart w:id="437" w:name="_Toc298705393"/>
      <w:bookmarkStart w:id="438" w:name="_Toc16757"/>
      <w:bookmarkStart w:id="439" w:name="_Toc303632178"/>
      <w:bookmarkStart w:id="440" w:name="_Toc264985248"/>
      <w:bookmarkStart w:id="441" w:name="_Toc521591793"/>
      <w:r>
        <w:rPr>
          <w:szCs w:val="28"/>
          <w:highlight w:val="none"/>
        </w:rPr>
        <w:t>施工声环境影响分析</w:t>
      </w:r>
      <w:bookmarkEnd w:id="437"/>
      <w:bookmarkEnd w:id="438"/>
      <w:bookmarkEnd w:id="439"/>
      <w:bookmarkEnd w:id="440"/>
      <w:bookmarkEnd w:id="441"/>
    </w:p>
    <w:p>
      <w:pPr>
        <w:ind w:firstLine="480"/>
        <w:jc w:val="both"/>
        <w:rPr>
          <w:bCs/>
          <w:sz w:val="24"/>
          <w:highlight w:val="none"/>
        </w:rPr>
      </w:pPr>
      <w:r>
        <w:rPr>
          <w:bCs/>
          <w:sz w:val="24"/>
          <w:highlight w:val="none"/>
        </w:rPr>
        <w:t>（1）施工期噪声种类及源强</w:t>
      </w:r>
    </w:p>
    <w:p>
      <w:pPr>
        <w:ind w:firstLine="480"/>
        <w:jc w:val="both"/>
        <w:rPr>
          <w:bCs/>
          <w:sz w:val="24"/>
          <w:highlight w:val="none"/>
        </w:rPr>
      </w:pPr>
      <w:r>
        <w:rPr>
          <w:bCs/>
          <w:sz w:val="24"/>
          <w:highlight w:val="none"/>
        </w:rPr>
        <w:t>施工期的噪声主要可分为机械噪声、施工作业噪声和施工车辆噪声。机械噪声主要由施工机械所造成，多为点声源；施工作业噪声主要指一些零星的敲打声、装卸车辆的撞击声、吆喝声等，多为瞬间噪声；施工车辆的噪声属于交通噪声。在这些施工噪声中对周围声环境影响最大的是机械噪声。主要施工机械的噪声源强见表5.1-1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表5.1-1主要施工机械设备的噪声声级</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1"/>
        <w:gridCol w:w="2628"/>
        <w:gridCol w:w="2168"/>
        <w:gridCol w:w="21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91" w:type="dxa"/>
            <w:vAlign w:val="center"/>
          </w:tcPr>
          <w:p>
            <w:pPr>
              <w:spacing w:line="240" w:lineRule="auto"/>
              <w:ind w:firstLine="0" w:firstLineChars="0"/>
              <w:jc w:val="center"/>
              <w:rPr>
                <w:sz w:val="21"/>
                <w:szCs w:val="21"/>
                <w:highlight w:val="none"/>
              </w:rPr>
            </w:pPr>
            <w:r>
              <w:rPr>
                <w:sz w:val="21"/>
                <w:szCs w:val="21"/>
                <w:highlight w:val="none"/>
              </w:rPr>
              <w:t>序号</w:t>
            </w:r>
          </w:p>
        </w:tc>
        <w:tc>
          <w:tcPr>
            <w:tcW w:w="2628" w:type="dxa"/>
            <w:vAlign w:val="center"/>
          </w:tcPr>
          <w:p>
            <w:pPr>
              <w:spacing w:line="240" w:lineRule="auto"/>
              <w:ind w:firstLine="0" w:firstLineChars="0"/>
              <w:jc w:val="center"/>
              <w:rPr>
                <w:sz w:val="21"/>
                <w:szCs w:val="21"/>
                <w:highlight w:val="none"/>
              </w:rPr>
            </w:pPr>
            <w:r>
              <w:rPr>
                <w:sz w:val="21"/>
                <w:szCs w:val="21"/>
                <w:highlight w:val="none"/>
              </w:rPr>
              <w:t>声源名称</w:t>
            </w:r>
          </w:p>
        </w:tc>
        <w:tc>
          <w:tcPr>
            <w:tcW w:w="2168" w:type="dxa"/>
            <w:vAlign w:val="center"/>
          </w:tcPr>
          <w:p>
            <w:pPr>
              <w:spacing w:line="240" w:lineRule="auto"/>
              <w:ind w:firstLine="0" w:firstLineChars="0"/>
              <w:jc w:val="center"/>
              <w:rPr>
                <w:sz w:val="21"/>
                <w:szCs w:val="21"/>
                <w:highlight w:val="none"/>
              </w:rPr>
            </w:pPr>
            <w:r>
              <w:rPr>
                <w:sz w:val="21"/>
                <w:szCs w:val="21"/>
                <w:highlight w:val="none"/>
              </w:rPr>
              <w:t>噪声级dB(A)</w:t>
            </w:r>
          </w:p>
        </w:tc>
        <w:tc>
          <w:tcPr>
            <w:tcW w:w="2141" w:type="dxa"/>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91" w:type="dxa"/>
            <w:vAlign w:val="center"/>
          </w:tcPr>
          <w:p>
            <w:pPr>
              <w:spacing w:line="240" w:lineRule="auto"/>
              <w:ind w:firstLine="0" w:firstLineChars="0"/>
              <w:jc w:val="center"/>
              <w:rPr>
                <w:sz w:val="21"/>
                <w:szCs w:val="21"/>
                <w:highlight w:val="none"/>
              </w:rPr>
            </w:pPr>
            <w:r>
              <w:rPr>
                <w:sz w:val="21"/>
                <w:szCs w:val="21"/>
                <w:highlight w:val="none"/>
              </w:rPr>
              <w:t>1</w:t>
            </w:r>
          </w:p>
        </w:tc>
        <w:tc>
          <w:tcPr>
            <w:tcW w:w="2628" w:type="dxa"/>
            <w:vAlign w:val="center"/>
          </w:tcPr>
          <w:p>
            <w:pPr>
              <w:spacing w:line="240" w:lineRule="auto"/>
              <w:ind w:firstLine="0" w:firstLineChars="0"/>
              <w:jc w:val="center"/>
              <w:rPr>
                <w:sz w:val="21"/>
                <w:szCs w:val="21"/>
                <w:highlight w:val="none"/>
              </w:rPr>
            </w:pPr>
            <w:r>
              <w:rPr>
                <w:sz w:val="21"/>
                <w:szCs w:val="21"/>
                <w:highlight w:val="none"/>
              </w:rPr>
              <w:t>推土机</w:t>
            </w:r>
          </w:p>
        </w:tc>
        <w:tc>
          <w:tcPr>
            <w:tcW w:w="2168" w:type="dxa"/>
            <w:vAlign w:val="center"/>
          </w:tcPr>
          <w:p>
            <w:pPr>
              <w:spacing w:line="240" w:lineRule="auto"/>
              <w:ind w:firstLine="0" w:firstLineChars="0"/>
              <w:jc w:val="center"/>
              <w:rPr>
                <w:sz w:val="21"/>
                <w:szCs w:val="21"/>
                <w:highlight w:val="none"/>
              </w:rPr>
            </w:pPr>
            <w:r>
              <w:rPr>
                <w:sz w:val="21"/>
                <w:szCs w:val="21"/>
                <w:highlight w:val="none"/>
              </w:rPr>
              <w:t>90</w:t>
            </w:r>
          </w:p>
        </w:tc>
        <w:tc>
          <w:tcPr>
            <w:tcW w:w="2141" w:type="dxa"/>
            <w:vAlign w:val="center"/>
          </w:tcPr>
          <w:p>
            <w:pPr>
              <w:spacing w:line="240" w:lineRule="auto"/>
              <w:ind w:firstLine="0" w:firstLineChars="0"/>
              <w:jc w:val="center"/>
              <w:rPr>
                <w:sz w:val="21"/>
                <w:szCs w:val="21"/>
                <w:highlight w:val="none"/>
              </w:rPr>
            </w:pPr>
            <w:r>
              <w:rPr>
                <w:sz w:val="21"/>
                <w:szCs w:val="21"/>
                <w:highlight w:val="none"/>
              </w:rPr>
              <w:t>距声源1m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91" w:type="dxa"/>
            <w:vAlign w:val="center"/>
          </w:tcPr>
          <w:p>
            <w:pPr>
              <w:spacing w:line="240" w:lineRule="auto"/>
              <w:ind w:firstLine="0" w:firstLineChars="0"/>
              <w:jc w:val="center"/>
              <w:rPr>
                <w:sz w:val="21"/>
                <w:szCs w:val="21"/>
                <w:highlight w:val="none"/>
              </w:rPr>
            </w:pPr>
            <w:r>
              <w:rPr>
                <w:sz w:val="21"/>
                <w:szCs w:val="21"/>
                <w:highlight w:val="none"/>
              </w:rPr>
              <w:t>2</w:t>
            </w:r>
          </w:p>
        </w:tc>
        <w:tc>
          <w:tcPr>
            <w:tcW w:w="2628" w:type="dxa"/>
            <w:vAlign w:val="center"/>
          </w:tcPr>
          <w:p>
            <w:pPr>
              <w:spacing w:line="240" w:lineRule="auto"/>
              <w:ind w:firstLine="0" w:firstLineChars="0"/>
              <w:jc w:val="center"/>
              <w:rPr>
                <w:sz w:val="21"/>
                <w:szCs w:val="21"/>
                <w:highlight w:val="none"/>
              </w:rPr>
            </w:pPr>
            <w:r>
              <w:rPr>
                <w:sz w:val="21"/>
                <w:szCs w:val="21"/>
                <w:highlight w:val="none"/>
              </w:rPr>
              <w:t>电钻</w:t>
            </w:r>
          </w:p>
        </w:tc>
        <w:tc>
          <w:tcPr>
            <w:tcW w:w="2168" w:type="dxa"/>
            <w:vAlign w:val="center"/>
          </w:tcPr>
          <w:p>
            <w:pPr>
              <w:spacing w:line="240" w:lineRule="auto"/>
              <w:ind w:firstLine="0" w:firstLineChars="0"/>
              <w:jc w:val="center"/>
              <w:rPr>
                <w:sz w:val="21"/>
                <w:szCs w:val="21"/>
                <w:highlight w:val="none"/>
              </w:rPr>
            </w:pPr>
            <w:r>
              <w:rPr>
                <w:sz w:val="21"/>
                <w:szCs w:val="21"/>
                <w:highlight w:val="none"/>
              </w:rPr>
              <w:t>92</w:t>
            </w:r>
          </w:p>
        </w:tc>
        <w:tc>
          <w:tcPr>
            <w:tcW w:w="2141" w:type="dxa"/>
            <w:vAlign w:val="center"/>
          </w:tcPr>
          <w:p>
            <w:pPr>
              <w:spacing w:line="240" w:lineRule="auto"/>
              <w:ind w:firstLine="0" w:firstLineChars="0"/>
              <w:jc w:val="center"/>
              <w:rPr>
                <w:sz w:val="21"/>
                <w:szCs w:val="21"/>
                <w:highlight w:val="none"/>
              </w:rPr>
            </w:pPr>
            <w:r>
              <w:rPr>
                <w:sz w:val="21"/>
                <w:szCs w:val="21"/>
                <w:highlight w:val="none"/>
              </w:rPr>
              <w:t>距声源1m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91" w:type="dxa"/>
            <w:vAlign w:val="center"/>
          </w:tcPr>
          <w:p>
            <w:pPr>
              <w:spacing w:line="240" w:lineRule="auto"/>
              <w:ind w:firstLine="0" w:firstLineChars="0"/>
              <w:jc w:val="center"/>
              <w:rPr>
                <w:sz w:val="21"/>
                <w:szCs w:val="21"/>
                <w:highlight w:val="none"/>
              </w:rPr>
            </w:pPr>
            <w:r>
              <w:rPr>
                <w:sz w:val="21"/>
                <w:szCs w:val="21"/>
                <w:highlight w:val="none"/>
              </w:rPr>
              <w:t>3</w:t>
            </w:r>
          </w:p>
        </w:tc>
        <w:tc>
          <w:tcPr>
            <w:tcW w:w="2628" w:type="dxa"/>
            <w:vAlign w:val="center"/>
          </w:tcPr>
          <w:p>
            <w:pPr>
              <w:spacing w:line="240" w:lineRule="auto"/>
              <w:ind w:firstLine="0" w:firstLineChars="0"/>
              <w:jc w:val="center"/>
              <w:rPr>
                <w:sz w:val="21"/>
                <w:szCs w:val="21"/>
                <w:highlight w:val="none"/>
              </w:rPr>
            </w:pPr>
            <w:r>
              <w:rPr>
                <w:sz w:val="21"/>
                <w:szCs w:val="21"/>
                <w:highlight w:val="none"/>
              </w:rPr>
              <w:t>载重汽车</w:t>
            </w:r>
          </w:p>
        </w:tc>
        <w:tc>
          <w:tcPr>
            <w:tcW w:w="2168" w:type="dxa"/>
            <w:vAlign w:val="center"/>
          </w:tcPr>
          <w:p>
            <w:pPr>
              <w:spacing w:line="240" w:lineRule="auto"/>
              <w:ind w:firstLine="0" w:firstLineChars="0"/>
              <w:jc w:val="center"/>
              <w:rPr>
                <w:sz w:val="21"/>
                <w:szCs w:val="21"/>
                <w:highlight w:val="none"/>
              </w:rPr>
            </w:pPr>
            <w:r>
              <w:rPr>
                <w:sz w:val="21"/>
                <w:szCs w:val="21"/>
                <w:highlight w:val="none"/>
              </w:rPr>
              <w:t>85</w:t>
            </w:r>
          </w:p>
        </w:tc>
        <w:tc>
          <w:tcPr>
            <w:tcW w:w="2141" w:type="dxa"/>
            <w:vAlign w:val="center"/>
          </w:tcPr>
          <w:p>
            <w:pPr>
              <w:spacing w:line="240" w:lineRule="auto"/>
              <w:ind w:firstLine="0" w:firstLineChars="0"/>
              <w:jc w:val="center"/>
              <w:rPr>
                <w:sz w:val="21"/>
                <w:szCs w:val="21"/>
                <w:highlight w:val="none"/>
              </w:rPr>
            </w:pPr>
            <w:r>
              <w:rPr>
                <w:sz w:val="21"/>
                <w:szCs w:val="21"/>
                <w:highlight w:val="none"/>
              </w:rPr>
              <w:t>距声源1m</w:t>
            </w:r>
          </w:p>
        </w:tc>
      </w:tr>
    </w:tbl>
    <w:p>
      <w:pPr>
        <w:autoSpaceDE w:val="0"/>
        <w:autoSpaceDN w:val="0"/>
        <w:ind w:firstLine="480"/>
        <w:jc w:val="both"/>
        <w:textAlignment w:val="auto"/>
        <w:rPr>
          <w:bCs/>
          <w:sz w:val="24"/>
          <w:highlight w:val="none"/>
        </w:rPr>
      </w:pPr>
    </w:p>
    <w:p>
      <w:pPr>
        <w:autoSpaceDE w:val="0"/>
        <w:autoSpaceDN w:val="0"/>
        <w:ind w:firstLine="480"/>
        <w:jc w:val="both"/>
        <w:textAlignment w:val="auto"/>
        <w:rPr>
          <w:bCs/>
          <w:sz w:val="24"/>
          <w:highlight w:val="none"/>
        </w:rPr>
      </w:pPr>
      <w:r>
        <w:rPr>
          <w:bCs/>
          <w:sz w:val="24"/>
          <w:highlight w:val="none"/>
        </w:rPr>
        <w:t>施工期间施工机械产生的噪声对环境的影响可采用点源预测模式计算，预测公式噪声传播衰减模式为：</w:t>
      </w:r>
    </w:p>
    <w:p>
      <w:pPr>
        <w:autoSpaceDE w:val="0"/>
        <w:autoSpaceDN w:val="0"/>
        <w:ind w:firstLine="480"/>
        <w:textAlignment w:val="auto"/>
        <w:rPr>
          <w:sz w:val="24"/>
          <w:szCs w:val="24"/>
          <w:highlight w:val="none"/>
          <w:lang w:val="pt-PT"/>
        </w:rPr>
      </w:pPr>
      <w:r>
        <w:rPr>
          <w:sz w:val="24"/>
          <w:szCs w:val="24"/>
          <w:highlight w:val="none"/>
          <w:lang w:val="pt-PT"/>
        </w:rPr>
        <w:t>L</w:t>
      </w:r>
      <w:r>
        <w:rPr>
          <w:sz w:val="24"/>
          <w:szCs w:val="24"/>
          <w:highlight w:val="none"/>
          <w:vertAlign w:val="subscript"/>
          <w:lang w:val="pt-PT"/>
        </w:rPr>
        <w:t>A</w:t>
      </w:r>
      <w:r>
        <w:rPr>
          <w:sz w:val="24"/>
          <w:szCs w:val="24"/>
          <w:highlight w:val="none"/>
          <w:lang w:val="pt-PT"/>
        </w:rPr>
        <w:t>(r)=L</w:t>
      </w:r>
      <w:r>
        <w:rPr>
          <w:sz w:val="24"/>
          <w:szCs w:val="24"/>
          <w:highlight w:val="none"/>
          <w:vertAlign w:val="subscript"/>
          <w:lang w:val="pt-PT"/>
        </w:rPr>
        <w:t>A</w:t>
      </w:r>
      <w:r>
        <w:rPr>
          <w:sz w:val="24"/>
          <w:szCs w:val="24"/>
          <w:highlight w:val="none"/>
          <w:lang w:val="pt-PT"/>
        </w:rPr>
        <w:t>(r</w:t>
      </w:r>
      <w:r>
        <w:rPr>
          <w:sz w:val="24"/>
          <w:szCs w:val="24"/>
          <w:highlight w:val="none"/>
          <w:vertAlign w:val="subscript"/>
          <w:lang w:val="pt-PT"/>
        </w:rPr>
        <w:t>0</w:t>
      </w:r>
      <w:r>
        <w:rPr>
          <w:sz w:val="24"/>
          <w:szCs w:val="24"/>
          <w:highlight w:val="none"/>
          <w:lang w:val="pt-PT"/>
        </w:rPr>
        <w:t>)-20lg(r/r</w:t>
      </w:r>
      <w:r>
        <w:rPr>
          <w:sz w:val="24"/>
          <w:szCs w:val="24"/>
          <w:highlight w:val="none"/>
          <w:vertAlign w:val="subscript"/>
          <w:lang w:val="pt-PT"/>
        </w:rPr>
        <w:t>0</w:t>
      </w:r>
      <w:r>
        <w:rPr>
          <w:sz w:val="24"/>
          <w:szCs w:val="24"/>
          <w:highlight w:val="none"/>
          <w:lang w:val="pt-PT"/>
        </w:rPr>
        <w:t>)</w:t>
      </w:r>
    </w:p>
    <w:p>
      <w:pPr>
        <w:autoSpaceDE w:val="0"/>
        <w:autoSpaceDN w:val="0"/>
        <w:ind w:firstLine="480"/>
        <w:textAlignment w:val="auto"/>
        <w:rPr>
          <w:sz w:val="24"/>
          <w:szCs w:val="24"/>
          <w:highlight w:val="none"/>
          <w:lang w:val="pt-PT"/>
        </w:rPr>
      </w:pPr>
      <w:r>
        <w:rPr>
          <w:sz w:val="24"/>
          <w:szCs w:val="24"/>
          <w:highlight w:val="none"/>
          <w:lang w:val="zh-CN"/>
        </w:rPr>
        <w:t>式中</w:t>
      </w:r>
      <w:r>
        <w:rPr>
          <w:sz w:val="24"/>
          <w:szCs w:val="24"/>
          <w:highlight w:val="none"/>
          <w:lang w:val="pt-PT"/>
        </w:rPr>
        <w:t>：L</w:t>
      </w:r>
      <w:r>
        <w:rPr>
          <w:sz w:val="24"/>
          <w:szCs w:val="24"/>
          <w:highlight w:val="none"/>
          <w:vertAlign w:val="subscript"/>
          <w:lang w:val="pt-PT"/>
        </w:rPr>
        <w:t>A</w:t>
      </w:r>
      <w:r>
        <w:rPr>
          <w:sz w:val="24"/>
          <w:szCs w:val="24"/>
          <w:highlight w:val="none"/>
          <w:lang w:val="pt-PT"/>
        </w:rPr>
        <w:t>(r)-</w:t>
      </w:r>
      <w:r>
        <w:rPr>
          <w:sz w:val="24"/>
          <w:szCs w:val="24"/>
          <w:highlight w:val="none"/>
          <w:lang w:val="zh-CN"/>
        </w:rPr>
        <w:t>距声源</w:t>
      </w:r>
      <w:r>
        <w:rPr>
          <w:sz w:val="24"/>
          <w:szCs w:val="24"/>
          <w:highlight w:val="none"/>
          <w:lang w:val="pt-PT"/>
        </w:rPr>
        <w:t>r</w:t>
      </w:r>
      <w:r>
        <w:rPr>
          <w:sz w:val="24"/>
          <w:szCs w:val="24"/>
          <w:highlight w:val="none"/>
          <w:lang w:val="zh-CN"/>
        </w:rPr>
        <w:t>处的</w:t>
      </w:r>
      <w:r>
        <w:rPr>
          <w:sz w:val="24"/>
          <w:szCs w:val="24"/>
          <w:highlight w:val="none"/>
          <w:lang w:val="pt-PT"/>
        </w:rPr>
        <w:t>A</w:t>
      </w:r>
      <w:r>
        <w:rPr>
          <w:sz w:val="24"/>
          <w:szCs w:val="24"/>
          <w:highlight w:val="none"/>
          <w:lang w:val="zh-CN"/>
        </w:rPr>
        <w:t>声级</w:t>
      </w:r>
      <w:r>
        <w:rPr>
          <w:sz w:val="24"/>
          <w:szCs w:val="24"/>
          <w:highlight w:val="none"/>
          <w:lang w:val="pt-PT"/>
        </w:rPr>
        <w:t>，dB(A)</w:t>
      </w:r>
    </w:p>
    <w:p>
      <w:pPr>
        <w:autoSpaceDE w:val="0"/>
        <w:autoSpaceDN w:val="0"/>
        <w:ind w:firstLine="480"/>
        <w:textAlignment w:val="auto"/>
        <w:rPr>
          <w:sz w:val="24"/>
          <w:szCs w:val="24"/>
          <w:highlight w:val="none"/>
          <w:lang w:val="pt-PT"/>
        </w:rPr>
      </w:pPr>
      <w:r>
        <w:rPr>
          <w:sz w:val="24"/>
          <w:szCs w:val="24"/>
          <w:highlight w:val="none"/>
          <w:lang w:val="pt-PT"/>
        </w:rPr>
        <w:t xml:space="preserve">      L</w:t>
      </w:r>
      <w:r>
        <w:rPr>
          <w:sz w:val="24"/>
          <w:szCs w:val="24"/>
          <w:highlight w:val="none"/>
          <w:vertAlign w:val="subscript"/>
          <w:lang w:val="pt-PT"/>
        </w:rPr>
        <w:t>A</w:t>
      </w:r>
      <w:r>
        <w:rPr>
          <w:sz w:val="24"/>
          <w:szCs w:val="24"/>
          <w:highlight w:val="none"/>
          <w:lang w:val="pt-PT"/>
        </w:rPr>
        <w:t>(r</w:t>
      </w:r>
      <w:r>
        <w:rPr>
          <w:sz w:val="24"/>
          <w:szCs w:val="24"/>
          <w:highlight w:val="none"/>
          <w:vertAlign w:val="subscript"/>
          <w:lang w:val="pt-PT"/>
        </w:rPr>
        <w:t>0</w:t>
      </w:r>
      <w:r>
        <w:rPr>
          <w:sz w:val="24"/>
          <w:szCs w:val="24"/>
          <w:highlight w:val="none"/>
          <w:lang w:val="pt-PT"/>
        </w:rPr>
        <w:t>)-</w:t>
      </w:r>
      <w:r>
        <w:rPr>
          <w:sz w:val="24"/>
          <w:szCs w:val="24"/>
          <w:highlight w:val="none"/>
          <w:lang w:val="zh-CN"/>
        </w:rPr>
        <w:t>距声源</w:t>
      </w:r>
      <w:r>
        <w:rPr>
          <w:sz w:val="24"/>
          <w:szCs w:val="24"/>
          <w:highlight w:val="none"/>
          <w:lang w:val="pt-PT"/>
        </w:rPr>
        <w:t>r</w:t>
      </w:r>
      <w:r>
        <w:rPr>
          <w:sz w:val="24"/>
          <w:szCs w:val="24"/>
          <w:highlight w:val="none"/>
          <w:vertAlign w:val="subscript"/>
          <w:lang w:val="pt-PT"/>
        </w:rPr>
        <w:t>0</w:t>
      </w:r>
      <w:r>
        <w:rPr>
          <w:sz w:val="24"/>
          <w:szCs w:val="24"/>
          <w:highlight w:val="none"/>
          <w:lang w:val="zh-CN"/>
        </w:rPr>
        <w:t>处的</w:t>
      </w:r>
      <w:r>
        <w:rPr>
          <w:sz w:val="24"/>
          <w:szCs w:val="24"/>
          <w:highlight w:val="none"/>
          <w:lang w:val="pt-PT"/>
        </w:rPr>
        <w:t>A</w:t>
      </w:r>
      <w:r>
        <w:rPr>
          <w:sz w:val="24"/>
          <w:szCs w:val="24"/>
          <w:highlight w:val="none"/>
          <w:lang w:val="zh-CN"/>
        </w:rPr>
        <w:t>声级</w:t>
      </w:r>
      <w:r>
        <w:rPr>
          <w:sz w:val="24"/>
          <w:szCs w:val="24"/>
          <w:highlight w:val="none"/>
          <w:lang w:val="pt-PT"/>
        </w:rPr>
        <w:t>，dB(A)</w:t>
      </w:r>
    </w:p>
    <w:p>
      <w:pPr>
        <w:autoSpaceDE w:val="0"/>
        <w:autoSpaceDN w:val="0"/>
        <w:ind w:firstLine="480"/>
        <w:textAlignment w:val="auto"/>
        <w:rPr>
          <w:sz w:val="24"/>
          <w:szCs w:val="24"/>
          <w:highlight w:val="none"/>
        </w:rPr>
      </w:pPr>
      <w:r>
        <w:rPr>
          <w:sz w:val="24"/>
          <w:szCs w:val="24"/>
          <w:highlight w:val="none"/>
        </w:rPr>
        <w:t>r-</w:t>
      </w:r>
      <w:r>
        <w:rPr>
          <w:sz w:val="24"/>
          <w:szCs w:val="24"/>
          <w:highlight w:val="none"/>
          <w:lang w:val="zh-CN"/>
        </w:rPr>
        <w:t>预测点距噪声源距离，</w:t>
      </w:r>
      <w:r>
        <w:rPr>
          <w:sz w:val="24"/>
          <w:szCs w:val="24"/>
          <w:highlight w:val="none"/>
        </w:rPr>
        <w:t>m</w:t>
      </w:r>
    </w:p>
    <w:p>
      <w:pPr>
        <w:autoSpaceDE w:val="0"/>
        <w:autoSpaceDN w:val="0"/>
        <w:ind w:firstLine="480"/>
        <w:textAlignment w:val="auto"/>
        <w:rPr>
          <w:sz w:val="24"/>
          <w:szCs w:val="24"/>
          <w:highlight w:val="none"/>
        </w:rPr>
      </w:pPr>
      <w:r>
        <w:rPr>
          <w:sz w:val="24"/>
          <w:szCs w:val="24"/>
          <w:highlight w:val="none"/>
        </w:rPr>
        <w:t xml:space="preserve">      r</w:t>
      </w:r>
      <w:r>
        <w:rPr>
          <w:sz w:val="24"/>
          <w:szCs w:val="24"/>
          <w:highlight w:val="none"/>
          <w:vertAlign w:val="subscript"/>
        </w:rPr>
        <w:t>0</w:t>
      </w:r>
      <w:r>
        <w:rPr>
          <w:sz w:val="24"/>
          <w:szCs w:val="24"/>
          <w:highlight w:val="none"/>
        </w:rPr>
        <w:t>-</w:t>
      </w:r>
      <w:r>
        <w:rPr>
          <w:sz w:val="24"/>
          <w:szCs w:val="24"/>
          <w:highlight w:val="none"/>
          <w:lang w:val="zh-CN"/>
        </w:rPr>
        <w:t>距噪声源的参照距离，</w:t>
      </w:r>
      <w:r>
        <w:rPr>
          <w:sz w:val="24"/>
          <w:szCs w:val="24"/>
          <w:highlight w:val="none"/>
        </w:rPr>
        <w:t>m</w:t>
      </w:r>
    </w:p>
    <w:p>
      <w:pPr>
        <w:autoSpaceDE w:val="0"/>
        <w:autoSpaceDN w:val="0"/>
        <w:ind w:firstLine="480"/>
        <w:textAlignment w:val="auto"/>
        <w:rPr>
          <w:rFonts w:eastAsia="黑体"/>
          <w:sz w:val="24"/>
          <w:szCs w:val="24"/>
          <w:highlight w:val="none"/>
        </w:rPr>
      </w:pPr>
      <w:r>
        <w:rPr>
          <w:sz w:val="24"/>
          <w:szCs w:val="24"/>
          <w:highlight w:val="none"/>
        </w:rPr>
        <w:t>主要施工机械噪声随距离的衰减情况见表</w:t>
      </w:r>
      <w:r>
        <w:rPr>
          <w:rFonts w:eastAsia="黑体"/>
          <w:sz w:val="24"/>
          <w:szCs w:val="24"/>
          <w:highlight w:val="none"/>
        </w:rPr>
        <w:t>5.1-2。</w:t>
      </w:r>
    </w:p>
    <w:p>
      <w:pPr>
        <w:spacing w:line="240" w:lineRule="auto"/>
        <w:ind w:firstLine="0" w:firstLineChars="0"/>
        <w:jc w:val="center"/>
        <w:textAlignment w:val="auto"/>
        <w:rPr>
          <w:rFonts w:eastAsia="黑体"/>
          <w:kern w:val="2"/>
          <w:sz w:val="21"/>
          <w:szCs w:val="21"/>
          <w:highlight w:val="none"/>
        </w:rPr>
      </w:pP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表5.1-2   本项目施工期噪声源强及达标情况一览表单位：dB（A）</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37"/>
        <w:gridCol w:w="2615"/>
        <w:gridCol w:w="1668"/>
        <w:gridCol w:w="16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Merge w:val="restart"/>
            <w:vAlign w:val="center"/>
          </w:tcPr>
          <w:p>
            <w:pPr>
              <w:spacing w:line="240" w:lineRule="auto"/>
              <w:ind w:firstLine="0" w:firstLineChars="0"/>
              <w:jc w:val="center"/>
              <w:rPr>
                <w:sz w:val="21"/>
                <w:szCs w:val="21"/>
                <w:highlight w:val="none"/>
              </w:rPr>
            </w:pPr>
            <w:r>
              <w:rPr>
                <w:sz w:val="21"/>
                <w:szCs w:val="21"/>
                <w:highlight w:val="none"/>
              </w:rPr>
              <w:t>噪声设备</w:t>
            </w:r>
          </w:p>
        </w:tc>
        <w:tc>
          <w:tcPr>
            <w:tcW w:w="2615" w:type="dxa"/>
            <w:vMerge w:val="restart"/>
            <w:vAlign w:val="center"/>
          </w:tcPr>
          <w:p>
            <w:pPr>
              <w:spacing w:line="240" w:lineRule="auto"/>
              <w:ind w:firstLine="0" w:firstLineChars="0"/>
              <w:jc w:val="center"/>
              <w:rPr>
                <w:sz w:val="21"/>
                <w:szCs w:val="21"/>
                <w:highlight w:val="none"/>
              </w:rPr>
            </w:pPr>
            <w:r>
              <w:rPr>
                <w:sz w:val="21"/>
                <w:szCs w:val="21"/>
                <w:highlight w:val="none"/>
              </w:rPr>
              <w:t>设备噪声源强dB（A）</w:t>
            </w:r>
          </w:p>
        </w:tc>
        <w:tc>
          <w:tcPr>
            <w:tcW w:w="3276" w:type="dxa"/>
            <w:gridSpan w:val="2"/>
            <w:vAlign w:val="center"/>
          </w:tcPr>
          <w:p>
            <w:pPr>
              <w:spacing w:line="240" w:lineRule="auto"/>
              <w:ind w:firstLine="0" w:firstLineChars="0"/>
              <w:jc w:val="center"/>
              <w:rPr>
                <w:sz w:val="21"/>
                <w:szCs w:val="21"/>
                <w:highlight w:val="none"/>
              </w:rPr>
            </w:pPr>
            <w:r>
              <w:rPr>
                <w:sz w:val="21"/>
                <w:szCs w:val="21"/>
                <w:highlight w:val="none"/>
              </w:rPr>
              <w:t>达标距离m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Merge w:val="continue"/>
            <w:vAlign w:val="center"/>
          </w:tcPr>
          <w:p>
            <w:pPr>
              <w:spacing w:line="240" w:lineRule="auto"/>
              <w:ind w:firstLine="0" w:firstLineChars="0"/>
              <w:jc w:val="center"/>
              <w:rPr>
                <w:sz w:val="21"/>
                <w:szCs w:val="21"/>
                <w:highlight w:val="none"/>
              </w:rPr>
            </w:pPr>
          </w:p>
        </w:tc>
        <w:tc>
          <w:tcPr>
            <w:tcW w:w="2615" w:type="dxa"/>
            <w:vMerge w:val="continue"/>
            <w:vAlign w:val="center"/>
          </w:tcPr>
          <w:p>
            <w:pPr>
              <w:spacing w:line="240" w:lineRule="auto"/>
              <w:ind w:firstLine="0" w:firstLineChars="0"/>
              <w:jc w:val="center"/>
              <w:rPr>
                <w:sz w:val="21"/>
                <w:szCs w:val="21"/>
                <w:highlight w:val="none"/>
              </w:rPr>
            </w:pPr>
          </w:p>
        </w:tc>
        <w:tc>
          <w:tcPr>
            <w:tcW w:w="1668" w:type="dxa"/>
            <w:vAlign w:val="center"/>
          </w:tcPr>
          <w:p>
            <w:pPr>
              <w:spacing w:line="240" w:lineRule="auto"/>
              <w:ind w:firstLine="0" w:firstLineChars="0"/>
              <w:jc w:val="center"/>
              <w:rPr>
                <w:sz w:val="21"/>
                <w:szCs w:val="21"/>
                <w:highlight w:val="none"/>
              </w:rPr>
            </w:pPr>
            <w:r>
              <w:rPr>
                <w:sz w:val="21"/>
                <w:szCs w:val="21"/>
                <w:highlight w:val="none"/>
              </w:rPr>
              <w:t>昼间</w:t>
            </w:r>
          </w:p>
        </w:tc>
        <w:tc>
          <w:tcPr>
            <w:tcW w:w="1608" w:type="dxa"/>
            <w:vAlign w:val="center"/>
          </w:tcPr>
          <w:p>
            <w:pPr>
              <w:spacing w:line="240" w:lineRule="auto"/>
              <w:ind w:firstLine="0" w:firstLineChars="0"/>
              <w:jc w:val="center"/>
              <w:rPr>
                <w:sz w:val="21"/>
                <w:szCs w:val="21"/>
                <w:highlight w:val="none"/>
              </w:rPr>
            </w:pPr>
            <w:r>
              <w:rPr>
                <w:sz w:val="21"/>
                <w:szCs w:val="21"/>
                <w:highlight w:val="none"/>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Align w:val="center"/>
          </w:tcPr>
          <w:p>
            <w:pPr>
              <w:spacing w:line="240" w:lineRule="auto"/>
              <w:ind w:firstLine="0" w:firstLineChars="0"/>
              <w:jc w:val="center"/>
              <w:rPr>
                <w:sz w:val="21"/>
                <w:szCs w:val="21"/>
                <w:highlight w:val="none"/>
              </w:rPr>
            </w:pPr>
            <w:r>
              <w:rPr>
                <w:sz w:val="21"/>
                <w:szCs w:val="21"/>
                <w:highlight w:val="none"/>
              </w:rPr>
              <w:t>推土机</w:t>
            </w:r>
          </w:p>
        </w:tc>
        <w:tc>
          <w:tcPr>
            <w:tcW w:w="2615" w:type="dxa"/>
            <w:vAlign w:val="center"/>
          </w:tcPr>
          <w:p>
            <w:pPr>
              <w:spacing w:line="240" w:lineRule="auto"/>
              <w:ind w:firstLine="0" w:firstLineChars="0"/>
              <w:jc w:val="center"/>
              <w:rPr>
                <w:sz w:val="21"/>
                <w:szCs w:val="21"/>
                <w:highlight w:val="none"/>
              </w:rPr>
            </w:pPr>
            <w:r>
              <w:rPr>
                <w:sz w:val="21"/>
                <w:szCs w:val="21"/>
                <w:highlight w:val="none"/>
              </w:rPr>
              <w:t>90</w:t>
            </w:r>
          </w:p>
        </w:tc>
        <w:tc>
          <w:tcPr>
            <w:tcW w:w="1668" w:type="dxa"/>
            <w:vAlign w:val="center"/>
          </w:tcPr>
          <w:p>
            <w:pPr>
              <w:spacing w:line="240" w:lineRule="auto"/>
              <w:ind w:firstLine="0" w:firstLineChars="0"/>
              <w:jc w:val="center"/>
              <w:rPr>
                <w:sz w:val="21"/>
                <w:szCs w:val="21"/>
                <w:highlight w:val="none"/>
              </w:rPr>
            </w:pPr>
            <w:r>
              <w:rPr>
                <w:sz w:val="21"/>
                <w:szCs w:val="21"/>
                <w:highlight w:val="none"/>
              </w:rPr>
              <w:t>10</w:t>
            </w:r>
          </w:p>
        </w:tc>
        <w:tc>
          <w:tcPr>
            <w:tcW w:w="1608" w:type="dxa"/>
            <w:vAlign w:val="center"/>
          </w:tcPr>
          <w:p>
            <w:pPr>
              <w:spacing w:line="240" w:lineRule="auto"/>
              <w:ind w:firstLine="0" w:firstLineChars="0"/>
              <w:jc w:val="center"/>
              <w:rPr>
                <w:sz w:val="21"/>
                <w:szCs w:val="21"/>
                <w:highlight w:val="none"/>
              </w:rPr>
            </w:pPr>
            <w:r>
              <w:rPr>
                <w:sz w:val="21"/>
                <w:szCs w:val="21"/>
                <w:highlight w:val="none"/>
              </w:rPr>
              <w:t>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Align w:val="center"/>
          </w:tcPr>
          <w:p>
            <w:pPr>
              <w:spacing w:line="240" w:lineRule="auto"/>
              <w:ind w:firstLine="0" w:firstLineChars="0"/>
              <w:jc w:val="center"/>
              <w:rPr>
                <w:sz w:val="21"/>
                <w:szCs w:val="21"/>
                <w:highlight w:val="none"/>
              </w:rPr>
            </w:pPr>
            <w:r>
              <w:rPr>
                <w:sz w:val="21"/>
                <w:szCs w:val="21"/>
                <w:highlight w:val="none"/>
              </w:rPr>
              <w:t>电钻</w:t>
            </w:r>
          </w:p>
        </w:tc>
        <w:tc>
          <w:tcPr>
            <w:tcW w:w="2615" w:type="dxa"/>
            <w:vAlign w:val="center"/>
          </w:tcPr>
          <w:p>
            <w:pPr>
              <w:spacing w:line="240" w:lineRule="auto"/>
              <w:ind w:firstLine="0" w:firstLineChars="0"/>
              <w:jc w:val="center"/>
              <w:rPr>
                <w:sz w:val="21"/>
                <w:szCs w:val="21"/>
                <w:highlight w:val="none"/>
              </w:rPr>
            </w:pPr>
            <w:r>
              <w:rPr>
                <w:sz w:val="21"/>
                <w:szCs w:val="21"/>
                <w:highlight w:val="none"/>
              </w:rPr>
              <w:t>92</w:t>
            </w:r>
          </w:p>
        </w:tc>
        <w:tc>
          <w:tcPr>
            <w:tcW w:w="1668" w:type="dxa"/>
            <w:vAlign w:val="center"/>
          </w:tcPr>
          <w:p>
            <w:pPr>
              <w:spacing w:line="240" w:lineRule="auto"/>
              <w:ind w:firstLine="0" w:firstLineChars="0"/>
              <w:jc w:val="center"/>
              <w:rPr>
                <w:sz w:val="21"/>
                <w:szCs w:val="21"/>
                <w:highlight w:val="none"/>
              </w:rPr>
            </w:pPr>
            <w:r>
              <w:rPr>
                <w:sz w:val="21"/>
                <w:szCs w:val="21"/>
                <w:highlight w:val="none"/>
              </w:rPr>
              <w:t>12.6</w:t>
            </w:r>
          </w:p>
        </w:tc>
        <w:tc>
          <w:tcPr>
            <w:tcW w:w="1608" w:type="dxa"/>
            <w:vAlign w:val="center"/>
          </w:tcPr>
          <w:p>
            <w:pPr>
              <w:spacing w:line="240" w:lineRule="auto"/>
              <w:ind w:firstLine="0" w:firstLineChars="0"/>
              <w:jc w:val="center"/>
              <w:rPr>
                <w:sz w:val="21"/>
                <w:szCs w:val="21"/>
                <w:highlight w:val="none"/>
              </w:rPr>
            </w:pPr>
            <w:r>
              <w:rPr>
                <w:sz w:val="21"/>
                <w:szCs w:val="21"/>
                <w:highlight w:val="none"/>
              </w:rPr>
              <w:t>70.8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Align w:val="center"/>
          </w:tcPr>
          <w:p>
            <w:pPr>
              <w:spacing w:line="240" w:lineRule="auto"/>
              <w:ind w:firstLine="0" w:firstLineChars="0"/>
              <w:jc w:val="center"/>
              <w:rPr>
                <w:sz w:val="21"/>
                <w:szCs w:val="21"/>
                <w:highlight w:val="none"/>
              </w:rPr>
            </w:pPr>
            <w:r>
              <w:rPr>
                <w:sz w:val="21"/>
                <w:szCs w:val="21"/>
                <w:highlight w:val="none"/>
              </w:rPr>
              <w:t>载重卡车</w:t>
            </w:r>
          </w:p>
        </w:tc>
        <w:tc>
          <w:tcPr>
            <w:tcW w:w="2615" w:type="dxa"/>
            <w:vAlign w:val="center"/>
          </w:tcPr>
          <w:p>
            <w:pPr>
              <w:spacing w:line="240" w:lineRule="auto"/>
              <w:ind w:firstLine="0" w:firstLineChars="0"/>
              <w:jc w:val="center"/>
              <w:rPr>
                <w:sz w:val="21"/>
                <w:szCs w:val="21"/>
                <w:highlight w:val="none"/>
              </w:rPr>
            </w:pPr>
            <w:r>
              <w:rPr>
                <w:sz w:val="21"/>
                <w:szCs w:val="21"/>
                <w:highlight w:val="none"/>
              </w:rPr>
              <w:t>85</w:t>
            </w:r>
          </w:p>
        </w:tc>
        <w:tc>
          <w:tcPr>
            <w:tcW w:w="1668" w:type="dxa"/>
            <w:vAlign w:val="center"/>
          </w:tcPr>
          <w:p>
            <w:pPr>
              <w:spacing w:line="240" w:lineRule="auto"/>
              <w:ind w:firstLine="0" w:firstLineChars="0"/>
              <w:jc w:val="center"/>
              <w:rPr>
                <w:sz w:val="21"/>
                <w:szCs w:val="21"/>
                <w:highlight w:val="none"/>
              </w:rPr>
            </w:pPr>
            <w:r>
              <w:rPr>
                <w:sz w:val="21"/>
                <w:szCs w:val="21"/>
                <w:highlight w:val="none"/>
              </w:rPr>
              <w:t>5.6</w:t>
            </w:r>
          </w:p>
        </w:tc>
        <w:tc>
          <w:tcPr>
            <w:tcW w:w="1608" w:type="dxa"/>
            <w:vAlign w:val="center"/>
          </w:tcPr>
          <w:p>
            <w:pPr>
              <w:spacing w:line="240" w:lineRule="auto"/>
              <w:ind w:firstLine="0" w:firstLineChars="0"/>
              <w:jc w:val="center"/>
              <w:rPr>
                <w:sz w:val="21"/>
                <w:szCs w:val="21"/>
                <w:highlight w:val="none"/>
              </w:rPr>
            </w:pPr>
            <w:r>
              <w:rPr>
                <w:sz w:val="21"/>
                <w:szCs w:val="21"/>
                <w:highlight w:val="none"/>
              </w:rPr>
              <w:t>31.6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Align w:val="center"/>
          </w:tcPr>
          <w:p>
            <w:pPr>
              <w:spacing w:line="240" w:lineRule="auto"/>
              <w:ind w:firstLine="0" w:firstLineChars="0"/>
              <w:jc w:val="center"/>
              <w:rPr>
                <w:sz w:val="21"/>
                <w:szCs w:val="21"/>
                <w:highlight w:val="none"/>
              </w:rPr>
            </w:pPr>
            <w:r>
              <w:rPr>
                <w:sz w:val="21"/>
                <w:szCs w:val="21"/>
                <w:highlight w:val="none"/>
              </w:rPr>
              <w:t>设备叠加噪声值</w:t>
            </w:r>
          </w:p>
        </w:tc>
        <w:tc>
          <w:tcPr>
            <w:tcW w:w="2615" w:type="dxa"/>
            <w:vAlign w:val="center"/>
          </w:tcPr>
          <w:p>
            <w:pPr>
              <w:spacing w:line="240" w:lineRule="auto"/>
              <w:ind w:firstLine="0" w:firstLineChars="0"/>
              <w:jc w:val="center"/>
              <w:rPr>
                <w:sz w:val="21"/>
                <w:szCs w:val="21"/>
                <w:highlight w:val="none"/>
              </w:rPr>
            </w:pPr>
            <w:r>
              <w:rPr>
                <w:sz w:val="21"/>
                <w:szCs w:val="21"/>
                <w:highlight w:val="none"/>
              </w:rPr>
              <w:t>96</w:t>
            </w:r>
          </w:p>
        </w:tc>
        <w:tc>
          <w:tcPr>
            <w:tcW w:w="1668" w:type="dxa"/>
            <w:vAlign w:val="center"/>
          </w:tcPr>
          <w:p>
            <w:pPr>
              <w:spacing w:line="240" w:lineRule="auto"/>
              <w:ind w:firstLine="0" w:firstLineChars="0"/>
              <w:jc w:val="center"/>
              <w:rPr>
                <w:sz w:val="21"/>
                <w:szCs w:val="21"/>
                <w:highlight w:val="none"/>
              </w:rPr>
            </w:pPr>
            <w:r>
              <w:rPr>
                <w:sz w:val="21"/>
                <w:szCs w:val="21"/>
                <w:highlight w:val="none"/>
              </w:rPr>
              <w:t>20</w:t>
            </w:r>
          </w:p>
        </w:tc>
        <w:tc>
          <w:tcPr>
            <w:tcW w:w="1608" w:type="dxa"/>
            <w:vAlign w:val="center"/>
          </w:tcPr>
          <w:p>
            <w:pPr>
              <w:spacing w:line="240" w:lineRule="auto"/>
              <w:ind w:firstLine="0" w:firstLineChars="0"/>
              <w:jc w:val="center"/>
              <w:rPr>
                <w:sz w:val="21"/>
                <w:szCs w:val="21"/>
                <w:highlight w:val="none"/>
              </w:rPr>
            </w:pPr>
            <w:r>
              <w:rPr>
                <w:sz w:val="21"/>
                <w:szCs w:val="21"/>
                <w:highlight w:val="none"/>
              </w:rPr>
              <w:t>113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528" w:type="dxa"/>
            <w:gridSpan w:val="4"/>
            <w:vAlign w:val="center"/>
          </w:tcPr>
          <w:p>
            <w:pPr>
              <w:spacing w:line="240" w:lineRule="auto"/>
              <w:ind w:firstLine="0" w:firstLineChars="0"/>
              <w:jc w:val="center"/>
              <w:rPr>
                <w:sz w:val="21"/>
                <w:szCs w:val="21"/>
                <w:highlight w:val="none"/>
              </w:rPr>
            </w:pPr>
            <w:r>
              <w:rPr>
                <w:sz w:val="21"/>
                <w:szCs w:val="21"/>
                <w:highlight w:val="none"/>
              </w:rPr>
              <w:t>《建筑施工场界环境噪声排放标准》（GB12523-2011）（昼间70dB(A)、夜间55dB(A)）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528" w:type="dxa"/>
            <w:gridSpan w:val="4"/>
            <w:vAlign w:val="center"/>
          </w:tcPr>
          <w:p>
            <w:pPr>
              <w:spacing w:line="240" w:lineRule="auto"/>
              <w:ind w:firstLine="0" w:firstLineChars="0"/>
              <w:jc w:val="center"/>
              <w:rPr>
                <w:sz w:val="21"/>
                <w:szCs w:val="21"/>
                <w:highlight w:val="none"/>
              </w:rPr>
            </w:pPr>
            <w:r>
              <w:rPr>
                <w:sz w:val="21"/>
                <w:szCs w:val="21"/>
                <w:highlight w:val="none"/>
              </w:rPr>
              <w:t>备注：本项目只在昼间施工，夜间不施工。</w:t>
            </w:r>
          </w:p>
        </w:tc>
      </w:tr>
    </w:tbl>
    <w:p>
      <w:pPr>
        <w:ind w:firstLine="0" w:firstLineChars="0"/>
        <w:rPr>
          <w:sz w:val="24"/>
          <w:highlight w:val="none"/>
        </w:rPr>
      </w:pPr>
    </w:p>
    <w:p>
      <w:pPr>
        <w:ind w:firstLine="480"/>
        <w:jc w:val="both"/>
        <w:rPr>
          <w:bCs/>
          <w:sz w:val="24"/>
          <w:highlight w:val="none"/>
        </w:rPr>
      </w:pPr>
      <w:r>
        <w:rPr>
          <w:bCs/>
          <w:sz w:val="24"/>
          <w:highlight w:val="none"/>
        </w:rPr>
        <w:t>（2）施工期声环境影响分析</w:t>
      </w:r>
    </w:p>
    <w:p>
      <w:pPr>
        <w:autoSpaceDE w:val="0"/>
        <w:autoSpaceDN w:val="0"/>
        <w:ind w:firstLine="480"/>
        <w:jc w:val="both"/>
        <w:textAlignment w:val="auto"/>
        <w:rPr>
          <w:bCs/>
          <w:sz w:val="24"/>
          <w:highlight w:val="none"/>
        </w:rPr>
      </w:pPr>
      <w:r>
        <w:rPr>
          <w:bCs/>
          <w:sz w:val="24"/>
          <w:highlight w:val="none"/>
        </w:rPr>
        <w:t>项目施工期噪声执行《建筑施工场界环境噪声排放标准》（GB12523-2011），从表5.1-2中可看出，推土机昼间噪声超标的情况出现在距声源40m范围内，夜间施工噪声超标情况出现在113m范围内；本项目夜间不施工，昼间施工时评价要求高噪声施工设备要合理安排施工位置，远离场界，使场界昼间噪声达标。</w:t>
      </w:r>
    </w:p>
    <w:p>
      <w:pPr>
        <w:spacing w:line="460" w:lineRule="exact"/>
        <w:ind w:firstLine="480"/>
        <w:jc w:val="both"/>
        <w:rPr>
          <w:bCs/>
          <w:sz w:val="24"/>
          <w:highlight w:val="none"/>
        </w:rPr>
      </w:pPr>
      <w:r>
        <w:rPr>
          <w:bCs/>
          <w:sz w:val="24"/>
          <w:highlight w:val="none"/>
        </w:rPr>
        <w:t>距厂址最近的居民点为东侧520m处的西新店子村。施工期噪声对周围敏感点影响较小。</w:t>
      </w:r>
    </w:p>
    <w:p>
      <w:pPr>
        <w:spacing w:line="460" w:lineRule="exact"/>
        <w:ind w:firstLine="480"/>
        <w:jc w:val="both"/>
        <w:rPr>
          <w:bCs/>
          <w:sz w:val="24"/>
          <w:highlight w:val="none"/>
        </w:rPr>
      </w:pPr>
      <w:r>
        <w:rPr>
          <w:bCs/>
          <w:sz w:val="24"/>
          <w:highlight w:val="none"/>
        </w:rPr>
        <w:t>评价建议施工单位应合理安排施工时间，禁止夜间施工；采取合理的施工方式，优先选用低噪声的施工设备，减少高噪声设备机械的同时运行。</w:t>
      </w:r>
    </w:p>
    <w:p>
      <w:pPr>
        <w:spacing w:line="460" w:lineRule="exact"/>
        <w:ind w:firstLine="480"/>
        <w:jc w:val="both"/>
        <w:rPr>
          <w:bCs/>
          <w:sz w:val="24"/>
          <w:highlight w:val="none"/>
        </w:rPr>
      </w:pPr>
      <w:r>
        <w:rPr>
          <w:bCs/>
          <w:sz w:val="24"/>
          <w:highlight w:val="none"/>
        </w:rPr>
        <w:t>施工是短时期的，因此施工过程中对区域声环境的影响是暂时的，将随着施工的结束而消失。</w:t>
      </w:r>
    </w:p>
    <w:p>
      <w:pPr>
        <w:pStyle w:val="6"/>
        <w:numPr>
          <w:ilvl w:val="2"/>
          <w:numId w:val="1"/>
        </w:numPr>
        <w:spacing w:before="0" w:after="0"/>
        <w:ind w:left="567"/>
        <w:rPr>
          <w:szCs w:val="28"/>
          <w:highlight w:val="none"/>
        </w:rPr>
      </w:pPr>
      <w:bookmarkStart w:id="442" w:name="_Toc521591794"/>
      <w:bookmarkStart w:id="443" w:name="_Toc298705398"/>
      <w:bookmarkStart w:id="444" w:name="_Toc21641"/>
      <w:r>
        <w:rPr>
          <w:szCs w:val="28"/>
          <w:highlight w:val="none"/>
        </w:rPr>
        <w:t>施工期固体废物环境影响分析</w:t>
      </w:r>
      <w:bookmarkEnd w:id="442"/>
      <w:bookmarkEnd w:id="443"/>
      <w:bookmarkEnd w:id="444"/>
    </w:p>
    <w:p>
      <w:pPr>
        <w:autoSpaceDE w:val="0"/>
        <w:autoSpaceDN w:val="0"/>
        <w:ind w:firstLine="480"/>
        <w:jc w:val="both"/>
        <w:textAlignment w:val="auto"/>
        <w:rPr>
          <w:sz w:val="24"/>
          <w:szCs w:val="24"/>
          <w:highlight w:val="none"/>
        </w:rPr>
      </w:pPr>
      <w:bookmarkStart w:id="445" w:name="OLE_LINK69"/>
      <w:bookmarkStart w:id="446" w:name="OLE_LINK68"/>
      <w:r>
        <w:rPr>
          <w:sz w:val="24"/>
          <w:szCs w:val="24"/>
          <w:highlight w:val="none"/>
        </w:rPr>
        <w:t>本项目施工期固废主要是</w:t>
      </w:r>
      <w:r>
        <w:rPr>
          <w:rFonts w:hint="eastAsia"/>
          <w:sz w:val="24"/>
          <w:szCs w:val="24"/>
          <w:highlight w:val="none"/>
        </w:rPr>
        <w:t>土建及场地平整中产生的建筑垃圾、废弃土石方和少量施工人员生活垃圾</w:t>
      </w:r>
      <w:r>
        <w:rPr>
          <w:sz w:val="24"/>
          <w:szCs w:val="24"/>
          <w:highlight w:val="none"/>
        </w:rPr>
        <w:t>。</w:t>
      </w:r>
    </w:p>
    <w:p>
      <w:pPr>
        <w:autoSpaceDE w:val="0"/>
        <w:autoSpaceDN w:val="0"/>
        <w:ind w:firstLine="480"/>
        <w:jc w:val="both"/>
        <w:textAlignment w:val="auto"/>
        <w:rPr>
          <w:bCs/>
          <w:sz w:val="24"/>
          <w:highlight w:val="none"/>
        </w:rPr>
      </w:pPr>
      <w:r>
        <w:rPr>
          <w:rFonts w:hint="eastAsia"/>
          <w:sz w:val="24"/>
          <w:szCs w:val="24"/>
          <w:highlight w:val="none"/>
        </w:rPr>
        <w:t>施工产生的建筑垃圾，对能够再利用的砂石料、水泥、钢筋、钢板下脚料等材料进行回收</w:t>
      </w:r>
      <w:r>
        <w:rPr>
          <w:rFonts w:hint="eastAsia"/>
          <w:bCs/>
          <w:sz w:val="24"/>
          <w:highlight w:val="none"/>
        </w:rPr>
        <w:t>。</w:t>
      </w:r>
      <w:r>
        <w:rPr>
          <w:sz w:val="24"/>
          <w:szCs w:val="24"/>
          <w:highlight w:val="none"/>
        </w:rPr>
        <w:t>施工产生的</w:t>
      </w:r>
      <w:r>
        <w:rPr>
          <w:rFonts w:hint="eastAsia"/>
          <w:sz w:val="24"/>
          <w:szCs w:val="24"/>
          <w:highlight w:val="none"/>
        </w:rPr>
        <w:t>弃土方</w:t>
      </w:r>
      <w:r>
        <w:rPr>
          <w:sz w:val="24"/>
          <w:szCs w:val="24"/>
          <w:highlight w:val="none"/>
        </w:rPr>
        <w:t>，在条件充分时首先考虑用于施工场地的回填，</w:t>
      </w:r>
      <w:r>
        <w:rPr>
          <w:rFonts w:hint="eastAsia"/>
          <w:sz w:val="24"/>
          <w:szCs w:val="24"/>
          <w:highlight w:val="none"/>
        </w:rPr>
        <w:t>多余弃土及无回收价值的建筑垃圾</w:t>
      </w:r>
      <w:r>
        <w:rPr>
          <w:sz w:val="24"/>
          <w:szCs w:val="24"/>
          <w:highlight w:val="none"/>
        </w:rPr>
        <w:t>统一收集，</w:t>
      </w:r>
      <w:r>
        <w:rPr>
          <w:rFonts w:hint="eastAsia"/>
          <w:bCs/>
          <w:sz w:val="24"/>
          <w:highlight w:val="none"/>
        </w:rPr>
        <w:t>全部运往遵化</w:t>
      </w:r>
      <w:r>
        <w:rPr>
          <w:bCs/>
          <w:sz w:val="24"/>
          <w:highlight w:val="none"/>
        </w:rPr>
        <w:t>市垃圾渣土管理部门</w:t>
      </w:r>
      <w:r>
        <w:rPr>
          <w:rFonts w:hint="eastAsia"/>
          <w:bCs/>
          <w:sz w:val="24"/>
          <w:highlight w:val="none"/>
        </w:rPr>
        <w:t>指</w:t>
      </w:r>
      <w:r>
        <w:rPr>
          <w:bCs/>
          <w:sz w:val="24"/>
          <w:highlight w:val="none"/>
        </w:rPr>
        <w:t>定的渣土消纳场进行正规消纳处理，对周围环境影响较小。</w:t>
      </w:r>
    </w:p>
    <w:bookmarkEnd w:id="445"/>
    <w:bookmarkEnd w:id="446"/>
    <w:p>
      <w:pPr>
        <w:autoSpaceDE w:val="0"/>
        <w:autoSpaceDN w:val="0"/>
        <w:ind w:firstLine="480"/>
        <w:jc w:val="both"/>
        <w:textAlignment w:val="auto"/>
        <w:rPr>
          <w:bCs/>
          <w:sz w:val="24"/>
          <w:highlight w:val="none"/>
        </w:rPr>
      </w:pPr>
      <w:r>
        <w:rPr>
          <w:bCs/>
          <w:sz w:val="24"/>
          <w:highlight w:val="none"/>
        </w:rPr>
        <w:t>施工期的生活垃圾量很少，由环卫部门统一清运至指定地点统一消纳处理，不会对周围环境造成不利影响。。</w:t>
      </w:r>
      <w:bookmarkEnd w:id="434"/>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447" w:name="_Toc22888"/>
      <w:bookmarkStart w:id="448" w:name="_Toc524285110"/>
      <w:bookmarkStart w:id="449" w:name="_Toc503218115"/>
      <w:bookmarkStart w:id="450" w:name="_Toc27022"/>
      <w:bookmarkStart w:id="451" w:name="_Toc499651416"/>
      <w:bookmarkStart w:id="452" w:name="_Toc303632174"/>
      <w:bookmarkStart w:id="453" w:name="_Toc521591796"/>
      <w:bookmarkStart w:id="454" w:name="_Toc536557297"/>
      <w:bookmarkStart w:id="455" w:name="_Toc24062"/>
      <w:r>
        <w:rPr>
          <w:rFonts w:ascii="Times New Roman" w:hAnsi="Times New Roman" w:eastAsia="宋体"/>
          <w:bCs w:val="0"/>
          <w:snapToGrid w:val="0"/>
          <w:kern w:val="0"/>
          <w:sz w:val="28"/>
          <w:szCs w:val="28"/>
          <w:highlight w:val="none"/>
        </w:rPr>
        <w:t>营运期环境影响预测与评价</w:t>
      </w:r>
      <w:bookmarkEnd w:id="447"/>
      <w:bookmarkEnd w:id="448"/>
      <w:bookmarkEnd w:id="449"/>
      <w:bookmarkEnd w:id="450"/>
      <w:bookmarkEnd w:id="451"/>
      <w:bookmarkEnd w:id="452"/>
      <w:bookmarkEnd w:id="453"/>
      <w:bookmarkEnd w:id="454"/>
      <w:bookmarkEnd w:id="455"/>
    </w:p>
    <w:p>
      <w:pPr>
        <w:pStyle w:val="6"/>
        <w:numPr>
          <w:ilvl w:val="2"/>
          <w:numId w:val="1"/>
        </w:numPr>
        <w:spacing w:before="0" w:after="0"/>
        <w:ind w:left="567"/>
        <w:rPr>
          <w:szCs w:val="28"/>
          <w:highlight w:val="none"/>
        </w:rPr>
      </w:pPr>
      <w:bookmarkStart w:id="456" w:name="_Toc26071"/>
      <w:bookmarkStart w:id="457" w:name="_Toc521591797"/>
      <w:r>
        <w:rPr>
          <w:szCs w:val="28"/>
          <w:highlight w:val="none"/>
        </w:rPr>
        <w:t>大气环境影响预测与评价</w:t>
      </w:r>
      <w:bookmarkEnd w:id="456"/>
      <w:bookmarkEnd w:id="457"/>
    </w:p>
    <w:p>
      <w:pPr>
        <w:pStyle w:val="3"/>
        <w:numPr>
          <w:ilvl w:val="3"/>
          <w:numId w:val="1"/>
        </w:numPr>
        <w:ind w:left="709" w:hanging="709"/>
        <w:rPr>
          <w:rFonts w:eastAsia="宋体"/>
          <w:b/>
          <w:highlight w:val="none"/>
        </w:rPr>
      </w:pPr>
      <w:bookmarkStart w:id="458" w:name="_Toc438589238"/>
      <w:r>
        <w:rPr>
          <w:rFonts w:hint="eastAsia" w:eastAsia="宋体"/>
          <w:b/>
          <w:highlight w:val="none"/>
        </w:rPr>
        <w:t>污染物排放量核算</w:t>
      </w:r>
    </w:p>
    <w:p>
      <w:pPr>
        <w:ind w:firstLine="480"/>
        <w:rPr>
          <w:sz w:val="24"/>
          <w:szCs w:val="24"/>
          <w:highlight w:val="none"/>
        </w:rPr>
      </w:pPr>
      <w:r>
        <w:rPr>
          <w:sz w:val="24"/>
          <w:szCs w:val="24"/>
          <w:highlight w:val="none"/>
        </w:rPr>
        <w:t>根据《环境影响评价技术导则大气环境》（HJ2.2-20</w:t>
      </w:r>
      <w:r>
        <w:rPr>
          <w:rFonts w:hint="eastAsia"/>
          <w:sz w:val="24"/>
          <w:szCs w:val="24"/>
          <w:highlight w:val="none"/>
        </w:rPr>
        <w:t>18</w:t>
      </w:r>
      <w:r>
        <w:rPr>
          <w:sz w:val="24"/>
          <w:szCs w:val="24"/>
          <w:highlight w:val="none"/>
        </w:rPr>
        <w:t>）中</w:t>
      </w:r>
      <w:r>
        <w:rPr>
          <w:rFonts w:hint="eastAsia"/>
          <w:sz w:val="24"/>
          <w:szCs w:val="24"/>
          <w:highlight w:val="none"/>
        </w:rPr>
        <w:t>8.1.2</w:t>
      </w:r>
      <w:r>
        <w:rPr>
          <w:sz w:val="24"/>
          <w:szCs w:val="24"/>
          <w:highlight w:val="none"/>
        </w:rPr>
        <w:t>的规定</w:t>
      </w:r>
      <w:r>
        <w:rPr>
          <w:rFonts w:hint="eastAsia"/>
          <w:sz w:val="24"/>
          <w:szCs w:val="24"/>
          <w:highlight w:val="none"/>
        </w:rPr>
        <w:t>，二级评价项目不进行进一步预测与评价，只对污染物排放量进行核算。</w:t>
      </w:r>
    </w:p>
    <w:p>
      <w:pPr>
        <w:ind w:firstLine="480"/>
        <w:rPr>
          <w:sz w:val="24"/>
          <w:szCs w:val="24"/>
          <w:highlight w:val="none"/>
        </w:rPr>
      </w:pPr>
      <w:r>
        <w:rPr>
          <w:rFonts w:hint="eastAsia"/>
          <w:sz w:val="24"/>
          <w:szCs w:val="24"/>
          <w:highlight w:val="none"/>
        </w:rPr>
        <w:t>本项目污染物有组织排放量核算见表5.2-1，无组织排放量核算见表5.2-2，大气污染物年排放量核算见表5.2-3，非正常排放量核算见表5.2-4。</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1大气污染物有组织排放量核算表</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93"/>
        <w:gridCol w:w="1285"/>
        <w:gridCol w:w="1282"/>
        <w:gridCol w:w="1778"/>
        <w:gridCol w:w="1660"/>
        <w:gridCol w:w="182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407"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序号</w:t>
            </w:r>
          </w:p>
        </w:tc>
        <w:tc>
          <w:tcPr>
            <w:tcW w:w="75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排放口</w:t>
            </w:r>
          </w:p>
          <w:p>
            <w:pPr>
              <w:tabs>
                <w:tab w:val="left" w:pos="0"/>
              </w:tabs>
              <w:spacing w:line="240" w:lineRule="auto"/>
              <w:ind w:firstLine="0" w:firstLineChars="0"/>
              <w:jc w:val="center"/>
              <w:rPr>
                <w:sz w:val="21"/>
                <w:szCs w:val="21"/>
                <w:highlight w:val="none"/>
              </w:rPr>
            </w:pPr>
            <w:r>
              <w:rPr>
                <w:rFonts w:hint="eastAsia"/>
                <w:sz w:val="21"/>
                <w:szCs w:val="21"/>
                <w:highlight w:val="none"/>
              </w:rPr>
              <w:t>编号</w:t>
            </w:r>
          </w:p>
        </w:tc>
        <w:tc>
          <w:tcPr>
            <w:tcW w:w="752" w:type="pct"/>
            <w:vAlign w:val="center"/>
          </w:tcPr>
          <w:p>
            <w:pPr>
              <w:tabs>
                <w:tab w:val="left" w:pos="-105"/>
              </w:tabs>
              <w:spacing w:line="240" w:lineRule="auto"/>
              <w:ind w:firstLine="0" w:firstLineChars="0"/>
              <w:jc w:val="center"/>
              <w:rPr>
                <w:sz w:val="21"/>
                <w:szCs w:val="21"/>
                <w:highlight w:val="none"/>
              </w:rPr>
            </w:pPr>
            <w:r>
              <w:rPr>
                <w:rFonts w:hint="eastAsia"/>
                <w:sz w:val="21"/>
                <w:szCs w:val="21"/>
                <w:highlight w:val="none"/>
              </w:rPr>
              <w:t>污染物</w:t>
            </w:r>
          </w:p>
        </w:tc>
        <w:tc>
          <w:tcPr>
            <w:tcW w:w="104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核算排放浓度（</w:t>
            </w:r>
            <w:r>
              <w:rPr>
                <w:rFonts w:hint="eastAsia"/>
                <w:kern w:val="2"/>
                <w:sz w:val="21"/>
                <w:szCs w:val="21"/>
                <w:highlight w:val="none"/>
              </w:rPr>
              <w:t>m</w:t>
            </w:r>
            <w:r>
              <w:rPr>
                <w:kern w:val="2"/>
                <w:sz w:val="21"/>
                <w:szCs w:val="21"/>
                <w:highlight w:val="none"/>
              </w:rPr>
              <w:t>g/m</w:t>
            </w:r>
            <w:r>
              <w:rPr>
                <w:kern w:val="2"/>
                <w:sz w:val="21"/>
                <w:szCs w:val="21"/>
                <w:highlight w:val="none"/>
                <w:vertAlign w:val="superscript"/>
              </w:rPr>
              <w:t>3</w:t>
            </w:r>
            <w:r>
              <w:rPr>
                <w:rFonts w:hint="eastAsia"/>
                <w:sz w:val="21"/>
                <w:szCs w:val="21"/>
                <w:highlight w:val="none"/>
              </w:rPr>
              <w:t>）</w:t>
            </w:r>
          </w:p>
        </w:tc>
        <w:tc>
          <w:tcPr>
            <w:tcW w:w="973" w:type="pct"/>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核算排放速率</w:t>
            </w:r>
          </w:p>
          <w:p>
            <w:pPr>
              <w:tabs>
                <w:tab w:val="left" w:pos="0"/>
              </w:tabs>
              <w:spacing w:line="240" w:lineRule="auto"/>
              <w:ind w:firstLine="0" w:firstLineChars="0"/>
              <w:jc w:val="center"/>
              <w:rPr>
                <w:bCs/>
                <w:sz w:val="21"/>
                <w:szCs w:val="21"/>
                <w:highlight w:val="none"/>
              </w:rPr>
            </w:pPr>
            <w:r>
              <w:rPr>
                <w:rFonts w:hint="eastAsia"/>
                <w:bCs/>
                <w:sz w:val="21"/>
                <w:szCs w:val="21"/>
                <w:highlight w:val="none"/>
              </w:rPr>
              <w:t>（kg/h）</w:t>
            </w:r>
          </w:p>
        </w:tc>
        <w:tc>
          <w:tcPr>
            <w:tcW w:w="1068"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核算年排放量/(t/a)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000" w:type="pct"/>
            <w:gridSpan w:val="6"/>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一般排放口</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407"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75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DA001</w:t>
            </w:r>
          </w:p>
        </w:tc>
        <w:tc>
          <w:tcPr>
            <w:tcW w:w="752"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颗粒物</w:t>
            </w:r>
          </w:p>
        </w:tc>
        <w:tc>
          <w:tcPr>
            <w:tcW w:w="104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9.1</w:t>
            </w:r>
          </w:p>
        </w:tc>
        <w:tc>
          <w:tcPr>
            <w:tcW w:w="97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0.36</w:t>
            </w:r>
          </w:p>
        </w:tc>
        <w:tc>
          <w:tcPr>
            <w:tcW w:w="1068"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2.62</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161" w:type="pct"/>
            <w:gridSpan w:val="2"/>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合计</w:t>
            </w:r>
          </w:p>
        </w:tc>
        <w:tc>
          <w:tcPr>
            <w:tcW w:w="2769" w:type="pct"/>
            <w:gridSpan w:val="3"/>
            <w:vAlign w:val="center"/>
          </w:tcPr>
          <w:p>
            <w:pPr>
              <w:tabs>
                <w:tab w:val="left" w:pos="0"/>
              </w:tabs>
              <w:spacing w:line="240" w:lineRule="auto"/>
              <w:ind w:firstLine="210" w:firstLineChars="100"/>
              <w:jc w:val="center"/>
              <w:rPr>
                <w:bCs/>
                <w:sz w:val="21"/>
                <w:szCs w:val="21"/>
                <w:highlight w:val="none"/>
              </w:rPr>
            </w:pPr>
            <w:r>
              <w:rPr>
                <w:rFonts w:hint="eastAsia"/>
                <w:bCs/>
                <w:sz w:val="21"/>
                <w:szCs w:val="21"/>
                <w:highlight w:val="none"/>
              </w:rPr>
              <w:t>颗粒物</w:t>
            </w:r>
          </w:p>
        </w:tc>
        <w:tc>
          <w:tcPr>
            <w:tcW w:w="1068" w:type="pct"/>
            <w:vAlign w:val="center"/>
          </w:tcPr>
          <w:p>
            <w:pPr>
              <w:tabs>
                <w:tab w:val="left" w:pos="0"/>
              </w:tabs>
              <w:spacing w:line="240" w:lineRule="auto"/>
              <w:ind w:firstLine="0" w:firstLineChars="0"/>
              <w:jc w:val="center"/>
              <w:rPr>
                <w:snapToGrid w:val="0"/>
                <w:sz w:val="21"/>
                <w:szCs w:val="21"/>
                <w:highlight w:val="none"/>
              </w:rPr>
            </w:pPr>
            <w:r>
              <w:rPr>
                <w:rFonts w:hint="eastAsia"/>
                <w:snapToGrid w:val="0"/>
                <w:sz w:val="21"/>
                <w:szCs w:val="21"/>
                <w:highlight w:val="none"/>
              </w:rPr>
              <w:t>2.62</w:t>
            </w:r>
          </w:p>
        </w:tc>
      </w:tr>
    </w:tbl>
    <w:p>
      <w:pPr>
        <w:spacing w:before="156" w:beforeLines="50"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2大气污染物无组织排放量核算表</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79"/>
        <w:gridCol w:w="787"/>
        <w:gridCol w:w="1035"/>
        <w:gridCol w:w="903"/>
        <w:gridCol w:w="1115"/>
        <w:gridCol w:w="1967"/>
        <w:gridCol w:w="1248"/>
        <w:gridCol w:w="88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tblHeader/>
          <w:jc w:val="center"/>
        </w:trPr>
        <w:tc>
          <w:tcPr>
            <w:tcW w:w="340" w:type="pct"/>
            <w:vMerge w:val="restar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序号</w:t>
            </w:r>
          </w:p>
        </w:tc>
        <w:tc>
          <w:tcPr>
            <w:tcW w:w="462" w:type="pct"/>
            <w:vMerge w:val="restart"/>
            <w:vAlign w:val="center"/>
          </w:tcPr>
          <w:p>
            <w:pPr>
              <w:tabs>
                <w:tab w:val="left" w:pos="-105"/>
              </w:tabs>
              <w:spacing w:line="240" w:lineRule="auto"/>
              <w:ind w:firstLine="0" w:firstLineChars="0"/>
              <w:jc w:val="center"/>
              <w:rPr>
                <w:sz w:val="21"/>
                <w:szCs w:val="21"/>
                <w:highlight w:val="none"/>
              </w:rPr>
            </w:pPr>
            <w:r>
              <w:rPr>
                <w:rFonts w:hint="eastAsia"/>
                <w:sz w:val="21"/>
                <w:szCs w:val="21"/>
                <w:highlight w:val="none"/>
              </w:rPr>
              <w:t>排放口编号</w:t>
            </w:r>
          </w:p>
        </w:tc>
        <w:tc>
          <w:tcPr>
            <w:tcW w:w="607" w:type="pct"/>
            <w:vMerge w:val="restar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产污</w:t>
            </w:r>
          </w:p>
          <w:p>
            <w:pPr>
              <w:tabs>
                <w:tab w:val="left" w:pos="0"/>
              </w:tabs>
              <w:spacing w:line="240" w:lineRule="auto"/>
              <w:ind w:firstLine="0" w:firstLineChars="0"/>
              <w:jc w:val="center"/>
              <w:rPr>
                <w:sz w:val="21"/>
                <w:szCs w:val="21"/>
                <w:highlight w:val="none"/>
              </w:rPr>
            </w:pPr>
            <w:r>
              <w:rPr>
                <w:rFonts w:hint="eastAsia"/>
                <w:sz w:val="21"/>
                <w:szCs w:val="21"/>
                <w:highlight w:val="none"/>
              </w:rPr>
              <w:t>环节</w:t>
            </w:r>
          </w:p>
        </w:tc>
        <w:tc>
          <w:tcPr>
            <w:tcW w:w="529" w:type="pct"/>
            <w:vMerge w:val="restart"/>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污染物</w:t>
            </w:r>
          </w:p>
        </w:tc>
        <w:tc>
          <w:tcPr>
            <w:tcW w:w="654" w:type="pct"/>
            <w:vMerge w:val="restar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主要污染防治措施</w:t>
            </w:r>
          </w:p>
        </w:tc>
        <w:tc>
          <w:tcPr>
            <w:tcW w:w="1886" w:type="pct"/>
            <w:gridSpan w:val="2"/>
            <w:tcBorders>
              <w:bottom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污染物排放标准</w:t>
            </w:r>
          </w:p>
        </w:tc>
        <w:tc>
          <w:tcPr>
            <w:tcW w:w="519" w:type="pct"/>
            <w:vMerge w:val="restart"/>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年排放量/(t/a)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15" w:hRule="atLeast"/>
          <w:tblHeader/>
          <w:jc w:val="center"/>
        </w:trPr>
        <w:tc>
          <w:tcPr>
            <w:tcW w:w="340" w:type="pct"/>
            <w:vMerge w:val="continue"/>
            <w:vAlign w:val="center"/>
          </w:tcPr>
          <w:p>
            <w:pPr>
              <w:tabs>
                <w:tab w:val="left" w:pos="0"/>
              </w:tabs>
              <w:spacing w:line="240" w:lineRule="auto"/>
              <w:ind w:firstLine="0" w:firstLineChars="0"/>
              <w:jc w:val="center"/>
              <w:rPr>
                <w:sz w:val="21"/>
                <w:szCs w:val="21"/>
                <w:highlight w:val="none"/>
              </w:rPr>
            </w:pPr>
          </w:p>
        </w:tc>
        <w:tc>
          <w:tcPr>
            <w:tcW w:w="462" w:type="pct"/>
            <w:vMerge w:val="continue"/>
            <w:vAlign w:val="center"/>
          </w:tcPr>
          <w:p>
            <w:pPr>
              <w:tabs>
                <w:tab w:val="left" w:pos="-105"/>
              </w:tabs>
              <w:spacing w:line="240" w:lineRule="auto"/>
              <w:ind w:firstLine="0" w:firstLineChars="0"/>
              <w:jc w:val="center"/>
              <w:rPr>
                <w:sz w:val="21"/>
                <w:szCs w:val="21"/>
                <w:highlight w:val="none"/>
              </w:rPr>
            </w:pPr>
          </w:p>
        </w:tc>
        <w:tc>
          <w:tcPr>
            <w:tcW w:w="607" w:type="pct"/>
            <w:vMerge w:val="continue"/>
            <w:vAlign w:val="center"/>
          </w:tcPr>
          <w:p>
            <w:pPr>
              <w:tabs>
                <w:tab w:val="left" w:pos="0"/>
              </w:tabs>
              <w:spacing w:line="240" w:lineRule="auto"/>
              <w:ind w:firstLine="0" w:firstLineChars="0"/>
              <w:jc w:val="center"/>
              <w:rPr>
                <w:sz w:val="21"/>
                <w:szCs w:val="21"/>
                <w:highlight w:val="none"/>
              </w:rPr>
            </w:pPr>
          </w:p>
        </w:tc>
        <w:tc>
          <w:tcPr>
            <w:tcW w:w="529" w:type="pct"/>
            <w:vMerge w:val="continue"/>
            <w:vAlign w:val="center"/>
          </w:tcPr>
          <w:p>
            <w:pPr>
              <w:tabs>
                <w:tab w:val="left" w:pos="0"/>
              </w:tabs>
              <w:spacing w:line="240" w:lineRule="auto"/>
              <w:ind w:firstLine="0" w:firstLineChars="0"/>
              <w:jc w:val="center"/>
              <w:rPr>
                <w:bCs/>
                <w:sz w:val="21"/>
                <w:szCs w:val="21"/>
                <w:highlight w:val="none"/>
              </w:rPr>
            </w:pPr>
          </w:p>
        </w:tc>
        <w:tc>
          <w:tcPr>
            <w:tcW w:w="654" w:type="pct"/>
            <w:vMerge w:val="continue"/>
            <w:vAlign w:val="center"/>
          </w:tcPr>
          <w:p>
            <w:pPr>
              <w:tabs>
                <w:tab w:val="left" w:pos="0"/>
              </w:tabs>
              <w:spacing w:line="240" w:lineRule="auto"/>
              <w:ind w:firstLine="0" w:firstLineChars="0"/>
              <w:jc w:val="center"/>
              <w:rPr>
                <w:sz w:val="21"/>
                <w:szCs w:val="21"/>
                <w:highlight w:val="none"/>
              </w:rPr>
            </w:pPr>
          </w:p>
        </w:tc>
        <w:tc>
          <w:tcPr>
            <w:tcW w:w="1154" w:type="pct"/>
            <w:tcBorders>
              <w:top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标准名称</w:t>
            </w:r>
          </w:p>
        </w:tc>
        <w:tc>
          <w:tcPr>
            <w:tcW w:w="732" w:type="pct"/>
            <w:tcBorders>
              <w:top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浓度限值（</w:t>
            </w:r>
            <w:r>
              <w:rPr>
                <w:rFonts w:hint="eastAsia"/>
                <w:kern w:val="2"/>
                <w:sz w:val="21"/>
                <w:szCs w:val="21"/>
                <w:highlight w:val="none"/>
              </w:rPr>
              <w:t>m</w:t>
            </w:r>
            <w:r>
              <w:rPr>
                <w:kern w:val="2"/>
                <w:sz w:val="21"/>
                <w:szCs w:val="21"/>
                <w:highlight w:val="none"/>
              </w:rPr>
              <w:t>g/m</w:t>
            </w:r>
            <w:r>
              <w:rPr>
                <w:kern w:val="2"/>
                <w:sz w:val="21"/>
                <w:szCs w:val="21"/>
                <w:highlight w:val="none"/>
                <w:vertAlign w:val="superscript"/>
              </w:rPr>
              <w:t>3</w:t>
            </w:r>
            <w:r>
              <w:rPr>
                <w:rFonts w:hint="eastAsia"/>
                <w:sz w:val="21"/>
                <w:szCs w:val="21"/>
                <w:highlight w:val="none"/>
              </w:rPr>
              <w:t>）</w:t>
            </w:r>
          </w:p>
        </w:tc>
        <w:tc>
          <w:tcPr>
            <w:tcW w:w="519" w:type="pct"/>
            <w:vMerge w:val="continue"/>
            <w:tcBorders>
              <w:left w:val="single" w:color="auto" w:sz="4" w:space="0"/>
            </w:tcBorders>
            <w:vAlign w:val="center"/>
          </w:tcPr>
          <w:p>
            <w:pPr>
              <w:tabs>
                <w:tab w:val="left" w:pos="0"/>
              </w:tabs>
              <w:spacing w:line="240" w:lineRule="auto"/>
              <w:ind w:firstLine="0" w:firstLineChars="0"/>
              <w:jc w:val="center"/>
              <w:rPr>
                <w:sz w:val="21"/>
                <w:szCs w:val="21"/>
                <w:highlight w:val="none"/>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340"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462"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WG1</w:t>
            </w:r>
          </w:p>
        </w:tc>
        <w:tc>
          <w:tcPr>
            <w:tcW w:w="607" w:type="pct"/>
            <w:vAlign w:val="center"/>
          </w:tcPr>
          <w:p>
            <w:pPr>
              <w:tabs>
                <w:tab w:val="left" w:pos="0"/>
              </w:tabs>
              <w:spacing w:line="240" w:lineRule="auto"/>
              <w:ind w:firstLine="0" w:firstLineChars="0"/>
              <w:jc w:val="center"/>
              <w:rPr>
                <w:rFonts w:hint="eastAsia"/>
                <w:sz w:val="21"/>
                <w:szCs w:val="21"/>
                <w:highlight w:val="none"/>
              </w:rPr>
            </w:pPr>
            <w:r>
              <w:rPr>
                <w:rFonts w:hint="eastAsia"/>
                <w:sz w:val="21"/>
                <w:szCs w:val="21"/>
                <w:highlight w:val="none"/>
              </w:rPr>
              <w:t>破碎</w:t>
            </w:r>
          </w:p>
          <w:p>
            <w:pPr>
              <w:tabs>
                <w:tab w:val="left" w:pos="0"/>
              </w:tabs>
              <w:spacing w:line="240" w:lineRule="auto"/>
              <w:ind w:firstLine="0" w:firstLineChars="0"/>
              <w:jc w:val="center"/>
              <w:rPr>
                <w:sz w:val="21"/>
                <w:szCs w:val="21"/>
                <w:highlight w:val="none"/>
              </w:rPr>
            </w:pPr>
            <w:r>
              <w:rPr>
                <w:rFonts w:hint="eastAsia"/>
                <w:sz w:val="21"/>
                <w:szCs w:val="21"/>
                <w:highlight w:val="none"/>
              </w:rPr>
              <w:t>车间</w:t>
            </w:r>
          </w:p>
        </w:tc>
        <w:tc>
          <w:tcPr>
            <w:tcW w:w="529" w:type="pct"/>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颗粒物</w:t>
            </w:r>
          </w:p>
        </w:tc>
        <w:tc>
          <w:tcPr>
            <w:tcW w:w="654"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封闭厂房、水喷淋</w:t>
            </w:r>
          </w:p>
        </w:tc>
        <w:tc>
          <w:tcPr>
            <w:tcW w:w="1154" w:type="pct"/>
            <w:vMerge w:val="restart"/>
            <w:vAlign w:val="center"/>
          </w:tcPr>
          <w:p>
            <w:pPr>
              <w:tabs>
                <w:tab w:val="left" w:pos="0"/>
              </w:tabs>
              <w:spacing w:line="240" w:lineRule="auto"/>
              <w:ind w:firstLine="0" w:firstLineChars="0"/>
              <w:jc w:val="center"/>
              <w:rPr>
                <w:sz w:val="21"/>
                <w:szCs w:val="21"/>
                <w:highlight w:val="none"/>
              </w:rPr>
            </w:pPr>
            <w:r>
              <w:rPr>
                <w:sz w:val="21"/>
                <w:szCs w:val="21"/>
                <w:highlight w:val="none"/>
              </w:rPr>
              <w:t>《铁矿采选工业污染物排放标准》（GB28661-2012）</w:t>
            </w:r>
          </w:p>
        </w:tc>
        <w:tc>
          <w:tcPr>
            <w:tcW w:w="732" w:type="pct"/>
            <w:vMerge w:val="restart"/>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10</w:t>
            </w:r>
          </w:p>
        </w:tc>
        <w:tc>
          <w:tcPr>
            <w:tcW w:w="519" w:type="pct"/>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0.276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340"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2</w:t>
            </w:r>
          </w:p>
        </w:tc>
        <w:tc>
          <w:tcPr>
            <w:tcW w:w="462"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WG2</w:t>
            </w:r>
          </w:p>
        </w:tc>
        <w:tc>
          <w:tcPr>
            <w:tcW w:w="607"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lang w:val="en-US" w:eastAsia="zh-CN"/>
              </w:rPr>
              <w:t>物料</w:t>
            </w:r>
            <w:r>
              <w:rPr>
                <w:rFonts w:hint="eastAsia"/>
                <w:sz w:val="21"/>
                <w:szCs w:val="21"/>
                <w:highlight w:val="none"/>
              </w:rPr>
              <w:t>卸料、堆存</w:t>
            </w:r>
          </w:p>
        </w:tc>
        <w:tc>
          <w:tcPr>
            <w:tcW w:w="529" w:type="pct"/>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颗粒物</w:t>
            </w:r>
          </w:p>
        </w:tc>
        <w:tc>
          <w:tcPr>
            <w:tcW w:w="654"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封闭厂房、水喷淋</w:t>
            </w:r>
          </w:p>
        </w:tc>
        <w:tc>
          <w:tcPr>
            <w:tcW w:w="1154" w:type="pct"/>
            <w:vMerge w:val="continue"/>
            <w:vAlign w:val="center"/>
          </w:tcPr>
          <w:p>
            <w:pPr>
              <w:tabs>
                <w:tab w:val="left" w:pos="0"/>
              </w:tabs>
              <w:spacing w:line="240" w:lineRule="auto"/>
              <w:ind w:firstLine="0" w:firstLineChars="0"/>
              <w:jc w:val="center"/>
              <w:rPr>
                <w:sz w:val="21"/>
                <w:szCs w:val="21"/>
                <w:highlight w:val="none"/>
              </w:rPr>
            </w:pPr>
          </w:p>
        </w:tc>
        <w:tc>
          <w:tcPr>
            <w:tcW w:w="732" w:type="pct"/>
            <w:vMerge w:val="continue"/>
            <w:tcBorders>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519" w:type="pct"/>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1.39</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000" w:type="pct"/>
            <w:gridSpan w:val="8"/>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无组织排放总计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939" w:type="pct"/>
            <w:gridSpan w:val="4"/>
            <w:vAlign w:val="center"/>
          </w:tcPr>
          <w:p>
            <w:pPr>
              <w:tabs>
                <w:tab w:val="left" w:pos="0"/>
              </w:tabs>
              <w:spacing w:line="240" w:lineRule="auto"/>
              <w:ind w:firstLine="210" w:firstLineChars="100"/>
              <w:jc w:val="center"/>
              <w:rPr>
                <w:bCs/>
                <w:sz w:val="21"/>
                <w:szCs w:val="21"/>
                <w:highlight w:val="none"/>
              </w:rPr>
            </w:pPr>
            <w:r>
              <w:rPr>
                <w:rFonts w:hint="eastAsia"/>
                <w:bCs/>
                <w:sz w:val="21"/>
                <w:szCs w:val="21"/>
                <w:highlight w:val="none"/>
              </w:rPr>
              <w:t>无组织排放总计</w:t>
            </w:r>
          </w:p>
        </w:tc>
        <w:tc>
          <w:tcPr>
            <w:tcW w:w="654"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颗粒物</w:t>
            </w:r>
          </w:p>
        </w:tc>
        <w:tc>
          <w:tcPr>
            <w:tcW w:w="2406" w:type="pct"/>
            <w:gridSpan w:val="3"/>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1.666t/a</w:t>
            </w:r>
          </w:p>
        </w:tc>
      </w:tr>
    </w:tbl>
    <w:p>
      <w:pPr>
        <w:spacing w:before="156" w:beforeLines="50"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3大气污染物年排放量核算表</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2229"/>
        <w:gridCol w:w="2937"/>
        <w:gridCol w:w="3356"/>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12" w:hRule="atLeast"/>
          <w:tblHeader/>
          <w:jc w:val="center"/>
        </w:trPr>
        <w:tc>
          <w:tcPr>
            <w:tcW w:w="1308"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序号</w:t>
            </w:r>
          </w:p>
        </w:tc>
        <w:tc>
          <w:tcPr>
            <w:tcW w:w="1723" w:type="pct"/>
            <w:vAlign w:val="center"/>
          </w:tcPr>
          <w:p>
            <w:pPr>
              <w:tabs>
                <w:tab w:val="left" w:pos="-105"/>
              </w:tabs>
              <w:spacing w:line="240" w:lineRule="auto"/>
              <w:ind w:firstLine="0" w:firstLineChars="0"/>
              <w:jc w:val="center"/>
              <w:rPr>
                <w:sz w:val="21"/>
                <w:szCs w:val="21"/>
                <w:highlight w:val="none"/>
              </w:rPr>
            </w:pPr>
            <w:r>
              <w:rPr>
                <w:rFonts w:hint="eastAsia"/>
                <w:sz w:val="21"/>
                <w:szCs w:val="21"/>
                <w:highlight w:val="none"/>
              </w:rPr>
              <w:t>污染物</w:t>
            </w:r>
          </w:p>
        </w:tc>
        <w:tc>
          <w:tcPr>
            <w:tcW w:w="1969"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年排放量（t/a）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308"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172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颗粒物</w:t>
            </w:r>
          </w:p>
        </w:tc>
        <w:tc>
          <w:tcPr>
            <w:tcW w:w="1969"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4.286</w:t>
            </w:r>
          </w:p>
        </w:tc>
      </w:tr>
    </w:tbl>
    <w:p>
      <w:pPr>
        <w:spacing w:before="156" w:beforeLines="50" w:line="240" w:lineRule="auto"/>
        <w:ind w:firstLine="0" w:firstLineChars="0"/>
        <w:jc w:val="center"/>
        <w:textAlignment w:val="auto"/>
        <w:rPr>
          <w:rFonts w:eastAsia="黑体"/>
          <w:kern w:val="2"/>
          <w:sz w:val="21"/>
          <w:szCs w:val="21"/>
          <w:highlight w:val="none"/>
        </w:rPr>
      </w:pPr>
    </w:p>
    <w:p>
      <w:pPr>
        <w:widowControl/>
        <w:spacing w:line="240" w:lineRule="auto"/>
        <w:ind w:firstLine="0" w:firstLineChars="0"/>
        <w:textAlignment w:val="auto"/>
        <w:rPr>
          <w:rFonts w:eastAsia="黑体"/>
          <w:kern w:val="2"/>
          <w:sz w:val="21"/>
          <w:szCs w:val="21"/>
          <w:highlight w:val="none"/>
        </w:rPr>
      </w:pPr>
      <w:r>
        <w:rPr>
          <w:rFonts w:eastAsia="黑体"/>
          <w:kern w:val="2"/>
          <w:sz w:val="21"/>
          <w:szCs w:val="21"/>
          <w:highlight w:val="none"/>
        </w:rPr>
        <w:br w:type="page"/>
      </w:r>
    </w:p>
    <w:p>
      <w:pPr>
        <w:spacing w:before="156" w:beforeLines="50"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4污染源非正常排放量核算表</w:t>
      </w:r>
    </w:p>
    <w:tbl>
      <w:tblPr>
        <w:tblStyle w:val="48"/>
        <w:tblW w:w="8236"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660"/>
        <w:gridCol w:w="663"/>
        <w:gridCol w:w="791"/>
        <w:gridCol w:w="832"/>
        <w:gridCol w:w="1213"/>
        <w:gridCol w:w="928"/>
        <w:gridCol w:w="981"/>
        <w:gridCol w:w="559"/>
        <w:gridCol w:w="160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36" w:hRule="atLeast"/>
          <w:tblHeader/>
          <w:jc w:val="center"/>
        </w:trPr>
        <w:tc>
          <w:tcPr>
            <w:tcW w:w="660"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序号</w:t>
            </w:r>
          </w:p>
        </w:tc>
        <w:tc>
          <w:tcPr>
            <w:tcW w:w="663" w:type="dxa"/>
            <w:vAlign w:val="center"/>
          </w:tcPr>
          <w:p>
            <w:pPr>
              <w:tabs>
                <w:tab w:val="left" w:pos="-105"/>
              </w:tabs>
              <w:spacing w:line="240" w:lineRule="auto"/>
              <w:ind w:firstLine="0" w:firstLineChars="0"/>
              <w:jc w:val="center"/>
              <w:rPr>
                <w:sz w:val="21"/>
                <w:szCs w:val="21"/>
                <w:highlight w:val="none"/>
              </w:rPr>
            </w:pPr>
            <w:r>
              <w:rPr>
                <w:rFonts w:hint="eastAsia"/>
                <w:sz w:val="21"/>
                <w:szCs w:val="21"/>
                <w:highlight w:val="none"/>
              </w:rPr>
              <w:t>污染源</w:t>
            </w:r>
          </w:p>
        </w:tc>
        <w:tc>
          <w:tcPr>
            <w:tcW w:w="791"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非正常排放原因</w:t>
            </w:r>
          </w:p>
        </w:tc>
        <w:tc>
          <w:tcPr>
            <w:tcW w:w="832" w:type="dxa"/>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污染物</w:t>
            </w:r>
          </w:p>
        </w:tc>
        <w:tc>
          <w:tcPr>
            <w:tcW w:w="1213"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非正常排放浓度</w:t>
            </w:r>
          </w:p>
          <w:p>
            <w:pPr>
              <w:tabs>
                <w:tab w:val="left" w:pos="0"/>
              </w:tabs>
              <w:spacing w:line="240" w:lineRule="auto"/>
              <w:ind w:firstLine="0" w:firstLineChars="0"/>
              <w:jc w:val="center"/>
              <w:rPr>
                <w:sz w:val="21"/>
                <w:szCs w:val="21"/>
                <w:highlight w:val="none"/>
              </w:rPr>
            </w:pPr>
            <w:r>
              <w:rPr>
                <w:rFonts w:hint="eastAsia"/>
                <w:sz w:val="21"/>
                <w:szCs w:val="21"/>
                <w:highlight w:val="none"/>
              </w:rPr>
              <w:t>（</w:t>
            </w:r>
            <w:r>
              <w:rPr>
                <w:rFonts w:hint="eastAsia"/>
                <w:kern w:val="2"/>
                <w:sz w:val="21"/>
                <w:szCs w:val="21"/>
                <w:highlight w:val="none"/>
              </w:rPr>
              <w:t>m</w:t>
            </w:r>
            <w:r>
              <w:rPr>
                <w:kern w:val="2"/>
                <w:sz w:val="21"/>
                <w:szCs w:val="21"/>
                <w:highlight w:val="none"/>
              </w:rPr>
              <w:t>g/m</w:t>
            </w:r>
            <w:r>
              <w:rPr>
                <w:kern w:val="2"/>
                <w:sz w:val="21"/>
                <w:szCs w:val="21"/>
                <w:highlight w:val="none"/>
                <w:vertAlign w:val="superscript"/>
              </w:rPr>
              <w:t>3</w:t>
            </w:r>
            <w:r>
              <w:rPr>
                <w:rFonts w:hint="eastAsia"/>
                <w:sz w:val="21"/>
                <w:szCs w:val="21"/>
                <w:highlight w:val="none"/>
              </w:rPr>
              <w:t>）</w:t>
            </w:r>
          </w:p>
        </w:tc>
        <w:tc>
          <w:tcPr>
            <w:tcW w:w="928"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非正常排放速率/(kg/h)</w:t>
            </w:r>
          </w:p>
        </w:tc>
        <w:tc>
          <w:tcPr>
            <w:tcW w:w="981"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单次持续时间/h</w:t>
            </w:r>
          </w:p>
        </w:tc>
        <w:tc>
          <w:tcPr>
            <w:tcW w:w="559"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发生频次/次</w:t>
            </w:r>
          </w:p>
        </w:tc>
        <w:tc>
          <w:tcPr>
            <w:tcW w:w="1609"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应对措施</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60"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663"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破碎车间排气筒</w:t>
            </w:r>
          </w:p>
        </w:tc>
        <w:tc>
          <w:tcPr>
            <w:tcW w:w="791"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除尘设施故障</w:t>
            </w:r>
          </w:p>
        </w:tc>
        <w:tc>
          <w:tcPr>
            <w:tcW w:w="832" w:type="dxa"/>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颗粒物</w:t>
            </w:r>
          </w:p>
        </w:tc>
        <w:tc>
          <w:tcPr>
            <w:tcW w:w="1213"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910</w:t>
            </w:r>
          </w:p>
        </w:tc>
        <w:tc>
          <w:tcPr>
            <w:tcW w:w="928"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36</w:t>
            </w:r>
          </w:p>
        </w:tc>
        <w:tc>
          <w:tcPr>
            <w:tcW w:w="981"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2</w:t>
            </w:r>
          </w:p>
        </w:tc>
        <w:tc>
          <w:tcPr>
            <w:tcW w:w="559"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2</w:t>
            </w:r>
          </w:p>
        </w:tc>
        <w:tc>
          <w:tcPr>
            <w:tcW w:w="1609"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采用双路供电，并加强日常对除尘器设备及布袋的维护，加强日常检查和管理，及时发现设备故障等事故排放情况</w:t>
            </w:r>
          </w:p>
        </w:tc>
      </w:tr>
    </w:tbl>
    <w:p>
      <w:pPr>
        <w:pStyle w:val="3"/>
        <w:numPr>
          <w:ilvl w:val="3"/>
          <w:numId w:val="1"/>
        </w:numPr>
        <w:ind w:left="709" w:hanging="709"/>
        <w:rPr>
          <w:rFonts w:eastAsia="宋体"/>
          <w:b/>
          <w:highlight w:val="none"/>
        </w:rPr>
      </w:pPr>
      <w:r>
        <w:rPr>
          <w:rFonts w:eastAsia="宋体"/>
          <w:b/>
          <w:highlight w:val="none"/>
        </w:rPr>
        <w:t>评价区域气象资料分析</w:t>
      </w:r>
    </w:p>
    <w:p>
      <w:pPr>
        <w:pStyle w:val="66"/>
        <w:spacing w:line="360" w:lineRule="auto"/>
        <w:rPr>
          <w:sz w:val="24"/>
          <w:szCs w:val="24"/>
          <w:highlight w:val="none"/>
        </w:rPr>
      </w:pPr>
      <w:r>
        <w:rPr>
          <w:sz w:val="24"/>
          <w:szCs w:val="24"/>
          <w:highlight w:val="none"/>
        </w:rPr>
        <w:t>地面气象数据来自遵化市气象站，遵化气象站位于遵化市区东部，东经117°57'39.61"、北纬40°11'35.96"，地形标高57.7m（海拔高度），地面比较平坦，代表了该地区的气象特征。本次评价选用遵化气象站近</w:t>
      </w:r>
      <w:r>
        <w:rPr>
          <w:rFonts w:hint="eastAsia"/>
          <w:sz w:val="24"/>
          <w:szCs w:val="24"/>
          <w:highlight w:val="none"/>
        </w:rPr>
        <w:t>二十年</w:t>
      </w:r>
      <w:r>
        <w:rPr>
          <w:sz w:val="24"/>
          <w:szCs w:val="24"/>
          <w:highlight w:val="none"/>
        </w:rPr>
        <w:t>地面气象资料进行统计、分析。</w:t>
      </w:r>
    </w:p>
    <w:p>
      <w:pPr>
        <w:pStyle w:val="66"/>
        <w:spacing w:line="360" w:lineRule="auto"/>
        <w:ind w:firstLine="480" w:firstLineChars="200"/>
        <w:rPr>
          <w:sz w:val="24"/>
          <w:szCs w:val="24"/>
          <w:highlight w:val="none"/>
        </w:rPr>
      </w:pPr>
      <w:r>
        <w:rPr>
          <w:sz w:val="24"/>
          <w:szCs w:val="24"/>
          <w:highlight w:val="none"/>
        </w:rPr>
        <w:t>（1）风向</w:t>
      </w:r>
    </w:p>
    <w:p>
      <w:pPr>
        <w:pStyle w:val="66"/>
        <w:spacing w:line="360" w:lineRule="auto"/>
        <w:ind w:firstLine="480" w:firstLineChars="200"/>
        <w:rPr>
          <w:sz w:val="24"/>
          <w:szCs w:val="24"/>
          <w:highlight w:val="none"/>
        </w:rPr>
      </w:pPr>
      <w:r>
        <w:rPr>
          <w:sz w:val="24"/>
          <w:szCs w:val="24"/>
          <w:highlight w:val="none"/>
        </w:rPr>
        <w:t>评价区年主导风向为E风，出现频率为9.56%；次主导风向为WSW风，频率为9.22%；年最少风向频率为S风，出现频率2.66%，其次为SSE风，出现频率为2.88%。全年静风频率为4.25％。春季出现频率最高的风向为WSW风，出现频率为11.28%；出现频率最低的风向SSE风，出现频率为2.94%；静风频率为3.4%。夏季出现频率最高的风向为ENE风，出现频率为11.96%；出现频率最低的风向NW风，出现频率为1.22%；静风频率为3.89%。秋季出现频率最高的风向为NE风，出现频率为11.08%；出现频率最低的风向为S风，出现频率为2.11%；静风频率为6.09%。冬季出现频率最高的风向为NNE风，出现频率为10.76%；出现频率最低的风向为SSE风，出现频率为2.06%；静风频率为3.62%。</w:t>
      </w:r>
    </w:p>
    <w:p>
      <w:pPr>
        <w:pStyle w:val="66"/>
        <w:spacing w:line="360" w:lineRule="auto"/>
        <w:ind w:firstLine="480" w:firstLineChars="200"/>
        <w:rPr>
          <w:sz w:val="24"/>
          <w:szCs w:val="24"/>
          <w:highlight w:val="none"/>
        </w:rPr>
      </w:pPr>
      <w:r>
        <w:rPr>
          <w:sz w:val="24"/>
          <w:szCs w:val="24"/>
          <w:highlight w:val="none"/>
        </w:rPr>
        <w:t>风向频率见表5.2-</w:t>
      </w:r>
      <w:r>
        <w:rPr>
          <w:rFonts w:hint="eastAsia"/>
          <w:sz w:val="24"/>
          <w:szCs w:val="24"/>
          <w:highlight w:val="none"/>
        </w:rPr>
        <w:t>5</w:t>
      </w:r>
      <w:r>
        <w:rPr>
          <w:sz w:val="24"/>
          <w:szCs w:val="24"/>
          <w:highlight w:val="none"/>
        </w:rPr>
        <w:t>，风频玫瑰图见图5.2-1。</w:t>
      </w:r>
    </w:p>
    <w:p>
      <w:pPr>
        <w:pStyle w:val="66"/>
        <w:spacing w:line="360" w:lineRule="auto"/>
        <w:ind w:firstLine="480" w:firstLineChars="200"/>
        <w:rPr>
          <w:sz w:val="24"/>
          <w:szCs w:val="24"/>
          <w:highlight w:val="none"/>
        </w:rPr>
      </w:pPr>
      <w:r>
        <w:rPr>
          <w:sz w:val="24"/>
          <w:szCs w:val="24"/>
          <w:highlight w:val="none"/>
        </w:rPr>
        <w:t>（2）风速</w:t>
      </w:r>
    </w:p>
    <w:p>
      <w:pPr>
        <w:pStyle w:val="66"/>
        <w:spacing w:line="360" w:lineRule="auto"/>
        <w:ind w:firstLine="480" w:firstLineChars="200"/>
        <w:rPr>
          <w:highlight w:val="none"/>
        </w:rPr>
      </w:pPr>
      <w:r>
        <w:rPr>
          <w:sz w:val="24"/>
          <w:szCs w:val="24"/>
          <w:highlight w:val="none"/>
        </w:rPr>
        <w:t>该区域平均风速为1.62m/s。随着风向的不同，各风向下的平均风速也有变化。年平均风速最大的风向为NW风，其平均风速为2.46m/s，年平均风速最小的风向为NE风，其平均风速均为1.15m/s。各季节中春季平均风速最大，为1.99m/s，秋季平均风速最小，为1.34m/s。平均风速见表5.2-</w:t>
      </w:r>
      <w:r>
        <w:rPr>
          <w:rFonts w:hint="eastAsia"/>
          <w:sz w:val="24"/>
          <w:szCs w:val="24"/>
          <w:highlight w:val="none"/>
        </w:rPr>
        <w:t>6</w:t>
      </w:r>
      <w:r>
        <w:rPr>
          <w:sz w:val="24"/>
          <w:szCs w:val="24"/>
          <w:highlight w:val="none"/>
        </w:rPr>
        <w:t>，风速分布玫瑰图见图5.2-2，平均风速月变化情况见表5.2-</w:t>
      </w:r>
      <w:r>
        <w:rPr>
          <w:rFonts w:hint="eastAsia"/>
          <w:sz w:val="24"/>
          <w:szCs w:val="24"/>
          <w:highlight w:val="none"/>
        </w:rPr>
        <w:t>7</w:t>
      </w:r>
      <w:r>
        <w:rPr>
          <w:sz w:val="24"/>
          <w:szCs w:val="24"/>
          <w:highlight w:val="none"/>
        </w:rPr>
        <w:t>，平均风速月变化曲线图见图5.2-3，季小时平均风速变化表见表5.2-</w:t>
      </w:r>
      <w:r>
        <w:rPr>
          <w:rFonts w:hint="eastAsia"/>
          <w:sz w:val="24"/>
          <w:szCs w:val="24"/>
          <w:highlight w:val="none"/>
        </w:rPr>
        <w:t>8</w:t>
      </w:r>
      <w:r>
        <w:rPr>
          <w:sz w:val="24"/>
          <w:szCs w:val="24"/>
          <w:highlight w:val="none"/>
        </w:rPr>
        <w:t>，季小时平均风速的日变化曲线图见图5.2-4。</w:t>
      </w:r>
    </w:p>
    <w:p>
      <w:pPr>
        <w:pStyle w:val="66"/>
        <w:numPr>
          <w:ilvl w:val="0"/>
          <w:numId w:val="1"/>
        </w:numPr>
        <w:spacing w:line="500" w:lineRule="exact"/>
        <w:rPr>
          <w:highlight w:val="green"/>
        </w:rPr>
        <w:sectPr>
          <w:headerReference r:id="rId13" w:type="first"/>
          <w:footerReference r:id="rId15" w:type="first"/>
          <w:footerReference r:id="rId14" w:type="even"/>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120"/>
        <w:spacing w:before="0" w:after="0"/>
        <w:ind w:left="425"/>
        <w:rPr>
          <w:rFonts w:ascii="Times New Roman" w:eastAsia="黑体"/>
          <w:sz w:val="21"/>
          <w:szCs w:val="21"/>
          <w:highlight w:val="none"/>
        </w:rPr>
      </w:pPr>
      <w:r>
        <w:rPr>
          <w:rFonts w:ascii="Times New Roman" w:eastAsia="黑体"/>
          <w:sz w:val="21"/>
          <w:szCs w:val="21"/>
          <w:highlight w:val="none"/>
        </w:rPr>
        <w:t>表5.2-</w:t>
      </w:r>
      <w:r>
        <w:rPr>
          <w:rFonts w:hint="eastAsia" w:ascii="Times New Roman" w:eastAsia="黑体"/>
          <w:sz w:val="21"/>
          <w:szCs w:val="21"/>
          <w:highlight w:val="none"/>
        </w:rPr>
        <w:t>5</w:t>
      </w:r>
      <w:r>
        <w:rPr>
          <w:rFonts w:ascii="Times New Roman" w:eastAsia="黑体"/>
          <w:sz w:val="21"/>
          <w:szCs w:val="21"/>
          <w:highlight w:val="none"/>
        </w:rPr>
        <w:t>风向频率表（%）</w:t>
      </w:r>
    </w:p>
    <w:tbl>
      <w:tblPr>
        <w:tblStyle w:val="48"/>
        <w:tblW w:w="14174"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29"/>
        <w:gridCol w:w="829"/>
        <w:gridCol w:w="718"/>
        <w:gridCol w:w="769"/>
        <w:gridCol w:w="751"/>
        <w:gridCol w:w="703"/>
        <w:gridCol w:w="709"/>
        <w:gridCol w:w="828"/>
        <w:gridCol w:w="703"/>
        <w:gridCol w:w="828"/>
        <w:gridCol w:w="780"/>
        <w:gridCol w:w="703"/>
        <w:gridCol w:w="879"/>
        <w:gridCol w:w="703"/>
        <w:gridCol w:w="921"/>
        <w:gridCol w:w="828"/>
        <w:gridCol w:w="865"/>
        <w:gridCol w:w="82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p>
        </w:tc>
        <w:tc>
          <w:tcPr>
            <w:tcW w:w="829" w:type="dxa"/>
            <w:vAlign w:val="center"/>
          </w:tcPr>
          <w:p>
            <w:pPr>
              <w:spacing w:line="240" w:lineRule="auto"/>
              <w:ind w:firstLine="0" w:firstLineChars="0"/>
              <w:jc w:val="center"/>
              <w:rPr>
                <w:sz w:val="21"/>
                <w:szCs w:val="21"/>
                <w:highlight w:val="none"/>
              </w:rPr>
            </w:pPr>
            <w:r>
              <w:rPr>
                <w:sz w:val="21"/>
                <w:szCs w:val="21"/>
                <w:highlight w:val="none"/>
              </w:rPr>
              <w:t>N</w:t>
            </w:r>
          </w:p>
        </w:tc>
        <w:tc>
          <w:tcPr>
            <w:tcW w:w="718" w:type="dxa"/>
            <w:vAlign w:val="center"/>
          </w:tcPr>
          <w:p>
            <w:pPr>
              <w:spacing w:line="240" w:lineRule="auto"/>
              <w:ind w:firstLine="0" w:firstLineChars="0"/>
              <w:jc w:val="center"/>
              <w:rPr>
                <w:sz w:val="21"/>
                <w:szCs w:val="21"/>
                <w:highlight w:val="none"/>
              </w:rPr>
            </w:pPr>
            <w:r>
              <w:rPr>
                <w:sz w:val="21"/>
                <w:szCs w:val="21"/>
                <w:highlight w:val="none"/>
              </w:rPr>
              <w:t>NNE</w:t>
            </w:r>
          </w:p>
        </w:tc>
        <w:tc>
          <w:tcPr>
            <w:tcW w:w="769" w:type="dxa"/>
            <w:vAlign w:val="center"/>
          </w:tcPr>
          <w:p>
            <w:pPr>
              <w:spacing w:line="240" w:lineRule="auto"/>
              <w:ind w:firstLine="0" w:firstLineChars="0"/>
              <w:jc w:val="center"/>
              <w:rPr>
                <w:sz w:val="21"/>
                <w:szCs w:val="21"/>
                <w:highlight w:val="none"/>
              </w:rPr>
            </w:pPr>
            <w:r>
              <w:rPr>
                <w:sz w:val="21"/>
                <w:szCs w:val="21"/>
                <w:highlight w:val="none"/>
              </w:rPr>
              <w:t>NE</w:t>
            </w:r>
          </w:p>
        </w:tc>
        <w:tc>
          <w:tcPr>
            <w:tcW w:w="751" w:type="dxa"/>
            <w:vAlign w:val="center"/>
          </w:tcPr>
          <w:p>
            <w:pPr>
              <w:spacing w:line="240" w:lineRule="auto"/>
              <w:ind w:firstLine="0" w:firstLineChars="0"/>
              <w:jc w:val="center"/>
              <w:rPr>
                <w:sz w:val="21"/>
                <w:szCs w:val="21"/>
                <w:highlight w:val="none"/>
              </w:rPr>
            </w:pPr>
            <w:r>
              <w:rPr>
                <w:sz w:val="21"/>
                <w:szCs w:val="21"/>
                <w:highlight w:val="none"/>
              </w:rPr>
              <w:t>ENE</w:t>
            </w:r>
          </w:p>
        </w:tc>
        <w:tc>
          <w:tcPr>
            <w:tcW w:w="703" w:type="dxa"/>
            <w:vAlign w:val="center"/>
          </w:tcPr>
          <w:p>
            <w:pPr>
              <w:spacing w:line="240" w:lineRule="auto"/>
              <w:ind w:firstLine="0" w:firstLineChars="0"/>
              <w:jc w:val="center"/>
              <w:rPr>
                <w:sz w:val="21"/>
                <w:szCs w:val="21"/>
                <w:highlight w:val="none"/>
              </w:rPr>
            </w:pPr>
            <w:r>
              <w:rPr>
                <w:sz w:val="21"/>
                <w:szCs w:val="21"/>
                <w:highlight w:val="none"/>
              </w:rPr>
              <w:t>E</w:t>
            </w:r>
          </w:p>
        </w:tc>
        <w:tc>
          <w:tcPr>
            <w:tcW w:w="709" w:type="dxa"/>
            <w:vAlign w:val="center"/>
          </w:tcPr>
          <w:p>
            <w:pPr>
              <w:spacing w:line="240" w:lineRule="auto"/>
              <w:ind w:firstLine="0" w:firstLineChars="0"/>
              <w:jc w:val="center"/>
              <w:rPr>
                <w:sz w:val="21"/>
                <w:szCs w:val="21"/>
                <w:highlight w:val="none"/>
              </w:rPr>
            </w:pPr>
            <w:r>
              <w:rPr>
                <w:sz w:val="21"/>
                <w:szCs w:val="21"/>
                <w:highlight w:val="none"/>
              </w:rPr>
              <w:t>ESE</w:t>
            </w:r>
          </w:p>
        </w:tc>
        <w:tc>
          <w:tcPr>
            <w:tcW w:w="828" w:type="dxa"/>
            <w:vAlign w:val="center"/>
          </w:tcPr>
          <w:p>
            <w:pPr>
              <w:spacing w:line="240" w:lineRule="auto"/>
              <w:ind w:firstLine="0" w:firstLineChars="0"/>
              <w:jc w:val="center"/>
              <w:rPr>
                <w:sz w:val="21"/>
                <w:szCs w:val="21"/>
                <w:highlight w:val="none"/>
              </w:rPr>
            </w:pPr>
            <w:r>
              <w:rPr>
                <w:sz w:val="21"/>
                <w:szCs w:val="21"/>
                <w:highlight w:val="none"/>
              </w:rPr>
              <w:t>SE</w:t>
            </w:r>
          </w:p>
        </w:tc>
        <w:tc>
          <w:tcPr>
            <w:tcW w:w="703" w:type="dxa"/>
            <w:vAlign w:val="center"/>
          </w:tcPr>
          <w:p>
            <w:pPr>
              <w:spacing w:line="240" w:lineRule="auto"/>
              <w:ind w:firstLine="0" w:firstLineChars="0"/>
              <w:jc w:val="center"/>
              <w:rPr>
                <w:sz w:val="21"/>
                <w:szCs w:val="21"/>
                <w:highlight w:val="none"/>
              </w:rPr>
            </w:pPr>
            <w:r>
              <w:rPr>
                <w:sz w:val="21"/>
                <w:szCs w:val="21"/>
                <w:highlight w:val="none"/>
              </w:rPr>
              <w:t>SSE</w:t>
            </w:r>
          </w:p>
        </w:tc>
        <w:tc>
          <w:tcPr>
            <w:tcW w:w="828" w:type="dxa"/>
            <w:vAlign w:val="center"/>
          </w:tcPr>
          <w:p>
            <w:pPr>
              <w:spacing w:line="240" w:lineRule="auto"/>
              <w:ind w:firstLine="0" w:firstLineChars="0"/>
              <w:jc w:val="center"/>
              <w:rPr>
                <w:sz w:val="21"/>
                <w:szCs w:val="21"/>
                <w:highlight w:val="none"/>
              </w:rPr>
            </w:pPr>
            <w:r>
              <w:rPr>
                <w:sz w:val="21"/>
                <w:szCs w:val="21"/>
                <w:highlight w:val="none"/>
              </w:rPr>
              <w:t>S</w:t>
            </w:r>
          </w:p>
        </w:tc>
        <w:tc>
          <w:tcPr>
            <w:tcW w:w="780" w:type="dxa"/>
            <w:vAlign w:val="center"/>
          </w:tcPr>
          <w:p>
            <w:pPr>
              <w:spacing w:line="240" w:lineRule="auto"/>
              <w:ind w:firstLine="0" w:firstLineChars="0"/>
              <w:jc w:val="center"/>
              <w:rPr>
                <w:sz w:val="21"/>
                <w:szCs w:val="21"/>
                <w:highlight w:val="none"/>
              </w:rPr>
            </w:pPr>
            <w:r>
              <w:rPr>
                <w:sz w:val="21"/>
                <w:szCs w:val="21"/>
                <w:highlight w:val="none"/>
              </w:rPr>
              <w:t>SSW</w:t>
            </w:r>
          </w:p>
        </w:tc>
        <w:tc>
          <w:tcPr>
            <w:tcW w:w="703" w:type="dxa"/>
            <w:vAlign w:val="center"/>
          </w:tcPr>
          <w:p>
            <w:pPr>
              <w:spacing w:line="240" w:lineRule="auto"/>
              <w:ind w:firstLine="0" w:firstLineChars="0"/>
              <w:jc w:val="center"/>
              <w:rPr>
                <w:sz w:val="21"/>
                <w:szCs w:val="21"/>
                <w:highlight w:val="none"/>
              </w:rPr>
            </w:pPr>
            <w:r>
              <w:rPr>
                <w:sz w:val="21"/>
                <w:szCs w:val="21"/>
                <w:highlight w:val="none"/>
              </w:rPr>
              <w:t>SW</w:t>
            </w:r>
          </w:p>
        </w:tc>
        <w:tc>
          <w:tcPr>
            <w:tcW w:w="879" w:type="dxa"/>
            <w:vAlign w:val="center"/>
          </w:tcPr>
          <w:p>
            <w:pPr>
              <w:spacing w:line="240" w:lineRule="auto"/>
              <w:ind w:firstLine="0" w:firstLineChars="0"/>
              <w:jc w:val="center"/>
              <w:rPr>
                <w:sz w:val="21"/>
                <w:szCs w:val="21"/>
                <w:highlight w:val="none"/>
              </w:rPr>
            </w:pPr>
            <w:r>
              <w:rPr>
                <w:sz w:val="21"/>
                <w:szCs w:val="21"/>
                <w:highlight w:val="none"/>
              </w:rPr>
              <w:t>WSW</w:t>
            </w:r>
          </w:p>
        </w:tc>
        <w:tc>
          <w:tcPr>
            <w:tcW w:w="703" w:type="dxa"/>
            <w:vAlign w:val="center"/>
          </w:tcPr>
          <w:p>
            <w:pPr>
              <w:spacing w:line="240" w:lineRule="auto"/>
              <w:ind w:firstLine="0" w:firstLineChars="0"/>
              <w:jc w:val="center"/>
              <w:rPr>
                <w:sz w:val="21"/>
                <w:szCs w:val="21"/>
                <w:highlight w:val="none"/>
              </w:rPr>
            </w:pPr>
            <w:r>
              <w:rPr>
                <w:sz w:val="21"/>
                <w:szCs w:val="21"/>
                <w:highlight w:val="none"/>
              </w:rPr>
              <w:t>W</w:t>
            </w:r>
          </w:p>
        </w:tc>
        <w:tc>
          <w:tcPr>
            <w:tcW w:w="921" w:type="dxa"/>
            <w:vAlign w:val="center"/>
          </w:tcPr>
          <w:p>
            <w:pPr>
              <w:spacing w:line="240" w:lineRule="auto"/>
              <w:ind w:firstLine="0" w:firstLineChars="0"/>
              <w:jc w:val="center"/>
              <w:rPr>
                <w:sz w:val="21"/>
                <w:szCs w:val="21"/>
                <w:highlight w:val="none"/>
              </w:rPr>
            </w:pPr>
            <w:r>
              <w:rPr>
                <w:sz w:val="21"/>
                <w:szCs w:val="21"/>
                <w:highlight w:val="none"/>
              </w:rPr>
              <w:t>WNW</w:t>
            </w:r>
          </w:p>
        </w:tc>
        <w:tc>
          <w:tcPr>
            <w:tcW w:w="828" w:type="dxa"/>
            <w:vAlign w:val="center"/>
          </w:tcPr>
          <w:p>
            <w:pPr>
              <w:spacing w:line="240" w:lineRule="auto"/>
              <w:ind w:firstLine="0" w:firstLineChars="0"/>
              <w:jc w:val="center"/>
              <w:rPr>
                <w:sz w:val="21"/>
                <w:szCs w:val="21"/>
                <w:highlight w:val="none"/>
              </w:rPr>
            </w:pPr>
            <w:r>
              <w:rPr>
                <w:sz w:val="21"/>
                <w:szCs w:val="21"/>
                <w:highlight w:val="none"/>
              </w:rPr>
              <w:t>NW</w:t>
            </w:r>
          </w:p>
        </w:tc>
        <w:tc>
          <w:tcPr>
            <w:tcW w:w="865" w:type="dxa"/>
            <w:vAlign w:val="center"/>
          </w:tcPr>
          <w:p>
            <w:pPr>
              <w:spacing w:line="240" w:lineRule="auto"/>
              <w:ind w:firstLine="0" w:firstLineChars="0"/>
              <w:jc w:val="center"/>
              <w:rPr>
                <w:sz w:val="21"/>
                <w:szCs w:val="21"/>
                <w:highlight w:val="none"/>
              </w:rPr>
            </w:pPr>
            <w:r>
              <w:rPr>
                <w:sz w:val="21"/>
                <w:szCs w:val="21"/>
                <w:highlight w:val="none"/>
              </w:rPr>
              <w:t>NNW</w:t>
            </w:r>
          </w:p>
        </w:tc>
        <w:tc>
          <w:tcPr>
            <w:tcW w:w="828" w:type="dxa"/>
            <w:vAlign w:val="center"/>
          </w:tcPr>
          <w:p>
            <w:pPr>
              <w:spacing w:line="240" w:lineRule="auto"/>
              <w:ind w:firstLine="0" w:firstLineChars="0"/>
              <w:jc w:val="center"/>
              <w:rPr>
                <w:sz w:val="21"/>
                <w:szCs w:val="21"/>
                <w:highlight w:val="none"/>
              </w:rPr>
            </w:pPr>
            <w:r>
              <w:rPr>
                <w:sz w:val="21"/>
                <w:szCs w:val="21"/>
                <w:highlight w:val="none"/>
              </w:rPr>
              <w:t>静风</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1月</w:t>
            </w:r>
          </w:p>
        </w:tc>
        <w:tc>
          <w:tcPr>
            <w:tcW w:w="829" w:type="dxa"/>
            <w:vAlign w:val="center"/>
          </w:tcPr>
          <w:p>
            <w:pPr>
              <w:spacing w:line="240" w:lineRule="auto"/>
              <w:ind w:firstLine="0" w:firstLineChars="0"/>
              <w:jc w:val="center"/>
              <w:rPr>
                <w:sz w:val="21"/>
                <w:szCs w:val="21"/>
                <w:highlight w:val="none"/>
              </w:rPr>
            </w:pPr>
            <w:r>
              <w:rPr>
                <w:sz w:val="21"/>
                <w:szCs w:val="21"/>
                <w:highlight w:val="none"/>
              </w:rPr>
              <w:t>8.33</w:t>
            </w:r>
          </w:p>
        </w:tc>
        <w:tc>
          <w:tcPr>
            <w:tcW w:w="718" w:type="dxa"/>
            <w:vAlign w:val="center"/>
          </w:tcPr>
          <w:p>
            <w:pPr>
              <w:spacing w:line="240" w:lineRule="auto"/>
              <w:ind w:firstLine="0" w:firstLineChars="0"/>
              <w:jc w:val="center"/>
              <w:rPr>
                <w:sz w:val="21"/>
                <w:szCs w:val="21"/>
                <w:highlight w:val="none"/>
              </w:rPr>
            </w:pPr>
            <w:r>
              <w:rPr>
                <w:sz w:val="21"/>
                <w:szCs w:val="21"/>
                <w:highlight w:val="none"/>
              </w:rPr>
              <w:t>10.62</w:t>
            </w:r>
          </w:p>
        </w:tc>
        <w:tc>
          <w:tcPr>
            <w:tcW w:w="769" w:type="dxa"/>
            <w:vAlign w:val="center"/>
          </w:tcPr>
          <w:p>
            <w:pPr>
              <w:spacing w:line="240" w:lineRule="auto"/>
              <w:ind w:firstLine="0" w:firstLineChars="0"/>
              <w:jc w:val="center"/>
              <w:rPr>
                <w:sz w:val="21"/>
                <w:szCs w:val="21"/>
                <w:highlight w:val="none"/>
              </w:rPr>
            </w:pPr>
            <w:r>
              <w:rPr>
                <w:sz w:val="21"/>
                <w:szCs w:val="21"/>
                <w:highlight w:val="none"/>
              </w:rPr>
              <w:t>9.14</w:t>
            </w:r>
          </w:p>
        </w:tc>
        <w:tc>
          <w:tcPr>
            <w:tcW w:w="751" w:type="dxa"/>
            <w:vAlign w:val="center"/>
          </w:tcPr>
          <w:p>
            <w:pPr>
              <w:spacing w:line="240" w:lineRule="auto"/>
              <w:ind w:firstLine="0" w:firstLineChars="0"/>
              <w:jc w:val="center"/>
              <w:rPr>
                <w:sz w:val="21"/>
                <w:szCs w:val="21"/>
                <w:highlight w:val="none"/>
              </w:rPr>
            </w:pPr>
            <w:r>
              <w:rPr>
                <w:sz w:val="21"/>
                <w:szCs w:val="21"/>
                <w:highlight w:val="none"/>
              </w:rPr>
              <w:t>8.2</w:t>
            </w:r>
          </w:p>
        </w:tc>
        <w:tc>
          <w:tcPr>
            <w:tcW w:w="703" w:type="dxa"/>
            <w:vAlign w:val="center"/>
          </w:tcPr>
          <w:p>
            <w:pPr>
              <w:spacing w:line="240" w:lineRule="auto"/>
              <w:ind w:firstLine="0" w:firstLineChars="0"/>
              <w:jc w:val="center"/>
              <w:rPr>
                <w:sz w:val="21"/>
                <w:szCs w:val="21"/>
                <w:highlight w:val="none"/>
              </w:rPr>
            </w:pPr>
            <w:r>
              <w:rPr>
                <w:sz w:val="21"/>
                <w:szCs w:val="21"/>
                <w:highlight w:val="none"/>
              </w:rPr>
              <w:t>9.14</w:t>
            </w:r>
          </w:p>
        </w:tc>
        <w:tc>
          <w:tcPr>
            <w:tcW w:w="709" w:type="dxa"/>
            <w:vAlign w:val="center"/>
          </w:tcPr>
          <w:p>
            <w:pPr>
              <w:spacing w:line="240" w:lineRule="auto"/>
              <w:ind w:firstLine="0" w:firstLineChars="0"/>
              <w:jc w:val="center"/>
              <w:rPr>
                <w:sz w:val="21"/>
                <w:szCs w:val="21"/>
                <w:highlight w:val="none"/>
              </w:rPr>
            </w:pPr>
            <w:r>
              <w:rPr>
                <w:sz w:val="21"/>
                <w:szCs w:val="21"/>
                <w:highlight w:val="none"/>
              </w:rPr>
              <w:t>10.48</w:t>
            </w:r>
          </w:p>
        </w:tc>
        <w:tc>
          <w:tcPr>
            <w:tcW w:w="828" w:type="dxa"/>
            <w:vAlign w:val="center"/>
          </w:tcPr>
          <w:p>
            <w:pPr>
              <w:spacing w:line="240" w:lineRule="auto"/>
              <w:ind w:firstLine="0" w:firstLineChars="0"/>
              <w:jc w:val="center"/>
              <w:rPr>
                <w:sz w:val="21"/>
                <w:szCs w:val="21"/>
                <w:highlight w:val="none"/>
              </w:rPr>
            </w:pPr>
            <w:r>
              <w:rPr>
                <w:sz w:val="21"/>
                <w:szCs w:val="21"/>
                <w:highlight w:val="none"/>
              </w:rPr>
              <w:t>4.3</w:t>
            </w:r>
          </w:p>
        </w:tc>
        <w:tc>
          <w:tcPr>
            <w:tcW w:w="703" w:type="dxa"/>
            <w:vAlign w:val="center"/>
          </w:tcPr>
          <w:p>
            <w:pPr>
              <w:spacing w:line="240" w:lineRule="auto"/>
              <w:ind w:firstLine="0" w:firstLineChars="0"/>
              <w:jc w:val="center"/>
              <w:rPr>
                <w:sz w:val="21"/>
                <w:szCs w:val="21"/>
                <w:highlight w:val="none"/>
              </w:rPr>
            </w:pPr>
            <w:r>
              <w:rPr>
                <w:sz w:val="21"/>
                <w:szCs w:val="21"/>
                <w:highlight w:val="none"/>
              </w:rPr>
              <w:t>2.02</w:t>
            </w:r>
          </w:p>
        </w:tc>
        <w:tc>
          <w:tcPr>
            <w:tcW w:w="828" w:type="dxa"/>
            <w:vAlign w:val="center"/>
          </w:tcPr>
          <w:p>
            <w:pPr>
              <w:spacing w:line="240" w:lineRule="auto"/>
              <w:ind w:firstLine="0" w:firstLineChars="0"/>
              <w:jc w:val="center"/>
              <w:rPr>
                <w:sz w:val="21"/>
                <w:szCs w:val="21"/>
                <w:highlight w:val="none"/>
              </w:rPr>
            </w:pPr>
            <w:r>
              <w:rPr>
                <w:sz w:val="21"/>
                <w:szCs w:val="21"/>
                <w:highlight w:val="none"/>
              </w:rPr>
              <w:t>2.28</w:t>
            </w:r>
          </w:p>
        </w:tc>
        <w:tc>
          <w:tcPr>
            <w:tcW w:w="780" w:type="dxa"/>
            <w:vAlign w:val="center"/>
          </w:tcPr>
          <w:p>
            <w:pPr>
              <w:spacing w:line="240" w:lineRule="auto"/>
              <w:ind w:firstLine="0" w:firstLineChars="0"/>
              <w:jc w:val="center"/>
              <w:rPr>
                <w:sz w:val="21"/>
                <w:szCs w:val="21"/>
                <w:highlight w:val="none"/>
              </w:rPr>
            </w:pPr>
            <w:r>
              <w:rPr>
                <w:sz w:val="21"/>
                <w:szCs w:val="21"/>
                <w:highlight w:val="none"/>
              </w:rPr>
              <w:t>2.15</w:t>
            </w:r>
          </w:p>
        </w:tc>
        <w:tc>
          <w:tcPr>
            <w:tcW w:w="703" w:type="dxa"/>
            <w:vAlign w:val="center"/>
          </w:tcPr>
          <w:p>
            <w:pPr>
              <w:spacing w:line="240" w:lineRule="auto"/>
              <w:ind w:firstLine="0" w:firstLineChars="0"/>
              <w:jc w:val="center"/>
              <w:rPr>
                <w:sz w:val="21"/>
                <w:szCs w:val="21"/>
                <w:highlight w:val="none"/>
              </w:rPr>
            </w:pPr>
            <w:r>
              <w:rPr>
                <w:sz w:val="21"/>
                <w:szCs w:val="21"/>
                <w:highlight w:val="none"/>
              </w:rPr>
              <w:t>3.9</w:t>
            </w:r>
          </w:p>
        </w:tc>
        <w:tc>
          <w:tcPr>
            <w:tcW w:w="879" w:type="dxa"/>
            <w:vAlign w:val="center"/>
          </w:tcPr>
          <w:p>
            <w:pPr>
              <w:spacing w:line="240" w:lineRule="auto"/>
              <w:ind w:firstLine="0" w:firstLineChars="0"/>
              <w:jc w:val="center"/>
              <w:rPr>
                <w:sz w:val="21"/>
                <w:szCs w:val="21"/>
                <w:highlight w:val="none"/>
              </w:rPr>
            </w:pPr>
            <w:r>
              <w:rPr>
                <w:sz w:val="21"/>
                <w:szCs w:val="21"/>
                <w:highlight w:val="none"/>
              </w:rPr>
              <w:t>8.33</w:t>
            </w:r>
          </w:p>
        </w:tc>
        <w:tc>
          <w:tcPr>
            <w:tcW w:w="703" w:type="dxa"/>
            <w:vAlign w:val="center"/>
          </w:tcPr>
          <w:p>
            <w:pPr>
              <w:spacing w:line="240" w:lineRule="auto"/>
              <w:ind w:firstLine="0" w:firstLineChars="0"/>
              <w:jc w:val="center"/>
              <w:rPr>
                <w:sz w:val="21"/>
                <w:szCs w:val="21"/>
                <w:highlight w:val="none"/>
              </w:rPr>
            </w:pPr>
            <w:r>
              <w:rPr>
                <w:sz w:val="21"/>
                <w:szCs w:val="21"/>
                <w:highlight w:val="none"/>
              </w:rPr>
              <w:t>5.91</w:t>
            </w:r>
          </w:p>
        </w:tc>
        <w:tc>
          <w:tcPr>
            <w:tcW w:w="921" w:type="dxa"/>
            <w:vAlign w:val="center"/>
          </w:tcPr>
          <w:p>
            <w:pPr>
              <w:spacing w:line="240" w:lineRule="auto"/>
              <w:ind w:firstLine="0" w:firstLineChars="0"/>
              <w:jc w:val="center"/>
              <w:rPr>
                <w:sz w:val="21"/>
                <w:szCs w:val="21"/>
                <w:highlight w:val="none"/>
              </w:rPr>
            </w:pPr>
            <w:r>
              <w:rPr>
                <w:sz w:val="21"/>
                <w:szCs w:val="21"/>
                <w:highlight w:val="none"/>
              </w:rPr>
              <w:t>3.36</w:t>
            </w:r>
          </w:p>
        </w:tc>
        <w:tc>
          <w:tcPr>
            <w:tcW w:w="828" w:type="dxa"/>
            <w:vAlign w:val="center"/>
          </w:tcPr>
          <w:p>
            <w:pPr>
              <w:spacing w:line="240" w:lineRule="auto"/>
              <w:ind w:firstLine="0" w:firstLineChars="0"/>
              <w:jc w:val="center"/>
              <w:rPr>
                <w:sz w:val="21"/>
                <w:szCs w:val="21"/>
                <w:highlight w:val="none"/>
              </w:rPr>
            </w:pPr>
            <w:r>
              <w:rPr>
                <w:sz w:val="21"/>
                <w:szCs w:val="21"/>
                <w:highlight w:val="none"/>
              </w:rPr>
              <w:t>2.42</w:t>
            </w:r>
          </w:p>
        </w:tc>
        <w:tc>
          <w:tcPr>
            <w:tcW w:w="865" w:type="dxa"/>
            <w:vAlign w:val="center"/>
          </w:tcPr>
          <w:p>
            <w:pPr>
              <w:spacing w:line="240" w:lineRule="auto"/>
              <w:ind w:firstLine="0" w:firstLineChars="0"/>
              <w:jc w:val="center"/>
              <w:rPr>
                <w:sz w:val="21"/>
                <w:szCs w:val="21"/>
                <w:highlight w:val="none"/>
              </w:rPr>
            </w:pPr>
            <w:r>
              <w:rPr>
                <w:sz w:val="21"/>
                <w:szCs w:val="21"/>
                <w:highlight w:val="none"/>
              </w:rPr>
              <w:t>4.3</w:t>
            </w:r>
          </w:p>
        </w:tc>
        <w:tc>
          <w:tcPr>
            <w:tcW w:w="828" w:type="dxa"/>
            <w:vAlign w:val="center"/>
          </w:tcPr>
          <w:p>
            <w:pPr>
              <w:spacing w:line="240" w:lineRule="auto"/>
              <w:ind w:firstLine="0" w:firstLineChars="0"/>
              <w:jc w:val="center"/>
              <w:rPr>
                <w:sz w:val="21"/>
                <w:szCs w:val="21"/>
                <w:highlight w:val="none"/>
              </w:rPr>
            </w:pPr>
            <w:r>
              <w:rPr>
                <w:sz w:val="21"/>
                <w:szCs w:val="21"/>
                <w:highlight w:val="none"/>
              </w:rPr>
              <w:t>5.11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2月</w:t>
            </w:r>
          </w:p>
        </w:tc>
        <w:tc>
          <w:tcPr>
            <w:tcW w:w="829" w:type="dxa"/>
            <w:vAlign w:val="center"/>
          </w:tcPr>
          <w:p>
            <w:pPr>
              <w:spacing w:line="240" w:lineRule="auto"/>
              <w:ind w:firstLine="0" w:firstLineChars="0"/>
              <w:jc w:val="center"/>
              <w:rPr>
                <w:sz w:val="21"/>
                <w:szCs w:val="21"/>
                <w:highlight w:val="none"/>
              </w:rPr>
            </w:pPr>
            <w:r>
              <w:rPr>
                <w:sz w:val="21"/>
                <w:szCs w:val="21"/>
                <w:highlight w:val="none"/>
              </w:rPr>
              <w:t>10.49</w:t>
            </w:r>
          </w:p>
        </w:tc>
        <w:tc>
          <w:tcPr>
            <w:tcW w:w="718" w:type="dxa"/>
            <w:vAlign w:val="center"/>
          </w:tcPr>
          <w:p>
            <w:pPr>
              <w:spacing w:line="240" w:lineRule="auto"/>
              <w:ind w:firstLine="0" w:firstLineChars="0"/>
              <w:jc w:val="center"/>
              <w:rPr>
                <w:sz w:val="21"/>
                <w:szCs w:val="21"/>
                <w:highlight w:val="none"/>
              </w:rPr>
            </w:pPr>
            <w:r>
              <w:rPr>
                <w:sz w:val="21"/>
                <w:szCs w:val="21"/>
                <w:highlight w:val="none"/>
              </w:rPr>
              <w:t>11.78</w:t>
            </w:r>
          </w:p>
        </w:tc>
        <w:tc>
          <w:tcPr>
            <w:tcW w:w="769" w:type="dxa"/>
            <w:vAlign w:val="center"/>
          </w:tcPr>
          <w:p>
            <w:pPr>
              <w:spacing w:line="240" w:lineRule="auto"/>
              <w:ind w:firstLine="0" w:firstLineChars="0"/>
              <w:jc w:val="center"/>
              <w:rPr>
                <w:sz w:val="21"/>
                <w:szCs w:val="21"/>
                <w:highlight w:val="none"/>
              </w:rPr>
            </w:pPr>
            <w:r>
              <w:rPr>
                <w:sz w:val="21"/>
                <w:szCs w:val="21"/>
                <w:highlight w:val="none"/>
              </w:rPr>
              <w:t>10.2</w:t>
            </w:r>
          </w:p>
        </w:tc>
        <w:tc>
          <w:tcPr>
            <w:tcW w:w="751" w:type="dxa"/>
            <w:vAlign w:val="center"/>
          </w:tcPr>
          <w:p>
            <w:pPr>
              <w:spacing w:line="240" w:lineRule="auto"/>
              <w:ind w:firstLine="0" w:firstLineChars="0"/>
              <w:jc w:val="center"/>
              <w:rPr>
                <w:sz w:val="21"/>
                <w:szCs w:val="21"/>
                <w:highlight w:val="none"/>
              </w:rPr>
            </w:pPr>
            <w:r>
              <w:rPr>
                <w:sz w:val="21"/>
                <w:szCs w:val="21"/>
                <w:highlight w:val="none"/>
              </w:rPr>
              <w:t>7.33</w:t>
            </w:r>
          </w:p>
        </w:tc>
        <w:tc>
          <w:tcPr>
            <w:tcW w:w="703" w:type="dxa"/>
            <w:vAlign w:val="center"/>
          </w:tcPr>
          <w:p>
            <w:pPr>
              <w:spacing w:line="240" w:lineRule="auto"/>
              <w:ind w:firstLine="0" w:firstLineChars="0"/>
              <w:jc w:val="center"/>
              <w:rPr>
                <w:sz w:val="21"/>
                <w:szCs w:val="21"/>
                <w:highlight w:val="none"/>
              </w:rPr>
            </w:pPr>
            <w:r>
              <w:rPr>
                <w:sz w:val="21"/>
                <w:szCs w:val="21"/>
                <w:highlight w:val="none"/>
              </w:rPr>
              <w:t>7.9</w:t>
            </w:r>
          </w:p>
        </w:tc>
        <w:tc>
          <w:tcPr>
            <w:tcW w:w="709" w:type="dxa"/>
            <w:vAlign w:val="center"/>
          </w:tcPr>
          <w:p>
            <w:pPr>
              <w:spacing w:line="240" w:lineRule="auto"/>
              <w:ind w:firstLine="0" w:firstLineChars="0"/>
              <w:jc w:val="center"/>
              <w:rPr>
                <w:sz w:val="21"/>
                <w:szCs w:val="21"/>
                <w:highlight w:val="none"/>
              </w:rPr>
            </w:pPr>
            <w:r>
              <w:rPr>
                <w:sz w:val="21"/>
                <w:szCs w:val="21"/>
                <w:highlight w:val="none"/>
              </w:rPr>
              <w:t>6.03</w:t>
            </w:r>
          </w:p>
        </w:tc>
        <w:tc>
          <w:tcPr>
            <w:tcW w:w="828" w:type="dxa"/>
            <w:vAlign w:val="center"/>
          </w:tcPr>
          <w:p>
            <w:pPr>
              <w:spacing w:line="240" w:lineRule="auto"/>
              <w:ind w:firstLine="0" w:firstLineChars="0"/>
              <w:jc w:val="center"/>
              <w:rPr>
                <w:sz w:val="21"/>
                <w:szCs w:val="21"/>
                <w:highlight w:val="none"/>
              </w:rPr>
            </w:pPr>
            <w:r>
              <w:rPr>
                <w:sz w:val="21"/>
                <w:szCs w:val="21"/>
                <w:highlight w:val="none"/>
              </w:rPr>
              <w:t>4.6</w:t>
            </w:r>
          </w:p>
        </w:tc>
        <w:tc>
          <w:tcPr>
            <w:tcW w:w="703" w:type="dxa"/>
            <w:vAlign w:val="center"/>
          </w:tcPr>
          <w:p>
            <w:pPr>
              <w:spacing w:line="240" w:lineRule="auto"/>
              <w:ind w:firstLine="0" w:firstLineChars="0"/>
              <w:jc w:val="center"/>
              <w:rPr>
                <w:sz w:val="21"/>
                <w:szCs w:val="21"/>
                <w:highlight w:val="none"/>
              </w:rPr>
            </w:pPr>
            <w:r>
              <w:rPr>
                <w:sz w:val="21"/>
                <w:szCs w:val="21"/>
                <w:highlight w:val="none"/>
              </w:rPr>
              <w:t>1.87</w:t>
            </w:r>
          </w:p>
        </w:tc>
        <w:tc>
          <w:tcPr>
            <w:tcW w:w="828" w:type="dxa"/>
            <w:vAlign w:val="center"/>
          </w:tcPr>
          <w:p>
            <w:pPr>
              <w:spacing w:line="240" w:lineRule="auto"/>
              <w:ind w:firstLine="0" w:firstLineChars="0"/>
              <w:jc w:val="center"/>
              <w:rPr>
                <w:sz w:val="21"/>
                <w:szCs w:val="21"/>
                <w:highlight w:val="none"/>
              </w:rPr>
            </w:pPr>
            <w:r>
              <w:rPr>
                <w:sz w:val="21"/>
                <w:szCs w:val="21"/>
                <w:highlight w:val="none"/>
              </w:rPr>
              <w:t>2.59</w:t>
            </w:r>
          </w:p>
        </w:tc>
        <w:tc>
          <w:tcPr>
            <w:tcW w:w="780" w:type="dxa"/>
            <w:vAlign w:val="center"/>
          </w:tcPr>
          <w:p>
            <w:pPr>
              <w:spacing w:line="240" w:lineRule="auto"/>
              <w:ind w:firstLine="0" w:firstLineChars="0"/>
              <w:jc w:val="center"/>
              <w:rPr>
                <w:sz w:val="21"/>
                <w:szCs w:val="21"/>
                <w:highlight w:val="none"/>
              </w:rPr>
            </w:pPr>
            <w:r>
              <w:rPr>
                <w:sz w:val="21"/>
                <w:szCs w:val="21"/>
                <w:highlight w:val="none"/>
              </w:rPr>
              <w:t>2.16</w:t>
            </w:r>
          </w:p>
        </w:tc>
        <w:tc>
          <w:tcPr>
            <w:tcW w:w="703" w:type="dxa"/>
            <w:vAlign w:val="center"/>
          </w:tcPr>
          <w:p>
            <w:pPr>
              <w:spacing w:line="240" w:lineRule="auto"/>
              <w:ind w:firstLine="0" w:firstLineChars="0"/>
              <w:jc w:val="center"/>
              <w:rPr>
                <w:sz w:val="21"/>
                <w:szCs w:val="21"/>
                <w:highlight w:val="none"/>
              </w:rPr>
            </w:pPr>
            <w:r>
              <w:rPr>
                <w:sz w:val="21"/>
                <w:szCs w:val="21"/>
                <w:highlight w:val="none"/>
              </w:rPr>
              <w:t>4.02</w:t>
            </w:r>
          </w:p>
        </w:tc>
        <w:tc>
          <w:tcPr>
            <w:tcW w:w="879" w:type="dxa"/>
            <w:vAlign w:val="center"/>
          </w:tcPr>
          <w:p>
            <w:pPr>
              <w:spacing w:line="240" w:lineRule="auto"/>
              <w:ind w:firstLine="0" w:firstLineChars="0"/>
              <w:jc w:val="center"/>
              <w:rPr>
                <w:sz w:val="21"/>
                <w:szCs w:val="21"/>
                <w:highlight w:val="none"/>
              </w:rPr>
            </w:pPr>
            <w:r>
              <w:rPr>
                <w:sz w:val="21"/>
                <w:szCs w:val="21"/>
                <w:highlight w:val="none"/>
              </w:rPr>
              <w:t>7.04</w:t>
            </w:r>
          </w:p>
        </w:tc>
        <w:tc>
          <w:tcPr>
            <w:tcW w:w="703" w:type="dxa"/>
            <w:vAlign w:val="center"/>
          </w:tcPr>
          <w:p>
            <w:pPr>
              <w:spacing w:line="240" w:lineRule="auto"/>
              <w:ind w:firstLine="0" w:firstLineChars="0"/>
              <w:jc w:val="center"/>
              <w:rPr>
                <w:sz w:val="21"/>
                <w:szCs w:val="21"/>
                <w:highlight w:val="none"/>
              </w:rPr>
            </w:pPr>
            <w:r>
              <w:rPr>
                <w:sz w:val="21"/>
                <w:szCs w:val="21"/>
                <w:highlight w:val="none"/>
              </w:rPr>
              <w:t>7.18</w:t>
            </w:r>
          </w:p>
        </w:tc>
        <w:tc>
          <w:tcPr>
            <w:tcW w:w="921" w:type="dxa"/>
            <w:vAlign w:val="center"/>
          </w:tcPr>
          <w:p>
            <w:pPr>
              <w:spacing w:line="240" w:lineRule="auto"/>
              <w:ind w:firstLine="0" w:firstLineChars="0"/>
              <w:jc w:val="center"/>
              <w:rPr>
                <w:sz w:val="21"/>
                <w:szCs w:val="21"/>
                <w:highlight w:val="none"/>
              </w:rPr>
            </w:pPr>
            <w:r>
              <w:rPr>
                <w:sz w:val="21"/>
                <w:szCs w:val="21"/>
                <w:highlight w:val="none"/>
              </w:rPr>
              <w:t>3.02</w:t>
            </w:r>
          </w:p>
        </w:tc>
        <w:tc>
          <w:tcPr>
            <w:tcW w:w="828" w:type="dxa"/>
            <w:vAlign w:val="center"/>
          </w:tcPr>
          <w:p>
            <w:pPr>
              <w:spacing w:line="240" w:lineRule="auto"/>
              <w:ind w:firstLine="0" w:firstLineChars="0"/>
              <w:jc w:val="center"/>
              <w:rPr>
                <w:sz w:val="21"/>
                <w:szCs w:val="21"/>
                <w:highlight w:val="none"/>
              </w:rPr>
            </w:pPr>
            <w:r>
              <w:rPr>
                <w:sz w:val="21"/>
                <w:szCs w:val="21"/>
                <w:highlight w:val="none"/>
              </w:rPr>
              <w:t>3.88</w:t>
            </w:r>
          </w:p>
        </w:tc>
        <w:tc>
          <w:tcPr>
            <w:tcW w:w="865" w:type="dxa"/>
            <w:vAlign w:val="center"/>
          </w:tcPr>
          <w:p>
            <w:pPr>
              <w:spacing w:line="240" w:lineRule="auto"/>
              <w:ind w:firstLine="0" w:firstLineChars="0"/>
              <w:jc w:val="center"/>
              <w:rPr>
                <w:sz w:val="21"/>
                <w:szCs w:val="21"/>
                <w:highlight w:val="none"/>
              </w:rPr>
            </w:pPr>
            <w:r>
              <w:rPr>
                <w:sz w:val="21"/>
                <w:szCs w:val="21"/>
                <w:highlight w:val="none"/>
              </w:rPr>
              <w:t>6.9</w:t>
            </w:r>
          </w:p>
        </w:tc>
        <w:tc>
          <w:tcPr>
            <w:tcW w:w="828" w:type="dxa"/>
            <w:vAlign w:val="center"/>
          </w:tcPr>
          <w:p>
            <w:pPr>
              <w:spacing w:line="240" w:lineRule="auto"/>
              <w:ind w:firstLine="0" w:firstLineChars="0"/>
              <w:jc w:val="center"/>
              <w:rPr>
                <w:sz w:val="21"/>
                <w:szCs w:val="21"/>
                <w:highlight w:val="none"/>
              </w:rPr>
            </w:pPr>
            <w:r>
              <w:rPr>
                <w:sz w:val="21"/>
                <w:szCs w:val="21"/>
                <w:highlight w:val="none"/>
              </w:rPr>
              <w:t>3.02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3月</w:t>
            </w:r>
          </w:p>
        </w:tc>
        <w:tc>
          <w:tcPr>
            <w:tcW w:w="829" w:type="dxa"/>
            <w:vAlign w:val="center"/>
          </w:tcPr>
          <w:p>
            <w:pPr>
              <w:spacing w:line="240" w:lineRule="auto"/>
              <w:ind w:firstLine="0" w:firstLineChars="0"/>
              <w:jc w:val="center"/>
              <w:rPr>
                <w:sz w:val="21"/>
                <w:szCs w:val="21"/>
                <w:highlight w:val="none"/>
              </w:rPr>
            </w:pPr>
            <w:r>
              <w:rPr>
                <w:sz w:val="21"/>
                <w:szCs w:val="21"/>
                <w:highlight w:val="none"/>
              </w:rPr>
              <w:t>8.87</w:t>
            </w:r>
          </w:p>
        </w:tc>
        <w:tc>
          <w:tcPr>
            <w:tcW w:w="718" w:type="dxa"/>
            <w:vAlign w:val="center"/>
          </w:tcPr>
          <w:p>
            <w:pPr>
              <w:spacing w:line="240" w:lineRule="auto"/>
              <w:ind w:firstLine="0" w:firstLineChars="0"/>
              <w:jc w:val="center"/>
              <w:rPr>
                <w:sz w:val="21"/>
                <w:szCs w:val="21"/>
                <w:highlight w:val="none"/>
              </w:rPr>
            </w:pPr>
            <w:r>
              <w:rPr>
                <w:sz w:val="21"/>
                <w:szCs w:val="21"/>
                <w:highlight w:val="none"/>
              </w:rPr>
              <w:t>6.85</w:t>
            </w:r>
          </w:p>
        </w:tc>
        <w:tc>
          <w:tcPr>
            <w:tcW w:w="769" w:type="dxa"/>
            <w:vAlign w:val="center"/>
          </w:tcPr>
          <w:p>
            <w:pPr>
              <w:spacing w:line="240" w:lineRule="auto"/>
              <w:ind w:firstLine="0" w:firstLineChars="0"/>
              <w:jc w:val="center"/>
              <w:rPr>
                <w:sz w:val="21"/>
                <w:szCs w:val="21"/>
                <w:highlight w:val="none"/>
              </w:rPr>
            </w:pPr>
            <w:r>
              <w:rPr>
                <w:sz w:val="21"/>
                <w:szCs w:val="21"/>
                <w:highlight w:val="none"/>
              </w:rPr>
              <w:t>5.38</w:t>
            </w:r>
          </w:p>
        </w:tc>
        <w:tc>
          <w:tcPr>
            <w:tcW w:w="751" w:type="dxa"/>
            <w:vAlign w:val="center"/>
          </w:tcPr>
          <w:p>
            <w:pPr>
              <w:spacing w:line="240" w:lineRule="auto"/>
              <w:ind w:firstLine="0" w:firstLineChars="0"/>
              <w:jc w:val="center"/>
              <w:rPr>
                <w:sz w:val="21"/>
                <w:szCs w:val="21"/>
                <w:highlight w:val="none"/>
              </w:rPr>
            </w:pPr>
            <w:r>
              <w:rPr>
                <w:sz w:val="21"/>
                <w:szCs w:val="21"/>
                <w:highlight w:val="none"/>
              </w:rPr>
              <w:t>7.26</w:t>
            </w:r>
          </w:p>
        </w:tc>
        <w:tc>
          <w:tcPr>
            <w:tcW w:w="703" w:type="dxa"/>
            <w:vAlign w:val="center"/>
          </w:tcPr>
          <w:p>
            <w:pPr>
              <w:spacing w:line="240" w:lineRule="auto"/>
              <w:ind w:firstLine="0" w:firstLineChars="0"/>
              <w:jc w:val="center"/>
              <w:rPr>
                <w:sz w:val="21"/>
                <w:szCs w:val="21"/>
                <w:highlight w:val="none"/>
              </w:rPr>
            </w:pPr>
            <w:r>
              <w:rPr>
                <w:sz w:val="21"/>
                <w:szCs w:val="21"/>
                <w:highlight w:val="none"/>
              </w:rPr>
              <w:t>6.85</w:t>
            </w:r>
          </w:p>
        </w:tc>
        <w:tc>
          <w:tcPr>
            <w:tcW w:w="709" w:type="dxa"/>
            <w:vAlign w:val="center"/>
          </w:tcPr>
          <w:p>
            <w:pPr>
              <w:spacing w:line="240" w:lineRule="auto"/>
              <w:ind w:firstLine="0" w:firstLineChars="0"/>
              <w:jc w:val="center"/>
              <w:rPr>
                <w:sz w:val="21"/>
                <w:szCs w:val="21"/>
                <w:highlight w:val="none"/>
              </w:rPr>
            </w:pPr>
            <w:r>
              <w:rPr>
                <w:sz w:val="21"/>
                <w:szCs w:val="21"/>
                <w:highlight w:val="none"/>
              </w:rPr>
              <w:t>6.32</w:t>
            </w:r>
          </w:p>
        </w:tc>
        <w:tc>
          <w:tcPr>
            <w:tcW w:w="828" w:type="dxa"/>
            <w:vAlign w:val="center"/>
          </w:tcPr>
          <w:p>
            <w:pPr>
              <w:spacing w:line="240" w:lineRule="auto"/>
              <w:ind w:firstLine="0" w:firstLineChars="0"/>
              <w:jc w:val="center"/>
              <w:rPr>
                <w:sz w:val="21"/>
                <w:szCs w:val="21"/>
                <w:highlight w:val="none"/>
              </w:rPr>
            </w:pPr>
            <w:r>
              <w:rPr>
                <w:sz w:val="21"/>
                <w:szCs w:val="21"/>
                <w:highlight w:val="none"/>
              </w:rPr>
              <w:t>2.69</w:t>
            </w:r>
          </w:p>
        </w:tc>
        <w:tc>
          <w:tcPr>
            <w:tcW w:w="703" w:type="dxa"/>
            <w:vAlign w:val="center"/>
          </w:tcPr>
          <w:p>
            <w:pPr>
              <w:spacing w:line="240" w:lineRule="auto"/>
              <w:ind w:firstLine="0" w:firstLineChars="0"/>
              <w:jc w:val="center"/>
              <w:rPr>
                <w:sz w:val="21"/>
                <w:szCs w:val="21"/>
                <w:highlight w:val="none"/>
              </w:rPr>
            </w:pPr>
            <w:r>
              <w:rPr>
                <w:sz w:val="21"/>
                <w:szCs w:val="21"/>
                <w:highlight w:val="none"/>
              </w:rPr>
              <w:t>2.69</w:t>
            </w:r>
          </w:p>
        </w:tc>
        <w:tc>
          <w:tcPr>
            <w:tcW w:w="828" w:type="dxa"/>
            <w:vAlign w:val="center"/>
          </w:tcPr>
          <w:p>
            <w:pPr>
              <w:spacing w:line="240" w:lineRule="auto"/>
              <w:ind w:firstLine="0" w:firstLineChars="0"/>
              <w:jc w:val="center"/>
              <w:rPr>
                <w:sz w:val="21"/>
                <w:szCs w:val="21"/>
                <w:highlight w:val="none"/>
              </w:rPr>
            </w:pPr>
            <w:r>
              <w:rPr>
                <w:sz w:val="21"/>
                <w:szCs w:val="21"/>
                <w:highlight w:val="none"/>
              </w:rPr>
              <w:t>2.69</w:t>
            </w:r>
          </w:p>
        </w:tc>
        <w:tc>
          <w:tcPr>
            <w:tcW w:w="780" w:type="dxa"/>
            <w:vAlign w:val="center"/>
          </w:tcPr>
          <w:p>
            <w:pPr>
              <w:spacing w:line="240" w:lineRule="auto"/>
              <w:ind w:firstLine="0" w:firstLineChars="0"/>
              <w:jc w:val="center"/>
              <w:rPr>
                <w:sz w:val="21"/>
                <w:szCs w:val="21"/>
                <w:highlight w:val="none"/>
              </w:rPr>
            </w:pPr>
            <w:r>
              <w:rPr>
                <w:sz w:val="21"/>
                <w:szCs w:val="21"/>
                <w:highlight w:val="none"/>
              </w:rPr>
              <w:t>3.9</w:t>
            </w:r>
          </w:p>
        </w:tc>
        <w:tc>
          <w:tcPr>
            <w:tcW w:w="703" w:type="dxa"/>
            <w:vAlign w:val="center"/>
          </w:tcPr>
          <w:p>
            <w:pPr>
              <w:spacing w:line="240" w:lineRule="auto"/>
              <w:ind w:firstLine="0" w:firstLineChars="0"/>
              <w:jc w:val="center"/>
              <w:rPr>
                <w:sz w:val="21"/>
                <w:szCs w:val="21"/>
                <w:highlight w:val="none"/>
              </w:rPr>
            </w:pPr>
            <w:r>
              <w:rPr>
                <w:sz w:val="21"/>
                <w:szCs w:val="21"/>
                <w:highlight w:val="none"/>
              </w:rPr>
              <w:t>6.85</w:t>
            </w:r>
          </w:p>
        </w:tc>
        <w:tc>
          <w:tcPr>
            <w:tcW w:w="879" w:type="dxa"/>
            <w:vAlign w:val="center"/>
          </w:tcPr>
          <w:p>
            <w:pPr>
              <w:spacing w:line="240" w:lineRule="auto"/>
              <w:ind w:firstLine="0" w:firstLineChars="0"/>
              <w:jc w:val="center"/>
              <w:rPr>
                <w:sz w:val="21"/>
                <w:szCs w:val="21"/>
                <w:highlight w:val="none"/>
              </w:rPr>
            </w:pPr>
            <w:r>
              <w:rPr>
                <w:sz w:val="21"/>
                <w:szCs w:val="21"/>
                <w:highlight w:val="none"/>
              </w:rPr>
              <w:t>13.44</w:t>
            </w:r>
          </w:p>
        </w:tc>
        <w:tc>
          <w:tcPr>
            <w:tcW w:w="703" w:type="dxa"/>
            <w:vAlign w:val="center"/>
          </w:tcPr>
          <w:p>
            <w:pPr>
              <w:spacing w:line="240" w:lineRule="auto"/>
              <w:ind w:firstLine="0" w:firstLineChars="0"/>
              <w:jc w:val="center"/>
              <w:rPr>
                <w:sz w:val="21"/>
                <w:szCs w:val="21"/>
                <w:highlight w:val="none"/>
              </w:rPr>
            </w:pPr>
            <w:r>
              <w:rPr>
                <w:sz w:val="21"/>
                <w:szCs w:val="21"/>
                <w:highlight w:val="none"/>
              </w:rPr>
              <w:t>5.51</w:t>
            </w:r>
          </w:p>
        </w:tc>
        <w:tc>
          <w:tcPr>
            <w:tcW w:w="921" w:type="dxa"/>
            <w:vAlign w:val="center"/>
          </w:tcPr>
          <w:p>
            <w:pPr>
              <w:spacing w:line="240" w:lineRule="auto"/>
              <w:ind w:firstLine="0" w:firstLineChars="0"/>
              <w:jc w:val="center"/>
              <w:rPr>
                <w:sz w:val="21"/>
                <w:szCs w:val="21"/>
                <w:highlight w:val="none"/>
              </w:rPr>
            </w:pPr>
            <w:r>
              <w:rPr>
                <w:sz w:val="21"/>
                <w:szCs w:val="21"/>
                <w:highlight w:val="none"/>
              </w:rPr>
              <w:t>4.7</w:t>
            </w:r>
          </w:p>
        </w:tc>
        <w:tc>
          <w:tcPr>
            <w:tcW w:w="828" w:type="dxa"/>
            <w:vAlign w:val="center"/>
          </w:tcPr>
          <w:p>
            <w:pPr>
              <w:spacing w:line="240" w:lineRule="auto"/>
              <w:ind w:firstLine="0" w:firstLineChars="0"/>
              <w:jc w:val="center"/>
              <w:rPr>
                <w:sz w:val="21"/>
                <w:szCs w:val="21"/>
                <w:highlight w:val="none"/>
              </w:rPr>
            </w:pPr>
            <w:r>
              <w:rPr>
                <w:sz w:val="21"/>
                <w:szCs w:val="21"/>
                <w:highlight w:val="none"/>
              </w:rPr>
              <w:t>4.7</w:t>
            </w:r>
          </w:p>
        </w:tc>
        <w:tc>
          <w:tcPr>
            <w:tcW w:w="865" w:type="dxa"/>
            <w:vAlign w:val="center"/>
          </w:tcPr>
          <w:p>
            <w:pPr>
              <w:spacing w:line="240" w:lineRule="auto"/>
              <w:ind w:firstLine="0" w:firstLineChars="0"/>
              <w:jc w:val="center"/>
              <w:rPr>
                <w:sz w:val="21"/>
                <w:szCs w:val="21"/>
                <w:highlight w:val="none"/>
              </w:rPr>
            </w:pPr>
            <w:r>
              <w:rPr>
                <w:sz w:val="21"/>
                <w:szCs w:val="21"/>
                <w:highlight w:val="none"/>
              </w:rPr>
              <w:t>6.72</w:t>
            </w:r>
          </w:p>
        </w:tc>
        <w:tc>
          <w:tcPr>
            <w:tcW w:w="828" w:type="dxa"/>
            <w:vAlign w:val="center"/>
          </w:tcPr>
          <w:p>
            <w:pPr>
              <w:spacing w:line="240" w:lineRule="auto"/>
              <w:ind w:firstLine="0" w:firstLineChars="0"/>
              <w:jc w:val="center"/>
              <w:rPr>
                <w:sz w:val="21"/>
                <w:szCs w:val="21"/>
                <w:highlight w:val="none"/>
              </w:rPr>
            </w:pPr>
            <w:r>
              <w:rPr>
                <w:sz w:val="21"/>
                <w:szCs w:val="21"/>
                <w:highlight w:val="none"/>
              </w:rPr>
              <w:t>4.57</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4月</w:t>
            </w:r>
          </w:p>
        </w:tc>
        <w:tc>
          <w:tcPr>
            <w:tcW w:w="829" w:type="dxa"/>
            <w:vAlign w:val="center"/>
          </w:tcPr>
          <w:p>
            <w:pPr>
              <w:spacing w:line="240" w:lineRule="auto"/>
              <w:ind w:firstLine="0" w:firstLineChars="0"/>
              <w:jc w:val="center"/>
              <w:rPr>
                <w:sz w:val="21"/>
                <w:szCs w:val="21"/>
                <w:highlight w:val="none"/>
              </w:rPr>
            </w:pPr>
            <w:r>
              <w:rPr>
                <w:sz w:val="21"/>
                <w:szCs w:val="21"/>
                <w:highlight w:val="none"/>
              </w:rPr>
              <w:t>4.86</w:t>
            </w:r>
          </w:p>
        </w:tc>
        <w:tc>
          <w:tcPr>
            <w:tcW w:w="718" w:type="dxa"/>
            <w:vAlign w:val="center"/>
          </w:tcPr>
          <w:p>
            <w:pPr>
              <w:spacing w:line="240" w:lineRule="auto"/>
              <w:ind w:firstLine="0" w:firstLineChars="0"/>
              <w:jc w:val="center"/>
              <w:rPr>
                <w:sz w:val="21"/>
                <w:szCs w:val="21"/>
                <w:highlight w:val="none"/>
              </w:rPr>
            </w:pPr>
            <w:r>
              <w:rPr>
                <w:sz w:val="21"/>
                <w:szCs w:val="21"/>
                <w:highlight w:val="none"/>
              </w:rPr>
              <w:t>5.83</w:t>
            </w:r>
          </w:p>
        </w:tc>
        <w:tc>
          <w:tcPr>
            <w:tcW w:w="769" w:type="dxa"/>
            <w:vAlign w:val="center"/>
          </w:tcPr>
          <w:p>
            <w:pPr>
              <w:spacing w:line="240" w:lineRule="auto"/>
              <w:ind w:firstLine="0" w:firstLineChars="0"/>
              <w:jc w:val="center"/>
              <w:rPr>
                <w:sz w:val="21"/>
                <w:szCs w:val="21"/>
                <w:highlight w:val="none"/>
              </w:rPr>
            </w:pPr>
            <w:r>
              <w:rPr>
                <w:sz w:val="21"/>
                <w:szCs w:val="21"/>
                <w:highlight w:val="none"/>
              </w:rPr>
              <w:t>5</w:t>
            </w:r>
          </w:p>
        </w:tc>
        <w:tc>
          <w:tcPr>
            <w:tcW w:w="751" w:type="dxa"/>
            <w:vAlign w:val="center"/>
          </w:tcPr>
          <w:p>
            <w:pPr>
              <w:spacing w:line="240" w:lineRule="auto"/>
              <w:ind w:firstLine="0" w:firstLineChars="0"/>
              <w:jc w:val="center"/>
              <w:rPr>
                <w:sz w:val="21"/>
                <w:szCs w:val="21"/>
                <w:highlight w:val="none"/>
              </w:rPr>
            </w:pPr>
            <w:r>
              <w:rPr>
                <w:sz w:val="21"/>
                <w:szCs w:val="21"/>
                <w:highlight w:val="none"/>
              </w:rPr>
              <w:t>8.89</w:t>
            </w:r>
          </w:p>
        </w:tc>
        <w:tc>
          <w:tcPr>
            <w:tcW w:w="703" w:type="dxa"/>
            <w:vAlign w:val="center"/>
          </w:tcPr>
          <w:p>
            <w:pPr>
              <w:spacing w:line="240" w:lineRule="auto"/>
              <w:ind w:firstLine="0" w:firstLineChars="0"/>
              <w:jc w:val="center"/>
              <w:rPr>
                <w:sz w:val="21"/>
                <w:szCs w:val="21"/>
                <w:highlight w:val="none"/>
              </w:rPr>
            </w:pPr>
            <w:r>
              <w:rPr>
                <w:sz w:val="21"/>
                <w:szCs w:val="21"/>
                <w:highlight w:val="none"/>
              </w:rPr>
              <w:t>13.19</w:t>
            </w:r>
          </w:p>
        </w:tc>
        <w:tc>
          <w:tcPr>
            <w:tcW w:w="709" w:type="dxa"/>
            <w:vAlign w:val="center"/>
          </w:tcPr>
          <w:p>
            <w:pPr>
              <w:spacing w:line="240" w:lineRule="auto"/>
              <w:ind w:firstLine="0" w:firstLineChars="0"/>
              <w:jc w:val="center"/>
              <w:rPr>
                <w:sz w:val="21"/>
                <w:szCs w:val="21"/>
                <w:highlight w:val="none"/>
              </w:rPr>
            </w:pPr>
            <w:r>
              <w:rPr>
                <w:sz w:val="21"/>
                <w:szCs w:val="21"/>
                <w:highlight w:val="none"/>
              </w:rPr>
              <w:t>5.28</w:t>
            </w:r>
          </w:p>
        </w:tc>
        <w:tc>
          <w:tcPr>
            <w:tcW w:w="828" w:type="dxa"/>
            <w:vAlign w:val="center"/>
          </w:tcPr>
          <w:p>
            <w:pPr>
              <w:spacing w:line="240" w:lineRule="auto"/>
              <w:ind w:firstLine="0" w:firstLineChars="0"/>
              <w:jc w:val="center"/>
              <w:rPr>
                <w:sz w:val="21"/>
                <w:szCs w:val="21"/>
                <w:highlight w:val="none"/>
              </w:rPr>
            </w:pPr>
            <w:r>
              <w:rPr>
                <w:sz w:val="21"/>
                <w:szCs w:val="21"/>
                <w:highlight w:val="none"/>
              </w:rPr>
              <w:t>5.14</w:t>
            </w:r>
          </w:p>
        </w:tc>
        <w:tc>
          <w:tcPr>
            <w:tcW w:w="703" w:type="dxa"/>
            <w:vAlign w:val="center"/>
          </w:tcPr>
          <w:p>
            <w:pPr>
              <w:spacing w:line="240" w:lineRule="auto"/>
              <w:ind w:firstLine="0" w:firstLineChars="0"/>
              <w:jc w:val="center"/>
              <w:rPr>
                <w:sz w:val="21"/>
                <w:szCs w:val="21"/>
                <w:highlight w:val="none"/>
              </w:rPr>
            </w:pPr>
            <w:r>
              <w:rPr>
                <w:sz w:val="21"/>
                <w:szCs w:val="21"/>
                <w:highlight w:val="none"/>
              </w:rPr>
              <w:t>3.61</w:t>
            </w:r>
          </w:p>
        </w:tc>
        <w:tc>
          <w:tcPr>
            <w:tcW w:w="828" w:type="dxa"/>
            <w:vAlign w:val="center"/>
          </w:tcPr>
          <w:p>
            <w:pPr>
              <w:spacing w:line="240" w:lineRule="auto"/>
              <w:ind w:firstLine="0" w:firstLineChars="0"/>
              <w:jc w:val="center"/>
              <w:rPr>
                <w:sz w:val="21"/>
                <w:szCs w:val="21"/>
                <w:highlight w:val="none"/>
              </w:rPr>
            </w:pPr>
            <w:r>
              <w:rPr>
                <w:sz w:val="21"/>
                <w:szCs w:val="21"/>
                <w:highlight w:val="none"/>
              </w:rPr>
              <w:t>4.03</w:t>
            </w:r>
          </w:p>
        </w:tc>
        <w:tc>
          <w:tcPr>
            <w:tcW w:w="780" w:type="dxa"/>
            <w:vAlign w:val="center"/>
          </w:tcPr>
          <w:p>
            <w:pPr>
              <w:spacing w:line="240" w:lineRule="auto"/>
              <w:ind w:firstLine="0" w:firstLineChars="0"/>
              <w:jc w:val="center"/>
              <w:rPr>
                <w:sz w:val="21"/>
                <w:szCs w:val="21"/>
                <w:highlight w:val="none"/>
              </w:rPr>
            </w:pPr>
            <w:r>
              <w:rPr>
                <w:sz w:val="21"/>
                <w:szCs w:val="21"/>
                <w:highlight w:val="none"/>
              </w:rPr>
              <w:t>5.97</w:t>
            </w:r>
          </w:p>
        </w:tc>
        <w:tc>
          <w:tcPr>
            <w:tcW w:w="703" w:type="dxa"/>
            <w:vAlign w:val="center"/>
          </w:tcPr>
          <w:p>
            <w:pPr>
              <w:spacing w:line="240" w:lineRule="auto"/>
              <w:ind w:firstLine="0" w:firstLineChars="0"/>
              <w:jc w:val="center"/>
              <w:rPr>
                <w:sz w:val="21"/>
                <w:szCs w:val="21"/>
                <w:highlight w:val="none"/>
              </w:rPr>
            </w:pPr>
            <w:r>
              <w:rPr>
                <w:sz w:val="21"/>
                <w:szCs w:val="21"/>
                <w:highlight w:val="none"/>
              </w:rPr>
              <w:t>8.47</w:t>
            </w:r>
          </w:p>
        </w:tc>
        <w:tc>
          <w:tcPr>
            <w:tcW w:w="879" w:type="dxa"/>
            <w:vAlign w:val="center"/>
          </w:tcPr>
          <w:p>
            <w:pPr>
              <w:spacing w:line="240" w:lineRule="auto"/>
              <w:ind w:firstLine="0" w:firstLineChars="0"/>
              <w:jc w:val="center"/>
              <w:rPr>
                <w:sz w:val="21"/>
                <w:szCs w:val="21"/>
                <w:highlight w:val="none"/>
              </w:rPr>
            </w:pPr>
            <w:r>
              <w:rPr>
                <w:sz w:val="21"/>
                <w:szCs w:val="21"/>
                <w:highlight w:val="none"/>
              </w:rPr>
              <w:t>9.58</w:t>
            </w:r>
          </w:p>
        </w:tc>
        <w:tc>
          <w:tcPr>
            <w:tcW w:w="703" w:type="dxa"/>
            <w:vAlign w:val="center"/>
          </w:tcPr>
          <w:p>
            <w:pPr>
              <w:spacing w:line="240" w:lineRule="auto"/>
              <w:ind w:firstLine="0" w:firstLineChars="0"/>
              <w:jc w:val="center"/>
              <w:rPr>
                <w:sz w:val="21"/>
                <w:szCs w:val="21"/>
                <w:highlight w:val="none"/>
              </w:rPr>
            </w:pPr>
            <w:r>
              <w:rPr>
                <w:sz w:val="21"/>
                <w:szCs w:val="21"/>
                <w:highlight w:val="none"/>
              </w:rPr>
              <w:t>4.72</w:t>
            </w:r>
          </w:p>
        </w:tc>
        <w:tc>
          <w:tcPr>
            <w:tcW w:w="921" w:type="dxa"/>
            <w:vAlign w:val="center"/>
          </w:tcPr>
          <w:p>
            <w:pPr>
              <w:spacing w:line="240" w:lineRule="auto"/>
              <w:ind w:firstLine="0" w:firstLineChars="0"/>
              <w:jc w:val="center"/>
              <w:rPr>
                <w:sz w:val="21"/>
                <w:szCs w:val="21"/>
                <w:highlight w:val="none"/>
              </w:rPr>
            </w:pPr>
            <w:r>
              <w:rPr>
                <w:sz w:val="21"/>
                <w:szCs w:val="21"/>
                <w:highlight w:val="none"/>
              </w:rPr>
              <w:t>3.06</w:t>
            </w:r>
          </w:p>
        </w:tc>
        <w:tc>
          <w:tcPr>
            <w:tcW w:w="828" w:type="dxa"/>
            <w:vAlign w:val="center"/>
          </w:tcPr>
          <w:p>
            <w:pPr>
              <w:spacing w:line="240" w:lineRule="auto"/>
              <w:ind w:firstLine="0" w:firstLineChars="0"/>
              <w:jc w:val="center"/>
              <w:rPr>
                <w:sz w:val="21"/>
                <w:szCs w:val="21"/>
                <w:highlight w:val="none"/>
              </w:rPr>
            </w:pPr>
            <w:r>
              <w:rPr>
                <w:sz w:val="21"/>
                <w:szCs w:val="21"/>
                <w:highlight w:val="none"/>
              </w:rPr>
              <w:t>4.86</w:t>
            </w:r>
          </w:p>
        </w:tc>
        <w:tc>
          <w:tcPr>
            <w:tcW w:w="865" w:type="dxa"/>
            <w:vAlign w:val="center"/>
          </w:tcPr>
          <w:p>
            <w:pPr>
              <w:spacing w:line="240" w:lineRule="auto"/>
              <w:ind w:firstLine="0" w:firstLineChars="0"/>
              <w:jc w:val="center"/>
              <w:rPr>
                <w:sz w:val="21"/>
                <w:szCs w:val="21"/>
                <w:highlight w:val="none"/>
              </w:rPr>
            </w:pPr>
            <w:r>
              <w:rPr>
                <w:sz w:val="21"/>
                <w:szCs w:val="21"/>
                <w:highlight w:val="none"/>
              </w:rPr>
              <w:t>4.58</w:t>
            </w:r>
          </w:p>
        </w:tc>
        <w:tc>
          <w:tcPr>
            <w:tcW w:w="828" w:type="dxa"/>
            <w:vAlign w:val="center"/>
          </w:tcPr>
          <w:p>
            <w:pPr>
              <w:spacing w:line="240" w:lineRule="auto"/>
              <w:ind w:firstLine="0" w:firstLineChars="0"/>
              <w:jc w:val="center"/>
              <w:rPr>
                <w:sz w:val="21"/>
                <w:szCs w:val="21"/>
                <w:highlight w:val="none"/>
              </w:rPr>
            </w:pPr>
            <w:r>
              <w:rPr>
                <w:sz w:val="21"/>
                <w:szCs w:val="21"/>
                <w:highlight w:val="none"/>
              </w:rPr>
              <w:t>2.92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5月</w:t>
            </w:r>
          </w:p>
        </w:tc>
        <w:tc>
          <w:tcPr>
            <w:tcW w:w="829" w:type="dxa"/>
            <w:vAlign w:val="center"/>
          </w:tcPr>
          <w:p>
            <w:pPr>
              <w:spacing w:line="240" w:lineRule="auto"/>
              <w:ind w:firstLine="0" w:firstLineChars="0"/>
              <w:jc w:val="center"/>
              <w:rPr>
                <w:sz w:val="21"/>
                <w:szCs w:val="21"/>
                <w:highlight w:val="none"/>
              </w:rPr>
            </w:pPr>
            <w:r>
              <w:rPr>
                <w:sz w:val="21"/>
                <w:szCs w:val="21"/>
                <w:highlight w:val="none"/>
              </w:rPr>
              <w:t>6.59</w:t>
            </w:r>
          </w:p>
        </w:tc>
        <w:tc>
          <w:tcPr>
            <w:tcW w:w="718" w:type="dxa"/>
            <w:vAlign w:val="center"/>
          </w:tcPr>
          <w:p>
            <w:pPr>
              <w:spacing w:line="240" w:lineRule="auto"/>
              <w:ind w:firstLine="0" w:firstLineChars="0"/>
              <w:jc w:val="center"/>
              <w:rPr>
                <w:sz w:val="21"/>
                <w:szCs w:val="21"/>
                <w:highlight w:val="none"/>
              </w:rPr>
            </w:pPr>
            <w:r>
              <w:rPr>
                <w:sz w:val="21"/>
                <w:szCs w:val="21"/>
                <w:highlight w:val="none"/>
              </w:rPr>
              <w:t>9.41</w:t>
            </w:r>
          </w:p>
        </w:tc>
        <w:tc>
          <w:tcPr>
            <w:tcW w:w="769" w:type="dxa"/>
            <w:vAlign w:val="center"/>
          </w:tcPr>
          <w:p>
            <w:pPr>
              <w:spacing w:line="240" w:lineRule="auto"/>
              <w:ind w:firstLine="0" w:firstLineChars="0"/>
              <w:jc w:val="center"/>
              <w:rPr>
                <w:sz w:val="21"/>
                <w:szCs w:val="21"/>
                <w:highlight w:val="none"/>
              </w:rPr>
            </w:pPr>
            <w:r>
              <w:rPr>
                <w:sz w:val="21"/>
                <w:szCs w:val="21"/>
                <w:highlight w:val="none"/>
              </w:rPr>
              <w:t>10.08</w:t>
            </w:r>
          </w:p>
        </w:tc>
        <w:tc>
          <w:tcPr>
            <w:tcW w:w="751" w:type="dxa"/>
            <w:vAlign w:val="center"/>
          </w:tcPr>
          <w:p>
            <w:pPr>
              <w:spacing w:line="240" w:lineRule="auto"/>
              <w:ind w:firstLine="0" w:firstLineChars="0"/>
              <w:jc w:val="center"/>
              <w:rPr>
                <w:sz w:val="21"/>
                <w:szCs w:val="21"/>
                <w:highlight w:val="none"/>
              </w:rPr>
            </w:pPr>
            <w:r>
              <w:rPr>
                <w:sz w:val="21"/>
                <w:szCs w:val="21"/>
                <w:highlight w:val="none"/>
              </w:rPr>
              <w:t>9.27</w:t>
            </w:r>
          </w:p>
        </w:tc>
        <w:tc>
          <w:tcPr>
            <w:tcW w:w="703" w:type="dxa"/>
            <w:vAlign w:val="center"/>
          </w:tcPr>
          <w:p>
            <w:pPr>
              <w:spacing w:line="240" w:lineRule="auto"/>
              <w:ind w:firstLine="0" w:firstLineChars="0"/>
              <w:jc w:val="center"/>
              <w:rPr>
                <w:sz w:val="21"/>
                <w:szCs w:val="21"/>
                <w:highlight w:val="none"/>
              </w:rPr>
            </w:pPr>
            <w:r>
              <w:rPr>
                <w:sz w:val="21"/>
                <w:szCs w:val="21"/>
                <w:highlight w:val="none"/>
              </w:rPr>
              <w:t>9.14</w:t>
            </w:r>
          </w:p>
        </w:tc>
        <w:tc>
          <w:tcPr>
            <w:tcW w:w="709" w:type="dxa"/>
            <w:vAlign w:val="center"/>
          </w:tcPr>
          <w:p>
            <w:pPr>
              <w:spacing w:line="240" w:lineRule="auto"/>
              <w:ind w:firstLine="0" w:firstLineChars="0"/>
              <w:jc w:val="center"/>
              <w:rPr>
                <w:sz w:val="21"/>
                <w:szCs w:val="21"/>
                <w:highlight w:val="none"/>
              </w:rPr>
            </w:pPr>
            <w:r>
              <w:rPr>
                <w:sz w:val="21"/>
                <w:szCs w:val="21"/>
                <w:highlight w:val="none"/>
              </w:rPr>
              <w:t>6.18</w:t>
            </w:r>
          </w:p>
        </w:tc>
        <w:tc>
          <w:tcPr>
            <w:tcW w:w="828" w:type="dxa"/>
            <w:vAlign w:val="center"/>
          </w:tcPr>
          <w:p>
            <w:pPr>
              <w:spacing w:line="240" w:lineRule="auto"/>
              <w:ind w:firstLine="0" w:firstLineChars="0"/>
              <w:jc w:val="center"/>
              <w:rPr>
                <w:sz w:val="21"/>
                <w:szCs w:val="21"/>
                <w:highlight w:val="none"/>
              </w:rPr>
            </w:pPr>
            <w:r>
              <w:rPr>
                <w:sz w:val="21"/>
                <w:szCs w:val="21"/>
                <w:highlight w:val="none"/>
              </w:rPr>
              <w:t>3.09</w:t>
            </w:r>
          </w:p>
        </w:tc>
        <w:tc>
          <w:tcPr>
            <w:tcW w:w="703" w:type="dxa"/>
            <w:vAlign w:val="center"/>
          </w:tcPr>
          <w:p>
            <w:pPr>
              <w:spacing w:line="240" w:lineRule="auto"/>
              <w:ind w:firstLine="0" w:firstLineChars="0"/>
              <w:jc w:val="center"/>
              <w:rPr>
                <w:sz w:val="21"/>
                <w:szCs w:val="21"/>
                <w:highlight w:val="none"/>
              </w:rPr>
            </w:pPr>
            <w:r>
              <w:rPr>
                <w:sz w:val="21"/>
                <w:szCs w:val="21"/>
                <w:highlight w:val="none"/>
              </w:rPr>
              <w:t>2.55</w:t>
            </w:r>
          </w:p>
        </w:tc>
        <w:tc>
          <w:tcPr>
            <w:tcW w:w="828" w:type="dxa"/>
            <w:vAlign w:val="center"/>
          </w:tcPr>
          <w:p>
            <w:pPr>
              <w:spacing w:line="240" w:lineRule="auto"/>
              <w:ind w:firstLine="0" w:firstLineChars="0"/>
              <w:jc w:val="center"/>
              <w:rPr>
                <w:sz w:val="21"/>
                <w:szCs w:val="21"/>
                <w:highlight w:val="none"/>
              </w:rPr>
            </w:pPr>
            <w:r>
              <w:rPr>
                <w:sz w:val="21"/>
                <w:szCs w:val="21"/>
                <w:highlight w:val="none"/>
              </w:rPr>
              <w:t>2.55</w:t>
            </w:r>
          </w:p>
        </w:tc>
        <w:tc>
          <w:tcPr>
            <w:tcW w:w="780" w:type="dxa"/>
            <w:vAlign w:val="center"/>
          </w:tcPr>
          <w:p>
            <w:pPr>
              <w:spacing w:line="240" w:lineRule="auto"/>
              <w:ind w:firstLine="0" w:firstLineChars="0"/>
              <w:jc w:val="center"/>
              <w:rPr>
                <w:sz w:val="21"/>
                <w:szCs w:val="21"/>
                <w:highlight w:val="none"/>
              </w:rPr>
            </w:pPr>
            <w:r>
              <w:rPr>
                <w:sz w:val="21"/>
                <w:szCs w:val="21"/>
                <w:highlight w:val="none"/>
              </w:rPr>
              <w:t>5.51</w:t>
            </w:r>
          </w:p>
        </w:tc>
        <w:tc>
          <w:tcPr>
            <w:tcW w:w="703" w:type="dxa"/>
            <w:vAlign w:val="center"/>
          </w:tcPr>
          <w:p>
            <w:pPr>
              <w:spacing w:line="240" w:lineRule="auto"/>
              <w:ind w:firstLine="0" w:firstLineChars="0"/>
              <w:jc w:val="center"/>
              <w:rPr>
                <w:sz w:val="21"/>
                <w:szCs w:val="21"/>
                <w:highlight w:val="none"/>
              </w:rPr>
            </w:pPr>
            <w:r>
              <w:rPr>
                <w:sz w:val="21"/>
                <w:szCs w:val="21"/>
                <w:highlight w:val="none"/>
              </w:rPr>
              <w:t>8.74</w:t>
            </w:r>
          </w:p>
        </w:tc>
        <w:tc>
          <w:tcPr>
            <w:tcW w:w="879" w:type="dxa"/>
            <w:vAlign w:val="center"/>
          </w:tcPr>
          <w:p>
            <w:pPr>
              <w:spacing w:line="240" w:lineRule="auto"/>
              <w:ind w:firstLine="0" w:firstLineChars="0"/>
              <w:jc w:val="center"/>
              <w:rPr>
                <w:sz w:val="21"/>
                <w:szCs w:val="21"/>
                <w:highlight w:val="none"/>
              </w:rPr>
            </w:pPr>
            <w:r>
              <w:rPr>
                <w:sz w:val="21"/>
                <w:szCs w:val="21"/>
                <w:highlight w:val="none"/>
              </w:rPr>
              <w:t>10.75</w:t>
            </w:r>
          </w:p>
        </w:tc>
        <w:tc>
          <w:tcPr>
            <w:tcW w:w="703" w:type="dxa"/>
            <w:vAlign w:val="center"/>
          </w:tcPr>
          <w:p>
            <w:pPr>
              <w:spacing w:line="240" w:lineRule="auto"/>
              <w:ind w:firstLine="0" w:firstLineChars="0"/>
              <w:jc w:val="center"/>
              <w:rPr>
                <w:sz w:val="21"/>
                <w:szCs w:val="21"/>
                <w:highlight w:val="none"/>
              </w:rPr>
            </w:pPr>
            <w:r>
              <w:rPr>
                <w:sz w:val="21"/>
                <w:szCs w:val="21"/>
                <w:highlight w:val="none"/>
              </w:rPr>
              <w:t>4.57</w:t>
            </w:r>
          </w:p>
        </w:tc>
        <w:tc>
          <w:tcPr>
            <w:tcW w:w="921" w:type="dxa"/>
            <w:vAlign w:val="center"/>
          </w:tcPr>
          <w:p>
            <w:pPr>
              <w:spacing w:line="240" w:lineRule="auto"/>
              <w:ind w:firstLine="0" w:firstLineChars="0"/>
              <w:jc w:val="center"/>
              <w:rPr>
                <w:sz w:val="21"/>
                <w:szCs w:val="21"/>
                <w:highlight w:val="none"/>
              </w:rPr>
            </w:pPr>
            <w:r>
              <w:rPr>
                <w:sz w:val="21"/>
                <w:szCs w:val="21"/>
                <w:highlight w:val="none"/>
              </w:rPr>
              <w:t>2.69</w:t>
            </w:r>
          </w:p>
        </w:tc>
        <w:tc>
          <w:tcPr>
            <w:tcW w:w="828" w:type="dxa"/>
            <w:vAlign w:val="center"/>
          </w:tcPr>
          <w:p>
            <w:pPr>
              <w:spacing w:line="240" w:lineRule="auto"/>
              <w:ind w:firstLine="0" w:firstLineChars="0"/>
              <w:jc w:val="center"/>
              <w:rPr>
                <w:sz w:val="21"/>
                <w:szCs w:val="21"/>
                <w:highlight w:val="none"/>
              </w:rPr>
            </w:pPr>
            <w:r>
              <w:rPr>
                <w:sz w:val="21"/>
                <w:szCs w:val="21"/>
                <w:highlight w:val="none"/>
              </w:rPr>
              <w:t>2.42</w:t>
            </w:r>
          </w:p>
        </w:tc>
        <w:tc>
          <w:tcPr>
            <w:tcW w:w="865" w:type="dxa"/>
            <w:vAlign w:val="center"/>
          </w:tcPr>
          <w:p>
            <w:pPr>
              <w:spacing w:line="240" w:lineRule="auto"/>
              <w:ind w:firstLine="0" w:firstLineChars="0"/>
              <w:jc w:val="center"/>
              <w:rPr>
                <w:sz w:val="21"/>
                <w:szCs w:val="21"/>
                <w:highlight w:val="none"/>
              </w:rPr>
            </w:pPr>
            <w:r>
              <w:rPr>
                <w:sz w:val="21"/>
                <w:szCs w:val="21"/>
                <w:highlight w:val="none"/>
              </w:rPr>
              <w:t>3.76</w:t>
            </w:r>
          </w:p>
        </w:tc>
        <w:tc>
          <w:tcPr>
            <w:tcW w:w="828" w:type="dxa"/>
            <w:vAlign w:val="center"/>
          </w:tcPr>
          <w:p>
            <w:pPr>
              <w:spacing w:line="240" w:lineRule="auto"/>
              <w:ind w:firstLine="0" w:firstLineChars="0"/>
              <w:jc w:val="center"/>
              <w:rPr>
                <w:sz w:val="21"/>
                <w:szCs w:val="21"/>
                <w:highlight w:val="none"/>
              </w:rPr>
            </w:pPr>
            <w:r>
              <w:rPr>
                <w:sz w:val="21"/>
                <w:szCs w:val="21"/>
                <w:highlight w:val="none"/>
              </w:rPr>
              <w:t>2.69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6月</w:t>
            </w:r>
          </w:p>
        </w:tc>
        <w:tc>
          <w:tcPr>
            <w:tcW w:w="829" w:type="dxa"/>
            <w:vAlign w:val="center"/>
          </w:tcPr>
          <w:p>
            <w:pPr>
              <w:spacing w:line="240" w:lineRule="auto"/>
              <w:ind w:firstLine="0" w:firstLineChars="0"/>
              <w:jc w:val="center"/>
              <w:rPr>
                <w:sz w:val="21"/>
                <w:szCs w:val="21"/>
                <w:highlight w:val="none"/>
              </w:rPr>
            </w:pPr>
            <w:r>
              <w:rPr>
                <w:sz w:val="21"/>
                <w:szCs w:val="21"/>
                <w:highlight w:val="none"/>
              </w:rPr>
              <w:t>5.83</w:t>
            </w:r>
          </w:p>
        </w:tc>
        <w:tc>
          <w:tcPr>
            <w:tcW w:w="718" w:type="dxa"/>
            <w:vAlign w:val="center"/>
          </w:tcPr>
          <w:p>
            <w:pPr>
              <w:spacing w:line="240" w:lineRule="auto"/>
              <w:ind w:firstLine="0" w:firstLineChars="0"/>
              <w:jc w:val="center"/>
              <w:rPr>
                <w:sz w:val="21"/>
                <w:szCs w:val="21"/>
                <w:highlight w:val="none"/>
              </w:rPr>
            </w:pPr>
            <w:r>
              <w:rPr>
                <w:sz w:val="21"/>
                <w:szCs w:val="21"/>
                <w:highlight w:val="none"/>
              </w:rPr>
              <w:t>6.25</w:t>
            </w:r>
          </w:p>
        </w:tc>
        <w:tc>
          <w:tcPr>
            <w:tcW w:w="769" w:type="dxa"/>
            <w:vAlign w:val="center"/>
          </w:tcPr>
          <w:p>
            <w:pPr>
              <w:spacing w:line="240" w:lineRule="auto"/>
              <w:ind w:firstLine="0" w:firstLineChars="0"/>
              <w:jc w:val="center"/>
              <w:rPr>
                <w:sz w:val="21"/>
                <w:szCs w:val="21"/>
                <w:highlight w:val="none"/>
              </w:rPr>
            </w:pPr>
            <w:r>
              <w:rPr>
                <w:sz w:val="21"/>
                <w:szCs w:val="21"/>
                <w:highlight w:val="none"/>
              </w:rPr>
              <w:t>7.5</w:t>
            </w:r>
          </w:p>
        </w:tc>
        <w:tc>
          <w:tcPr>
            <w:tcW w:w="751" w:type="dxa"/>
            <w:vAlign w:val="center"/>
          </w:tcPr>
          <w:p>
            <w:pPr>
              <w:spacing w:line="240" w:lineRule="auto"/>
              <w:ind w:firstLine="0" w:firstLineChars="0"/>
              <w:jc w:val="center"/>
              <w:rPr>
                <w:sz w:val="21"/>
                <w:szCs w:val="21"/>
                <w:highlight w:val="none"/>
              </w:rPr>
            </w:pPr>
            <w:r>
              <w:rPr>
                <w:sz w:val="21"/>
                <w:szCs w:val="21"/>
                <w:highlight w:val="none"/>
              </w:rPr>
              <w:t>14.72</w:t>
            </w:r>
          </w:p>
        </w:tc>
        <w:tc>
          <w:tcPr>
            <w:tcW w:w="703" w:type="dxa"/>
            <w:vAlign w:val="center"/>
          </w:tcPr>
          <w:p>
            <w:pPr>
              <w:spacing w:line="240" w:lineRule="auto"/>
              <w:ind w:firstLine="0" w:firstLineChars="0"/>
              <w:jc w:val="center"/>
              <w:rPr>
                <w:sz w:val="21"/>
                <w:szCs w:val="21"/>
                <w:highlight w:val="none"/>
              </w:rPr>
            </w:pPr>
            <w:r>
              <w:rPr>
                <w:sz w:val="21"/>
                <w:szCs w:val="21"/>
                <w:highlight w:val="none"/>
              </w:rPr>
              <w:t>15.28</w:t>
            </w:r>
          </w:p>
        </w:tc>
        <w:tc>
          <w:tcPr>
            <w:tcW w:w="709" w:type="dxa"/>
            <w:vAlign w:val="center"/>
          </w:tcPr>
          <w:p>
            <w:pPr>
              <w:spacing w:line="240" w:lineRule="auto"/>
              <w:ind w:firstLine="0" w:firstLineChars="0"/>
              <w:jc w:val="center"/>
              <w:rPr>
                <w:sz w:val="21"/>
                <w:szCs w:val="21"/>
                <w:highlight w:val="none"/>
              </w:rPr>
            </w:pPr>
            <w:r>
              <w:rPr>
                <w:sz w:val="21"/>
                <w:szCs w:val="21"/>
                <w:highlight w:val="none"/>
              </w:rPr>
              <w:t>8.61</w:t>
            </w:r>
          </w:p>
        </w:tc>
        <w:tc>
          <w:tcPr>
            <w:tcW w:w="828" w:type="dxa"/>
            <w:vAlign w:val="center"/>
          </w:tcPr>
          <w:p>
            <w:pPr>
              <w:spacing w:line="240" w:lineRule="auto"/>
              <w:ind w:firstLine="0" w:firstLineChars="0"/>
              <w:jc w:val="center"/>
              <w:rPr>
                <w:sz w:val="21"/>
                <w:szCs w:val="21"/>
                <w:highlight w:val="none"/>
              </w:rPr>
            </w:pPr>
            <w:r>
              <w:rPr>
                <w:sz w:val="21"/>
                <w:szCs w:val="21"/>
                <w:highlight w:val="none"/>
              </w:rPr>
              <w:t>9.17</w:t>
            </w:r>
          </w:p>
        </w:tc>
        <w:tc>
          <w:tcPr>
            <w:tcW w:w="703" w:type="dxa"/>
            <w:vAlign w:val="center"/>
          </w:tcPr>
          <w:p>
            <w:pPr>
              <w:spacing w:line="240" w:lineRule="auto"/>
              <w:ind w:firstLine="0" w:firstLineChars="0"/>
              <w:jc w:val="center"/>
              <w:rPr>
                <w:sz w:val="21"/>
                <w:szCs w:val="21"/>
                <w:highlight w:val="none"/>
              </w:rPr>
            </w:pPr>
            <w:r>
              <w:rPr>
                <w:sz w:val="21"/>
                <w:szCs w:val="21"/>
                <w:highlight w:val="none"/>
              </w:rPr>
              <w:t>3.89</w:t>
            </w:r>
          </w:p>
        </w:tc>
        <w:tc>
          <w:tcPr>
            <w:tcW w:w="828" w:type="dxa"/>
            <w:vAlign w:val="center"/>
          </w:tcPr>
          <w:p>
            <w:pPr>
              <w:spacing w:line="240" w:lineRule="auto"/>
              <w:ind w:firstLine="0" w:firstLineChars="0"/>
              <w:jc w:val="center"/>
              <w:rPr>
                <w:sz w:val="21"/>
                <w:szCs w:val="21"/>
                <w:highlight w:val="none"/>
              </w:rPr>
            </w:pPr>
            <w:r>
              <w:rPr>
                <w:sz w:val="21"/>
                <w:szCs w:val="21"/>
                <w:highlight w:val="none"/>
              </w:rPr>
              <w:t>2.78</w:t>
            </w:r>
          </w:p>
        </w:tc>
        <w:tc>
          <w:tcPr>
            <w:tcW w:w="780" w:type="dxa"/>
            <w:vAlign w:val="center"/>
          </w:tcPr>
          <w:p>
            <w:pPr>
              <w:spacing w:line="240" w:lineRule="auto"/>
              <w:ind w:firstLine="0" w:firstLineChars="0"/>
              <w:jc w:val="center"/>
              <w:rPr>
                <w:sz w:val="21"/>
                <w:szCs w:val="21"/>
                <w:highlight w:val="none"/>
              </w:rPr>
            </w:pPr>
            <w:r>
              <w:rPr>
                <w:sz w:val="21"/>
                <w:szCs w:val="21"/>
                <w:highlight w:val="none"/>
              </w:rPr>
              <w:t>5</w:t>
            </w:r>
          </w:p>
        </w:tc>
        <w:tc>
          <w:tcPr>
            <w:tcW w:w="703" w:type="dxa"/>
            <w:vAlign w:val="center"/>
          </w:tcPr>
          <w:p>
            <w:pPr>
              <w:spacing w:line="240" w:lineRule="auto"/>
              <w:ind w:firstLine="0" w:firstLineChars="0"/>
              <w:jc w:val="center"/>
              <w:rPr>
                <w:sz w:val="21"/>
                <w:szCs w:val="21"/>
                <w:highlight w:val="none"/>
              </w:rPr>
            </w:pPr>
            <w:r>
              <w:rPr>
                <w:sz w:val="21"/>
                <w:szCs w:val="21"/>
                <w:highlight w:val="none"/>
              </w:rPr>
              <w:t>4.17</w:t>
            </w:r>
          </w:p>
        </w:tc>
        <w:tc>
          <w:tcPr>
            <w:tcW w:w="879" w:type="dxa"/>
            <w:vAlign w:val="center"/>
          </w:tcPr>
          <w:p>
            <w:pPr>
              <w:spacing w:line="240" w:lineRule="auto"/>
              <w:ind w:firstLine="0" w:firstLineChars="0"/>
              <w:jc w:val="center"/>
              <w:rPr>
                <w:sz w:val="21"/>
                <w:szCs w:val="21"/>
                <w:highlight w:val="none"/>
              </w:rPr>
            </w:pPr>
            <w:r>
              <w:rPr>
                <w:sz w:val="21"/>
                <w:szCs w:val="21"/>
                <w:highlight w:val="none"/>
              </w:rPr>
              <w:t>5.69</w:t>
            </w:r>
          </w:p>
        </w:tc>
        <w:tc>
          <w:tcPr>
            <w:tcW w:w="703" w:type="dxa"/>
            <w:vAlign w:val="center"/>
          </w:tcPr>
          <w:p>
            <w:pPr>
              <w:spacing w:line="240" w:lineRule="auto"/>
              <w:ind w:firstLine="0" w:firstLineChars="0"/>
              <w:jc w:val="center"/>
              <w:rPr>
                <w:sz w:val="21"/>
                <w:szCs w:val="21"/>
                <w:highlight w:val="none"/>
              </w:rPr>
            </w:pPr>
            <w:r>
              <w:rPr>
                <w:sz w:val="21"/>
                <w:szCs w:val="21"/>
                <w:highlight w:val="none"/>
              </w:rPr>
              <w:t>2.78</w:t>
            </w:r>
          </w:p>
        </w:tc>
        <w:tc>
          <w:tcPr>
            <w:tcW w:w="921" w:type="dxa"/>
            <w:vAlign w:val="center"/>
          </w:tcPr>
          <w:p>
            <w:pPr>
              <w:spacing w:line="240" w:lineRule="auto"/>
              <w:ind w:firstLine="0" w:firstLineChars="0"/>
              <w:jc w:val="center"/>
              <w:rPr>
                <w:sz w:val="21"/>
                <w:szCs w:val="21"/>
                <w:highlight w:val="none"/>
              </w:rPr>
            </w:pPr>
            <w:r>
              <w:rPr>
                <w:sz w:val="21"/>
                <w:szCs w:val="21"/>
                <w:highlight w:val="none"/>
              </w:rPr>
              <w:t>1.81</w:t>
            </w:r>
          </w:p>
        </w:tc>
        <w:tc>
          <w:tcPr>
            <w:tcW w:w="828" w:type="dxa"/>
            <w:vAlign w:val="center"/>
          </w:tcPr>
          <w:p>
            <w:pPr>
              <w:spacing w:line="240" w:lineRule="auto"/>
              <w:ind w:firstLine="0" w:firstLineChars="0"/>
              <w:jc w:val="center"/>
              <w:rPr>
                <w:sz w:val="21"/>
                <w:szCs w:val="21"/>
                <w:highlight w:val="none"/>
              </w:rPr>
            </w:pPr>
            <w:r>
              <w:rPr>
                <w:sz w:val="21"/>
                <w:szCs w:val="21"/>
                <w:highlight w:val="none"/>
              </w:rPr>
              <w:t>0.97</w:t>
            </w:r>
          </w:p>
        </w:tc>
        <w:tc>
          <w:tcPr>
            <w:tcW w:w="865" w:type="dxa"/>
            <w:vAlign w:val="center"/>
          </w:tcPr>
          <w:p>
            <w:pPr>
              <w:spacing w:line="240" w:lineRule="auto"/>
              <w:ind w:firstLine="0" w:firstLineChars="0"/>
              <w:jc w:val="center"/>
              <w:rPr>
                <w:sz w:val="21"/>
                <w:szCs w:val="21"/>
                <w:highlight w:val="none"/>
              </w:rPr>
            </w:pPr>
            <w:r>
              <w:rPr>
                <w:sz w:val="21"/>
                <w:szCs w:val="21"/>
                <w:highlight w:val="none"/>
              </w:rPr>
              <w:t>2.5</w:t>
            </w:r>
          </w:p>
        </w:tc>
        <w:tc>
          <w:tcPr>
            <w:tcW w:w="828" w:type="dxa"/>
            <w:vAlign w:val="center"/>
          </w:tcPr>
          <w:p>
            <w:pPr>
              <w:spacing w:line="240" w:lineRule="auto"/>
              <w:ind w:firstLine="0" w:firstLineChars="0"/>
              <w:jc w:val="center"/>
              <w:rPr>
                <w:sz w:val="21"/>
                <w:szCs w:val="21"/>
                <w:highlight w:val="none"/>
              </w:rPr>
            </w:pPr>
            <w:r>
              <w:rPr>
                <w:sz w:val="21"/>
                <w:szCs w:val="21"/>
                <w:highlight w:val="none"/>
              </w:rPr>
              <w:t>3.06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7月</w:t>
            </w:r>
          </w:p>
        </w:tc>
        <w:tc>
          <w:tcPr>
            <w:tcW w:w="829" w:type="dxa"/>
            <w:vAlign w:val="center"/>
          </w:tcPr>
          <w:p>
            <w:pPr>
              <w:spacing w:line="240" w:lineRule="auto"/>
              <w:ind w:firstLine="0" w:firstLineChars="0"/>
              <w:jc w:val="center"/>
              <w:rPr>
                <w:sz w:val="21"/>
                <w:szCs w:val="21"/>
                <w:highlight w:val="none"/>
              </w:rPr>
            </w:pPr>
            <w:r>
              <w:rPr>
                <w:sz w:val="21"/>
                <w:szCs w:val="21"/>
                <w:highlight w:val="none"/>
              </w:rPr>
              <w:t>5.11</w:t>
            </w:r>
          </w:p>
        </w:tc>
        <w:tc>
          <w:tcPr>
            <w:tcW w:w="718" w:type="dxa"/>
            <w:vAlign w:val="center"/>
          </w:tcPr>
          <w:p>
            <w:pPr>
              <w:spacing w:line="240" w:lineRule="auto"/>
              <w:ind w:firstLine="0" w:firstLineChars="0"/>
              <w:jc w:val="center"/>
              <w:rPr>
                <w:sz w:val="21"/>
                <w:szCs w:val="21"/>
                <w:highlight w:val="none"/>
              </w:rPr>
            </w:pPr>
            <w:r>
              <w:rPr>
                <w:sz w:val="21"/>
                <w:szCs w:val="21"/>
                <w:highlight w:val="none"/>
              </w:rPr>
              <w:t>9.41</w:t>
            </w:r>
          </w:p>
        </w:tc>
        <w:tc>
          <w:tcPr>
            <w:tcW w:w="769" w:type="dxa"/>
            <w:vAlign w:val="center"/>
          </w:tcPr>
          <w:p>
            <w:pPr>
              <w:spacing w:line="240" w:lineRule="auto"/>
              <w:ind w:firstLine="0" w:firstLineChars="0"/>
              <w:jc w:val="center"/>
              <w:rPr>
                <w:sz w:val="21"/>
                <w:szCs w:val="21"/>
                <w:highlight w:val="none"/>
              </w:rPr>
            </w:pPr>
            <w:r>
              <w:rPr>
                <w:sz w:val="21"/>
                <w:szCs w:val="21"/>
                <w:highlight w:val="none"/>
              </w:rPr>
              <w:t>12.63</w:t>
            </w:r>
          </w:p>
        </w:tc>
        <w:tc>
          <w:tcPr>
            <w:tcW w:w="751" w:type="dxa"/>
            <w:vAlign w:val="center"/>
          </w:tcPr>
          <w:p>
            <w:pPr>
              <w:spacing w:line="240" w:lineRule="auto"/>
              <w:ind w:firstLine="0" w:firstLineChars="0"/>
              <w:jc w:val="center"/>
              <w:rPr>
                <w:sz w:val="21"/>
                <w:szCs w:val="21"/>
                <w:highlight w:val="none"/>
              </w:rPr>
            </w:pPr>
            <w:r>
              <w:rPr>
                <w:sz w:val="21"/>
                <w:szCs w:val="21"/>
                <w:highlight w:val="none"/>
              </w:rPr>
              <w:t>10.75</w:t>
            </w:r>
          </w:p>
        </w:tc>
        <w:tc>
          <w:tcPr>
            <w:tcW w:w="703" w:type="dxa"/>
            <w:vAlign w:val="center"/>
          </w:tcPr>
          <w:p>
            <w:pPr>
              <w:spacing w:line="240" w:lineRule="auto"/>
              <w:ind w:firstLine="0" w:firstLineChars="0"/>
              <w:jc w:val="center"/>
              <w:rPr>
                <w:sz w:val="21"/>
                <w:szCs w:val="21"/>
                <w:highlight w:val="none"/>
              </w:rPr>
            </w:pPr>
            <w:r>
              <w:rPr>
                <w:sz w:val="21"/>
                <w:szCs w:val="21"/>
                <w:highlight w:val="none"/>
              </w:rPr>
              <w:t>13.17</w:t>
            </w:r>
          </w:p>
        </w:tc>
        <w:tc>
          <w:tcPr>
            <w:tcW w:w="709" w:type="dxa"/>
            <w:vAlign w:val="center"/>
          </w:tcPr>
          <w:p>
            <w:pPr>
              <w:spacing w:line="240" w:lineRule="auto"/>
              <w:ind w:firstLine="0" w:firstLineChars="0"/>
              <w:jc w:val="center"/>
              <w:rPr>
                <w:sz w:val="21"/>
                <w:szCs w:val="21"/>
                <w:highlight w:val="none"/>
              </w:rPr>
            </w:pPr>
            <w:r>
              <w:rPr>
                <w:sz w:val="21"/>
                <w:szCs w:val="21"/>
                <w:highlight w:val="none"/>
              </w:rPr>
              <w:t>5.24</w:t>
            </w:r>
          </w:p>
        </w:tc>
        <w:tc>
          <w:tcPr>
            <w:tcW w:w="828" w:type="dxa"/>
            <w:vAlign w:val="center"/>
          </w:tcPr>
          <w:p>
            <w:pPr>
              <w:spacing w:line="240" w:lineRule="auto"/>
              <w:ind w:firstLine="0" w:firstLineChars="0"/>
              <w:jc w:val="center"/>
              <w:rPr>
                <w:sz w:val="21"/>
                <w:szCs w:val="21"/>
                <w:highlight w:val="none"/>
              </w:rPr>
            </w:pPr>
            <w:r>
              <w:rPr>
                <w:sz w:val="21"/>
                <w:szCs w:val="21"/>
                <w:highlight w:val="none"/>
              </w:rPr>
              <w:t>4.97</w:t>
            </w:r>
          </w:p>
        </w:tc>
        <w:tc>
          <w:tcPr>
            <w:tcW w:w="703" w:type="dxa"/>
            <w:vAlign w:val="center"/>
          </w:tcPr>
          <w:p>
            <w:pPr>
              <w:spacing w:line="240" w:lineRule="auto"/>
              <w:ind w:firstLine="0" w:firstLineChars="0"/>
              <w:jc w:val="center"/>
              <w:rPr>
                <w:sz w:val="21"/>
                <w:szCs w:val="21"/>
                <w:highlight w:val="none"/>
              </w:rPr>
            </w:pPr>
            <w:r>
              <w:rPr>
                <w:sz w:val="21"/>
                <w:szCs w:val="21"/>
                <w:highlight w:val="none"/>
              </w:rPr>
              <w:t>2.69</w:t>
            </w:r>
          </w:p>
        </w:tc>
        <w:tc>
          <w:tcPr>
            <w:tcW w:w="828" w:type="dxa"/>
            <w:vAlign w:val="center"/>
          </w:tcPr>
          <w:p>
            <w:pPr>
              <w:spacing w:line="240" w:lineRule="auto"/>
              <w:ind w:firstLine="0" w:firstLineChars="0"/>
              <w:jc w:val="center"/>
              <w:rPr>
                <w:sz w:val="21"/>
                <w:szCs w:val="21"/>
                <w:highlight w:val="none"/>
              </w:rPr>
            </w:pPr>
            <w:r>
              <w:rPr>
                <w:sz w:val="21"/>
                <w:szCs w:val="21"/>
                <w:highlight w:val="none"/>
              </w:rPr>
              <w:t>3.36</w:t>
            </w:r>
          </w:p>
        </w:tc>
        <w:tc>
          <w:tcPr>
            <w:tcW w:w="780" w:type="dxa"/>
            <w:vAlign w:val="center"/>
          </w:tcPr>
          <w:p>
            <w:pPr>
              <w:spacing w:line="240" w:lineRule="auto"/>
              <w:ind w:firstLine="0" w:firstLineChars="0"/>
              <w:jc w:val="center"/>
              <w:rPr>
                <w:sz w:val="21"/>
                <w:szCs w:val="21"/>
                <w:highlight w:val="none"/>
              </w:rPr>
            </w:pPr>
            <w:r>
              <w:rPr>
                <w:sz w:val="21"/>
                <w:szCs w:val="21"/>
                <w:highlight w:val="none"/>
              </w:rPr>
              <w:t>3.76</w:t>
            </w:r>
          </w:p>
        </w:tc>
        <w:tc>
          <w:tcPr>
            <w:tcW w:w="703" w:type="dxa"/>
            <w:vAlign w:val="center"/>
          </w:tcPr>
          <w:p>
            <w:pPr>
              <w:spacing w:line="240" w:lineRule="auto"/>
              <w:ind w:firstLine="0" w:firstLineChars="0"/>
              <w:jc w:val="center"/>
              <w:rPr>
                <w:sz w:val="21"/>
                <w:szCs w:val="21"/>
                <w:highlight w:val="none"/>
              </w:rPr>
            </w:pPr>
            <w:r>
              <w:rPr>
                <w:sz w:val="21"/>
                <w:szCs w:val="21"/>
                <w:highlight w:val="none"/>
              </w:rPr>
              <w:t>4.17</w:t>
            </w:r>
          </w:p>
        </w:tc>
        <w:tc>
          <w:tcPr>
            <w:tcW w:w="879" w:type="dxa"/>
            <w:vAlign w:val="center"/>
          </w:tcPr>
          <w:p>
            <w:pPr>
              <w:spacing w:line="240" w:lineRule="auto"/>
              <w:ind w:firstLine="0" w:firstLineChars="0"/>
              <w:jc w:val="center"/>
              <w:rPr>
                <w:sz w:val="21"/>
                <w:szCs w:val="21"/>
                <w:highlight w:val="none"/>
              </w:rPr>
            </w:pPr>
            <w:r>
              <w:rPr>
                <w:sz w:val="21"/>
                <w:szCs w:val="21"/>
                <w:highlight w:val="none"/>
              </w:rPr>
              <w:t>8.6</w:t>
            </w:r>
          </w:p>
        </w:tc>
        <w:tc>
          <w:tcPr>
            <w:tcW w:w="703" w:type="dxa"/>
            <w:vAlign w:val="center"/>
          </w:tcPr>
          <w:p>
            <w:pPr>
              <w:spacing w:line="240" w:lineRule="auto"/>
              <w:ind w:firstLine="0" w:firstLineChars="0"/>
              <w:jc w:val="center"/>
              <w:rPr>
                <w:sz w:val="21"/>
                <w:szCs w:val="21"/>
                <w:highlight w:val="none"/>
              </w:rPr>
            </w:pPr>
            <w:r>
              <w:rPr>
                <w:sz w:val="21"/>
                <w:szCs w:val="21"/>
                <w:highlight w:val="none"/>
              </w:rPr>
              <w:t>4.44</w:t>
            </w:r>
          </w:p>
        </w:tc>
        <w:tc>
          <w:tcPr>
            <w:tcW w:w="921" w:type="dxa"/>
            <w:vAlign w:val="center"/>
          </w:tcPr>
          <w:p>
            <w:pPr>
              <w:spacing w:line="240" w:lineRule="auto"/>
              <w:ind w:firstLine="0" w:firstLineChars="0"/>
              <w:jc w:val="center"/>
              <w:rPr>
                <w:sz w:val="21"/>
                <w:szCs w:val="21"/>
                <w:highlight w:val="none"/>
              </w:rPr>
            </w:pPr>
            <w:r>
              <w:rPr>
                <w:sz w:val="21"/>
                <w:szCs w:val="21"/>
                <w:highlight w:val="none"/>
              </w:rPr>
              <w:t>2.55</w:t>
            </w:r>
          </w:p>
        </w:tc>
        <w:tc>
          <w:tcPr>
            <w:tcW w:w="828" w:type="dxa"/>
            <w:vAlign w:val="center"/>
          </w:tcPr>
          <w:p>
            <w:pPr>
              <w:spacing w:line="240" w:lineRule="auto"/>
              <w:ind w:firstLine="0" w:firstLineChars="0"/>
              <w:jc w:val="center"/>
              <w:rPr>
                <w:sz w:val="21"/>
                <w:szCs w:val="21"/>
                <w:highlight w:val="none"/>
              </w:rPr>
            </w:pPr>
            <w:r>
              <w:rPr>
                <w:sz w:val="21"/>
                <w:szCs w:val="21"/>
                <w:highlight w:val="none"/>
              </w:rPr>
              <w:t>1.61</w:t>
            </w:r>
          </w:p>
        </w:tc>
        <w:tc>
          <w:tcPr>
            <w:tcW w:w="865" w:type="dxa"/>
            <w:vAlign w:val="center"/>
          </w:tcPr>
          <w:p>
            <w:pPr>
              <w:spacing w:line="240" w:lineRule="auto"/>
              <w:ind w:firstLine="0" w:firstLineChars="0"/>
              <w:jc w:val="center"/>
              <w:rPr>
                <w:sz w:val="21"/>
                <w:szCs w:val="21"/>
                <w:highlight w:val="none"/>
              </w:rPr>
            </w:pPr>
            <w:r>
              <w:rPr>
                <w:sz w:val="21"/>
                <w:szCs w:val="21"/>
                <w:highlight w:val="none"/>
              </w:rPr>
              <w:t>2.82</w:t>
            </w:r>
          </w:p>
        </w:tc>
        <w:tc>
          <w:tcPr>
            <w:tcW w:w="828" w:type="dxa"/>
            <w:vAlign w:val="center"/>
          </w:tcPr>
          <w:p>
            <w:pPr>
              <w:spacing w:line="240" w:lineRule="auto"/>
              <w:ind w:firstLine="0" w:firstLineChars="0"/>
              <w:jc w:val="center"/>
              <w:rPr>
                <w:sz w:val="21"/>
                <w:szCs w:val="21"/>
                <w:highlight w:val="none"/>
              </w:rPr>
            </w:pPr>
            <w:r>
              <w:rPr>
                <w:sz w:val="21"/>
                <w:szCs w:val="21"/>
                <w:highlight w:val="none"/>
              </w:rPr>
              <w:t>4.7</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8月</w:t>
            </w:r>
          </w:p>
        </w:tc>
        <w:tc>
          <w:tcPr>
            <w:tcW w:w="829" w:type="dxa"/>
            <w:vAlign w:val="center"/>
          </w:tcPr>
          <w:p>
            <w:pPr>
              <w:spacing w:line="240" w:lineRule="auto"/>
              <w:ind w:firstLine="0" w:firstLineChars="0"/>
              <w:jc w:val="center"/>
              <w:rPr>
                <w:sz w:val="21"/>
                <w:szCs w:val="21"/>
                <w:highlight w:val="none"/>
              </w:rPr>
            </w:pPr>
            <w:r>
              <w:rPr>
                <w:sz w:val="21"/>
                <w:szCs w:val="21"/>
                <w:highlight w:val="none"/>
              </w:rPr>
              <w:t>4.17</w:t>
            </w:r>
          </w:p>
        </w:tc>
        <w:tc>
          <w:tcPr>
            <w:tcW w:w="718" w:type="dxa"/>
            <w:vAlign w:val="center"/>
          </w:tcPr>
          <w:p>
            <w:pPr>
              <w:spacing w:line="240" w:lineRule="auto"/>
              <w:ind w:firstLine="0" w:firstLineChars="0"/>
              <w:jc w:val="center"/>
              <w:rPr>
                <w:sz w:val="21"/>
                <w:szCs w:val="21"/>
                <w:highlight w:val="none"/>
              </w:rPr>
            </w:pPr>
            <w:r>
              <w:rPr>
                <w:sz w:val="21"/>
                <w:szCs w:val="21"/>
                <w:highlight w:val="none"/>
              </w:rPr>
              <w:t>7.39</w:t>
            </w:r>
          </w:p>
        </w:tc>
        <w:tc>
          <w:tcPr>
            <w:tcW w:w="769" w:type="dxa"/>
            <w:vAlign w:val="center"/>
          </w:tcPr>
          <w:p>
            <w:pPr>
              <w:spacing w:line="240" w:lineRule="auto"/>
              <w:ind w:firstLine="0" w:firstLineChars="0"/>
              <w:jc w:val="center"/>
              <w:rPr>
                <w:sz w:val="21"/>
                <w:szCs w:val="21"/>
                <w:highlight w:val="none"/>
              </w:rPr>
            </w:pPr>
            <w:r>
              <w:rPr>
                <w:sz w:val="21"/>
                <w:szCs w:val="21"/>
                <w:highlight w:val="none"/>
              </w:rPr>
              <w:t>11.96</w:t>
            </w:r>
          </w:p>
        </w:tc>
        <w:tc>
          <w:tcPr>
            <w:tcW w:w="751" w:type="dxa"/>
            <w:vAlign w:val="center"/>
          </w:tcPr>
          <w:p>
            <w:pPr>
              <w:spacing w:line="240" w:lineRule="auto"/>
              <w:ind w:firstLine="0" w:firstLineChars="0"/>
              <w:jc w:val="center"/>
              <w:rPr>
                <w:sz w:val="21"/>
                <w:szCs w:val="21"/>
                <w:highlight w:val="none"/>
              </w:rPr>
            </w:pPr>
            <w:r>
              <w:rPr>
                <w:sz w:val="21"/>
                <w:szCs w:val="21"/>
                <w:highlight w:val="none"/>
              </w:rPr>
              <w:t>10.48</w:t>
            </w:r>
          </w:p>
        </w:tc>
        <w:tc>
          <w:tcPr>
            <w:tcW w:w="703" w:type="dxa"/>
            <w:vAlign w:val="center"/>
          </w:tcPr>
          <w:p>
            <w:pPr>
              <w:spacing w:line="240" w:lineRule="auto"/>
              <w:ind w:firstLine="0" w:firstLineChars="0"/>
              <w:jc w:val="center"/>
              <w:rPr>
                <w:sz w:val="21"/>
                <w:szCs w:val="21"/>
                <w:highlight w:val="none"/>
              </w:rPr>
            </w:pPr>
            <w:r>
              <w:rPr>
                <w:sz w:val="21"/>
                <w:szCs w:val="21"/>
                <w:highlight w:val="none"/>
              </w:rPr>
              <w:t>9.14</w:t>
            </w:r>
          </w:p>
        </w:tc>
        <w:tc>
          <w:tcPr>
            <w:tcW w:w="709" w:type="dxa"/>
            <w:vAlign w:val="center"/>
          </w:tcPr>
          <w:p>
            <w:pPr>
              <w:spacing w:line="240" w:lineRule="auto"/>
              <w:ind w:firstLine="0" w:firstLineChars="0"/>
              <w:jc w:val="center"/>
              <w:rPr>
                <w:sz w:val="21"/>
                <w:szCs w:val="21"/>
                <w:highlight w:val="none"/>
              </w:rPr>
            </w:pPr>
            <w:r>
              <w:rPr>
                <w:sz w:val="21"/>
                <w:szCs w:val="21"/>
                <w:highlight w:val="none"/>
              </w:rPr>
              <w:t>8.06</w:t>
            </w:r>
          </w:p>
        </w:tc>
        <w:tc>
          <w:tcPr>
            <w:tcW w:w="828" w:type="dxa"/>
            <w:vAlign w:val="center"/>
          </w:tcPr>
          <w:p>
            <w:pPr>
              <w:spacing w:line="240" w:lineRule="auto"/>
              <w:ind w:firstLine="0" w:firstLineChars="0"/>
              <w:jc w:val="center"/>
              <w:rPr>
                <w:sz w:val="21"/>
                <w:szCs w:val="21"/>
                <w:highlight w:val="none"/>
              </w:rPr>
            </w:pPr>
            <w:r>
              <w:rPr>
                <w:sz w:val="21"/>
                <w:szCs w:val="21"/>
                <w:highlight w:val="none"/>
              </w:rPr>
              <w:t>4.44</w:t>
            </w:r>
          </w:p>
        </w:tc>
        <w:tc>
          <w:tcPr>
            <w:tcW w:w="703" w:type="dxa"/>
            <w:vAlign w:val="center"/>
          </w:tcPr>
          <w:p>
            <w:pPr>
              <w:spacing w:line="240" w:lineRule="auto"/>
              <w:ind w:firstLine="0" w:firstLineChars="0"/>
              <w:jc w:val="center"/>
              <w:rPr>
                <w:sz w:val="21"/>
                <w:szCs w:val="21"/>
                <w:highlight w:val="none"/>
              </w:rPr>
            </w:pPr>
            <w:r>
              <w:rPr>
                <w:sz w:val="21"/>
                <w:szCs w:val="21"/>
                <w:highlight w:val="none"/>
              </w:rPr>
              <w:t>2.42</w:t>
            </w:r>
          </w:p>
        </w:tc>
        <w:tc>
          <w:tcPr>
            <w:tcW w:w="828" w:type="dxa"/>
            <w:vAlign w:val="center"/>
          </w:tcPr>
          <w:p>
            <w:pPr>
              <w:spacing w:line="240" w:lineRule="auto"/>
              <w:ind w:firstLine="0" w:firstLineChars="0"/>
              <w:jc w:val="center"/>
              <w:rPr>
                <w:sz w:val="21"/>
                <w:szCs w:val="21"/>
                <w:highlight w:val="none"/>
              </w:rPr>
            </w:pPr>
            <w:r>
              <w:rPr>
                <w:sz w:val="21"/>
                <w:szCs w:val="21"/>
                <w:highlight w:val="none"/>
              </w:rPr>
              <w:t>2.82</w:t>
            </w:r>
          </w:p>
        </w:tc>
        <w:tc>
          <w:tcPr>
            <w:tcW w:w="780" w:type="dxa"/>
            <w:vAlign w:val="center"/>
          </w:tcPr>
          <w:p>
            <w:pPr>
              <w:spacing w:line="240" w:lineRule="auto"/>
              <w:ind w:firstLine="0" w:firstLineChars="0"/>
              <w:jc w:val="center"/>
              <w:rPr>
                <w:sz w:val="21"/>
                <w:szCs w:val="21"/>
                <w:highlight w:val="none"/>
              </w:rPr>
            </w:pPr>
            <w:r>
              <w:rPr>
                <w:sz w:val="21"/>
                <w:szCs w:val="21"/>
                <w:highlight w:val="none"/>
              </w:rPr>
              <w:t>5.38</w:t>
            </w:r>
          </w:p>
        </w:tc>
        <w:tc>
          <w:tcPr>
            <w:tcW w:w="703" w:type="dxa"/>
            <w:vAlign w:val="center"/>
          </w:tcPr>
          <w:p>
            <w:pPr>
              <w:spacing w:line="240" w:lineRule="auto"/>
              <w:ind w:firstLine="0" w:firstLineChars="0"/>
              <w:jc w:val="center"/>
              <w:rPr>
                <w:sz w:val="21"/>
                <w:szCs w:val="21"/>
                <w:highlight w:val="none"/>
              </w:rPr>
            </w:pPr>
            <w:r>
              <w:rPr>
                <w:sz w:val="21"/>
                <w:szCs w:val="21"/>
                <w:highlight w:val="none"/>
              </w:rPr>
              <w:t>9.27</w:t>
            </w:r>
          </w:p>
        </w:tc>
        <w:tc>
          <w:tcPr>
            <w:tcW w:w="879" w:type="dxa"/>
            <w:vAlign w:val="center"/>
          </w:tcPr>
          <w:p>
            <w:pPr>
              <w:spacing w:line="240" w:lineRule="auto"/>
              <w:ind w:firstLine="0" w:firstLineChars="0"/>
              <w:jc w:val="center"/>
              <w:rPr>
                <w:sz w:val="21"/>
                <w:szCs w:val="21"/>
                <w:highlight w:val="none"/>
              </w:rPr>
            </w:pPr>
            <w:r>
              <w:rPr>
                <w:sz w:val="21"/>
                <w:szCs w:val="21"/>
                <w:highlight w:val="none"/>
              </w:rPr>
              <w:t>12.5</w:t>
            </w:r>
          </w:p>
        </w:tc>
        <w:tc>
          <w:tcPr>
            <w:tcW w:w="703" w:type="dxa"/>
            <w:vAlign w:val="center"/>
          </w:tcPr>
          <w:p>
            <w:pPr>
              <w:spacing w:line="240" w:lineRule="auto"/>
              <w:ind w:firstLine="0" w:firstLineChars="0"/>
              <w:jc w:val="center"/>
              <w:rPr>
                <w:sz w:val="21"/>
                <w:szCs w:val="21"/>
                <w:highlight w:val="none"/>
              </w:rPr>
            </w:pPr>
            <w:r>
              <w:rPr>
                <w:sz w:val="21"/>
                <w:szCs w:val="21"/>
                <w:highlight w:val="none"/>
              </w:rPr>
              <w:t>3.36</w:t>
            </w:r>
          </w:p>
        </w:tc>
        <w:tc>
          <w:tcPr>
            <w:tcW w:w="921" w:type="dxa"/>
            <w:vAlign w:val="center"/>
          </w:tcPr>
          <w:p>
            <w:pPr>
              <w:spacing w:line="240" w:lineRule="auto"/>
              <w:ind w:firstLine="0" w:firstLineChars="0"/>
              <w:jc w:val="center"/>
              <w:rPr>
                <w:sz w:val="21"/>
                <w:szCs w:val="21"/>
                <w:highlight w:val="none"/>
              </w:rPr>
            </w:pPr>
            <w:r>
              <w:rPr>
                <w:sz w:val="21"/>
                <w:szCs w:val="21"/>
                <w:highlight w:val="none"/>
              </w:rPr>
              <w:t>1.08</w:t>
            </w:r>
          </w:p>
        </w:tc>
        <w:tc>
          <w:tcPr>
            <w:tcW w:w="828" w:type="dxa"/>
            <w:vAlign w:val="center"/>
          </w:tcPr>
          <w:p>
            <w:pPr>
              <w:spacing w:line="240" w:lineRule="auto"/>
              <w:ind w:firstLine="0" w:firstLineChars="0"/>
              <w:jc w:val="center"/>
              <w:rPr>
                <w:sz w:val="21"/>
                <w:szCs w:val="21"/>
                <w:highlight w:val="none"/>
              </w:rPr>
            </w:pPr>
            <w:r>
              <w:rPr>
                <w:sz w:val="21"/>
                <w:szCs w:val="21"/>
                <w:highlight w:val="none"/>
              </w:rPr>
              <w:t>1.08</w:t>
            </w:r>
          </w:p>
        </w:tc>
        <w:tc>
          <w:tcPr>
            <w:tcW w:w="865" w:type="dxa"/>
            <w:vAlign w:val="center"/>
          </w:tcPr>
          <w:p>
            <w:pPr>
              <w:spacing w:line="240" w:lineRule="auto"/>
              <w:ind w:firstLine="0" w:firstLineChars="0"/>
              <w:jc w:val="center"/>
              <w:rPr>
                <w:sz w:val="21"/>
                <w:szCs w:val="21"/>
                <w:highlight w:val="none"/>
              </w:rPr>
            </w:pPr>
            <w:r>
              <w:rPr>
                <w:sz w:val="21"/>
                <w:szCs w:val="21"/>
                <w:highlight w:val="none"/>
              </w:rPr>
              <w:t>2.55</w:t>
            </w:r>
          </w:p>
        </w:tc>
        <w:tc>
          <w:tcPr>
            <w:tcW w:w="828" w:type="dxa"/>
            <w:vAlign w:val="center"/>
          </w:tcPr>
          <w:p>
            <w:pPr>
              <w:spacing w:line="240" w:lineRule="auto"/>
              <w:ind w:firstLine="0" w:firstLineChars="0"/>
              <w:jc w:val="center"/>
              <w:rPr>
                <w:sz w:val="21"/>
                <w:szCs w:val="21"/>
                <w:highlight w:val="none"/>
              </w:rPr>
            </w:pPr>
            <w:r>
              <w:rPr>
                <w:sz w:val="21"/>
                <w:szCs w:val="21"/>
                <w:highlight w:val="none"/>
              </w:rPr>
              <w:t>3.9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9月</w:t>
            </w:r>
          </w:p>
        </w:tc>
        <w:tc>
          <w:tcPr>
            <w:tcW w:w="829" w:type="dxa"/>
            <w:vAlign w:val="center"/>
          </w:tcPr>
          <w:p>
            <w:pPr>
              <w:spacing w:line="240" w:lineRule="auto"/>
              <w:ind w:firstLine="0" w:firstLineChars="0"/>
              <w:jc w:val="center"/>
              <w:rPr>
                <w:sz w:val="21"/>
                <w:szCs w:val="21"/>
                <w:highlight w:val="none"/>
              </w:rPr>
            </w:pPr>
            <w:r>
              <w:rPr>
                <w:sz w:val="21"/>
                <w:szCs w:val="21"/>
                <w:highlight w:val="none"/>
              </w:rPr>
              <w:t>7.22</w:t>
            </w:r>
          </w:p>
        </w:tc>
        <w:tc>
          <w:tcPr>
            <w:tcW w:w="718" w:type="dxa"/>
            <w:vAlign w:val="center"/>
          </w:tcPr>
          <w:p>
            <w:pPr>
              <w:spacing w:line="240" w:lineRule="auto"/>
              <w:ind w:firstLine="0" w:firstLineChars="0"/>
              <w:jc w:val="center"/>
              <w:rPr>
                <w:sz w:val="21"/>
                <w:szCs w:val="21"/>
                <w:highlight w:val="none"/>
              </w:rPr>
            </w:pPr>
            <w:r>
              <w:rPr>
                <w:sz w:val="21"/>
                <w:szCs w:val="21"/>
                <w:highlight w:val="none"/>
              </w:rPr>
              <w:t>8.06</w:t>
            </w:r>
          </w:p>
        </w:tc>
        <w:tc>
          <w:tcPr>
            <w:tcW w:w="769" w:type="dxa"/>
            <w:vAlign w:val="center"/>
          </w:tcPr>
          <w:p>
            <w:pPr>
              <w:spacing w:line="240" w:lineRule="auto"/>
              <w:ind w:firstLine="0" w:firstLineChars="0"/>
              <w:jc w:val="center"/>
              <w:rPr>
                <w:sz w:val="21"/>
                <w:szCs w:val="21"/>
                <w:highlight w:val="none"/>
              </w:rPr>
            </w:pPr>
            <w:r>
              <w:rPr>
                <w:sz w:val="21"/>
                <w:szCs w:val="21"/>
                <w:highlight w:val="none"/>
              </w:rPr>
              <w:t>12.92</w:t>
            </w:r>
          </w:p>
        </w:tc>
        <w:tc>
          <w:tcPr>
            <w:tcW w:w="751" w:type="dxa"/>
            <w:vAlign w:val="center"/>
          </w:tcPr>
          <w:p>
            <w:pPr>
              <w:spacing w:line="240" w:lineRule="auto"/>
              <w:ind w:firstLine="0" w:firstLineChars="0"/>
              <w:jc w:val="center"/>
              <w:rPr>
                <w:sz w:val="21"/>
                <w:szCs w:val="21"/>
                <w:highlight w:val="none"/>
              </w:rPr>
            </w:pPr>
            <w:r>
              <w:rPr>
                <w:sz w:val="21"/>
                <w:szCs w:val="21"/>
                <w:highlight w:val="none"/>
              </w:rPr>
              <w:t>9.03</w:t>
            </w:r>
          </w:p>
        </w:tc>
        <w:tc>
          <w:tcPr>
            <w:tcW w:w="703" w:type="dxa"/>
            <w:vAlign w:val="center"/>
          </w:tcPr>
          <w:p>
            <w:pPr>
              <w:spacing w:line="240" w:lineRule="auto"/>
              <w:ind w:firstLine="0" w:firstLineChars="0"/>
              <w:jc w:val="center"/>
              <w:rPr>
                <w:sz w:val="21"/>
                <w:szCs w:val="21"/>
                <w:highlight w:val="none"/>
              </w:rPr>
            </w:pPr>
            <w:r>
              <w:rPr>
                <w:sz w:val="21"/>
                <w:szCs w:val="21"/>
                <w:highlight w:val="none"/>
              </w:rPr>
              <w:t>6.67</w:t>
            </w:r>
          </w:p>
        </w:tc>
        <w:tc>
          <w:tcPr>
            <w:tcW w:w="709" w:type="dxa"/>
            <w:vAlign w:val="center"/>
          </w:tcPr>
          <w:p>
            <w:pPr>
              <w:spacing w:line="240" w:lineRule="auto"/>
              <w:ind w:firstLine="0" w:firstLineChars="0"/>
              <w:jc w:val="center"/>
              <w:rPr>
                <w:sz w:val="21"/>
                <w:szCs w:val="21"/>
                <w:highlight w:val="none"/>
              </w:rPr>
            </w:pPr>
            <w:r>
              <w:rPr>
                <w:sz w:val="21"/>
                <w:szCs w:val="21"/>
                <w:highlight w:val="none"/>
              </w:rPr>
              <w:t>6.94</w:t>
            </w:r>
          </w:p>
        </w:tc>
        <w:tc>
          <w:tcPr>
            <w:tcW w:w="828" w:type="dxa"/>
            <w:vAlign w:val="center"/>
          </w:tcPr>
          <w:p>
            <w:pPr>
              <w:spacing w:line="240" w:lineRule="auto"/>
              <w:ind w:firstLine="0" w:firstLineChars="0"/>
              <w:jc w:val="center"/>
              <w:rPr>
                <w:sz w:val="21"/>
                <w:szCs w:val="21"/>
                <w:highlight w:val="none"/>
              </w:rPr>
            </w:pPr>
            <w:r>
              <w:rPr>
                <w:sz w:val="21"/>
                <w:szCs w:val="21"/>
                <w:highlight w:val="none"/>
              </w:rPr>
              <w:t>4.72</w:t>
            </w:r>
          </w:p>
        </w:tc>
        <w:tc>
          <w:tcPr>
            <w:tcW w:w="703" w:type="dxa"/>
            <w:vAlign w:val="center"/>
          </w:tcPr>
          <w:p>
            <w:pPr>
              <w:spacing w:line="240" w:lineRule="auto"/>
              <w:ind w:firstLine="0" w:firstLineChars="0"/>
              <w:jc w:val="center"/>
              <w:rPr>
                <w:sz w:val="21"/>
                <w:szCs w:val="21"/>
                <w:highlight w:val="none"/>
              </w:rPr>
            </w:pPr>
            <w:r>
              <w:rPr>
                <w:sz w:val="21"/>
                <w:szCs w:val="21"/>
                <w:highlight w:val="none"/>
              </w:rPr>
              <w:t>3.33</w:t>
            </w:r>
          </w:p>
        </w:tc>
        <w:tc>
          <w:tcPr>
            <w:tcW w:w="828" w:type="dxa"/>
            <w:vAlign w:val="center"/>
          </w:tcPr>
          <w:p>
            <w:pPr>
              <w:spacing w:line="240" w:lineRule="auto"/>
              <w:ind w:firstLine="0" w:firstLineChars="0"/>
              <w:jc w:val="center"/>
              <w:rPr>
                <w:sz w:val="21"/>
                <w:szCs w:val="21"/>
                <w:highlight w:val="none"/>
              </w:rPr>
            </w:pPr>
            <w:r>
              <w:rPr>
                <w:sz w:val="21"/>
                <w:szCs w:val="21"/>
                <w:highlight w:val="none"/>
              </w:rPr>
              <w:t>3.19</w:t>
            </w:r>
          </w:p>
        </w:tc>
        <w:tc>
          <w:tcPr>
            <w:tcW w:w="780" w:type="dxa"/>
            <w:vAlign w:val="center"/>
          </w:tcPr>
          <w:p>
            <w:pPr>
              <w:spacing w:line="240" w:lineRule="auto"/>
              <w:ind w:firstLine="0" w:firstLineChars="0"/>
              <w:jc w:val="center"/>
              <w:rPr>
                <w:sz w:val="21"/>
                <w:szCs w:val="21"/>
                <w:highlight w:val="none"/>
              </w:rPr>
            </w:pPr>
            <w:r>
              <w:rPr>
                <w:sz w:val="21"/>
                <w:szCs w:val="21"/>
                <w:highlight w:val="none"/>
              </w:rPr>
              <w:t>2.92</w:t>
            </w:r>
          </w:p>
        </w:tc>
        <w:tc>
          <w:tcPr>
            <w:tcW w:w="703" w:type="dxa"/>
            <w:vAlign w:val="center"/>
          </w:tcPr>
          <w:p>
            <w:pPr>
              <w:spacing w:line="240" w:lineRule="auto"/>
              <w:ind w:firstLine="0" w:firstLineChars="0"/>
              <w:jc w:val="center"/>
              <w:rPr>
                <w:sz w:val="21"/>
                <w:szCs w:val="21"/>
                <w:highlight w:val="none"/>
              </w:rPr>
            </w:pPr>
            <w:r>
              <w:rPr>
                <w:sz w:val="21"/>
                <w:szCs w:val="21"/>
                <w:highlight w:val="none"/>
              </w:rPr>
              <w:t>5</w:t>
            </w:r>
          </w:p>
        </w:tc>
        <w:tc>
          <w:tcPr>
            <w:tcW w:w="879" w:type="dxa"/>
            <w:vAlign w:val="center"/>
          </w:tcPr>
          <w:p>
            <w:pPr>
              <w:spacing w:line="240" w:lineRule="auto"/>
              <w:ind w:firstLine="0" w:firstLineChars="0"/>
              <w:jc w:val="center"/>
              <w:rPr>
                <w:sz w:val="21"/>
                <w:szCs w:val="21"/>
                <w:highlight w:val="none"/>
              </w:rPr>
            </w:pPr>
            <w:r>
              <w:rPr>
                <w:sz w:val="21"/>
                <w:szCs w:val="21"/>
                <w:highlight w:val="none"/>
              </w:rPr>
              <w:t>8.75</w:t>
            </w:r>
          </w:p>
        </w:tc>
        <w:tc>
          <w:tcPr>
            <w:tcW w:w="703" w:type="dxa"/>
            <w:vAlign w:val="center"/>
          </w:tcPr>
          <w:p>
            <w:pPr>
              <w:spacing w:line="240" w:lineRule="auto"/>
              <w:ind w:firstLine="0" w:firstLineChars="0"/>
              <w:jc w:val="center"/>
              <w:rPr>
                <w:sz w:val="21"/>
                <w:szCs w:val="21"/>
                <w:highlight w:val="none"/>
              </w:rPr>
            </w:pPr>
            <w:r>
              <w:rPr>
                <w:sz w:val="21"/>
                <w:szCs w:val="21"/>
                <w:highlight w:val="none"/>
              </w:rPr>
              <w:t>5.28</w:t>
            </w:r>
          </w:p>
        </w:tc>
        <w:tc>
          <w:tcPr>
            <w:tcW w:w="921" w:type="dxa"/>
            <w:vAlign w:val="center"/>
          </w:tcPr>
          <w:p>
            <w:pPr>
              <w:spacing w:line="240" w:lineRule="auto"/>
              <w:ind w:firstLine="0" w:firstLineChars="0"/>
              <w:jc w:val="center"/>
              <w:rPr>
                <w:sz w:val="21"/>
                <w:szCs w:val="21"/>
                <w:highlight w:val="none"/>
              </w:rPr>
            </w:pPr>
            <w:r>
              <w:rPr>
                <w:sz w:val="21"/>
                <w:szCs w:val="21"/>
                <w:highlight w:val="none"/>
              </w:rPr>
              <w:t>3.19</w:t>
            </w:r>
          </w:p>
        </w:tc>
        <w:tc>
          <w:tcPr>
            <w:tcW w:w="828" w:type="dxa"/>
            <w:vAlign w:val="center"/>
          </w:tcPr>
          <w:p>
            <w:pPr>
              <w:spacing w:line="240" w:lineRule="auto"/>
              <w:ind w:firstLine="0" w:firstLineChars="0"/>
              <w:jc w:val="center"/>
              <w:rPr>
                <w:sz w:val="21"/>
                <w:szCs w:val="21"/>
                <w:highlight w:val="none"/>
              </w:rPr>
            </w:pPr>
            <w:r>
              <w:rPr>
                <w:sz w:val="21"/>
                <w:szCs w:val="21"/>
                <w:highlight w:val="none"/>
              </w:rPr>
              <w:t>3.61</w:t>
            </w:r>
          </w:p>
        </w:tc>
        <w:tc>
          <w:tcPr>
            <w:tcW w:w="865" w:type="dxa"/>
            <w:vAlign w:val="center"/>
          </w:tcPr>
          <w:p>
            <w:pPr>
              <w:spacing w:line="240" w:lineRule="auto"/>
              <w:ind w:firstLine="0" w:firstLineChars="0"/>
              <w:jc w:val="center"/>
              <w:rPr>
                <w:sz w:val="21"/>
                <w:szCs w:val="21"/>
                <w:highlight w:val="none"/>
              </w:rPr>
            </w:pPr>
            <w:r>
              <w:rPr>
                <w:sz w:val="21"/>
                <w:szCs w:val="21"/>
                <w:highlight w:val="none"/>
              </w:rPr>
              <w:t>3.75</w:t>
            </w:r>
          </w:p>
        </w:tc>
        <w:tc>
          <w:tcPr>
            <w:tcW w:w="828" w:type="dxa"/>
            <w:vAlign w:val="center"/>
          </w:tcPr>
          <w:p>
            <w:pPr>
              <w:spacing w:line="240" w:lineRule="auto"/>
              <w:ind w:firstLine="0" w:firstLineChars="0"/>
              <w:jc w:val="center"/>
              <w:rPr>
                <w:sz w:val="21"/>
                <w:szCs w:val="21"/>
                <w:highlight w:val="none"/>
              </w:rPr>
            </w:pPr>
            <w:r>
              <w:rPr>
                <w:sz w:val="21"/>
                <w:szCs w:val="21"/>
                <w:highlight w:val="none"/>
              </w:rPr>
              <w:t>5.42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10月</w:t>
            </w:r>
          </w:p>
        </w:tc>
        <w:tc>
          <w:tcPr>
            <w:tcW w:w="829" w:type="dxa"/>
            <w:vAlign w:val="center"/>
          </w:tcPr>
          <w:p>
            <w:pPr>
              <w:spacing w:line="240" w:lineRule="auto"/>
              <w:ind w:firstLine="0" w:firstLineChars="0"/>
              <w:jc w:val="center"/>
              <w:rPr>
                <w:sz w:val="21"/>
                <w:szCs w:val="21"/>
                <w:highlight w:val="none"/>
              </w:rPr>
            </w:pPr>
            <w:r>
              <w:rPr>
                <w:sz w:val="21"/>
                <w:szCs w:val="21"/>
                <w:highlight w:val="none"/>
              </w:rPr>
              <w:t>6.59</w:t>
            </w:r>
          </w:p>
        </w:tc>
        <w:tc>
          <w:tcPr>
            <w:tcW w:w="718" w:type="dxa"/>
            <w:vAlign w:val="center"/>
          </w:tcPr>
          <w:p>
            <w:pPr>
              <w:spacing w:line="240" w:lineRule="auto"/>
              <w:ind w:firstLine="0" w:firstLineChars="0"/>
              <w:jc w:val="center"/>
              <w:rPr>
                <w:sz w:val="21"/>
                <w:szCs w:val="21"/>
                <w:highlight w:val="none"/>
              </w:rPr>
            </w:pPr>
            <w:r>
              <w:rPr>
                <w:sz w:val="21"/>
                <w:szCs w:val="21"/>
                <w:highlight w:val="none"/>
              </w:rPr>
              <w:t>8.87</w:t>
            </w:r>
          </w:p>
        </w:tc>
        <w:tc>
          <w:tcPr>
            <w:tcW w:w="769" w:type="dxa"/>
            <w:vAlign w:val="center"/>
          </w:tcPr>
          <w:p>
            <w:pPr>
              <w:spacing w:line="240" w:lineRule="auto"/>
              <w:ind w:firstLine="0" w:firstLineChars="0"/>
              <w:jc w:val="center"/>
              <w:rPr>
                <w:sz w:val="21"/>
                <w:szCs w:val="21"/>
                <w:highlight w:val="none"/>
              </w:rPr>
            </w:pPr>
            <w:r>
              <w:rPr>
                <w:sz w:val="21"/>
                <w:szCs w:val="21"/>
                <w:highlight w:val="none"/>
              </w:rPr>
              <w:t>10.75</w:t>
            </w:r>
          </w:p>
        </w:tc>
        <w:tc>
          <w:tcPr>
            <w:tcW w:w="751" w:type="dxa"/>
            <w:vAlign w:val="center"/>
          </w:tcPr>
          <w:p>
            <w:pPr>
              <w:spacing w:line="240" w:lineRule="auto"/>
              <w:ind w:firstLine="0" w:firstLineChars="0"/>
              <w:jc w:val="center"/>
              <w:rPr>
                <w:sz w:val="21"/>
                <w:szCs w:val="21"/>
                <w:highlight w:val="none"/>
              </w:rPr>
            </w:pPr>
            <w:r>
              <w:rPr>
                <w:sz w:val="21"/>
                <w:szCs w:val="21"/>
                <w:highlight w:val="none"/>
              </w:rPr>
              <w:t>10.62</w:t>
            </w:r>
          </w:p>
        </w:tc>
        <w:tc>
          <w:tcPr>
            <w:tcW w:w="703" w:type="dxa"/>
            <w:vAlign w:val="center"/>
          </w:tcPr>
          <w:p>
            <w:pPr>
              <w:spacing w:line="240" w:lineRule="auto"/>
              <w:ind w:firstLine="0" w:firstLineChars="0"/>
              <w:jc w:val="center"/>
              <w:rPr>
                <w:sz w:val="21"/>
                <w:szCs w:val="21"/>
                <w:highlight w:val="none"/>
              </w:rPr>
            </w:pPr>
            <w:r>
              <w:rPr>
                <w:sz w:val="21"/>
                <w:szCs w:val="21"/>
                <w:highlight w:val="none"/>
              </w:rPr>
              <w:t>6.72</w:t>
            </w:r>
          </w:p>
        </w:tc>
        <w:tc>
          <w:tcPr>
            <w:tcW w:w="709" w:type="dxa"/>
            <w:vAlign w:val="center"/>
          </w:tcPr>
          <w:p>
            <w:pPr>
              <w:spacing w:line="240" w:lineRule="auto"/>
              <w:ind w:firstLine="0" w:firstLineChars="0"/>
              <w:jc w:val="center"/>
              <w:rPr>
                <w:sz w:val="21"/>
                <w:szCs w:val="21"/>
                <w:highlight w:val="none"/>
              </w:rPr>
            </w:pPr>
            <w:r>
              <w:rPr>
                <w:sz w:val="21"/>
                <w:szCs w:val="21"/>
                <w:highlight w:val="none"/>
              </w:rPr>
              <w:t>6.72</w:t>
            </w:r>
          </w:p>
        </w:tc>
        <w:tc>
          <w:tcPr>
            <w:tcW w:w="828" w:type="dxa"/>
            <w:vAlign w:val="center"/>
          </w:tcPr>
          <w:p>
            <w:pPr>
              <w:spacing w:line="240" w:lineRule="auto"/>
              <w:ind w:firstLine="0" w:firstLineChars="0"/>
              <w:jc w:val="center"/>
              <w:rPr>
                <w:sz w:val="21"/>
                <w:szCs w:val="21"/>
                <w:highlight w:val="none"/>
              </w:rPr>
            </w:pPr>
            <w:r>
              <w:rPr>
                <w:sz w:val="21"/>
                <w:szCs w:val="21"/>
                <w:highlight w:val="none"/>
              </w:rPr>
              <w:t>5.38</w:t>
            </w:r>
          </w:p>
        </w:tc>
        <w:tc>
          <w:tcPr>
            <w:tcW w:w="703" w:type="dxa"/>
            <w:vAlign w:val="center"/>
          </w:tcPr>
          <w:p>
            <w:pPr>
              <w:spacing w:line="240" w:lineRule="auto"/>
              <w:ind w:firstLine="0" w:firstLineChars="0"/>
              <w:jc w:val="center"/>
              <w:rPr>
                <w:sz w:val="21"/>
                <w:szCs w:val="21"/>
                <w:highlight w:val="none"/>
              </w:rPr>
            </w:pPr>
            <w:r>
              <w:rPr>
                <w:sz w:val="21"/>
                <w:szCs w:val="21"/>
                <w:highlight w:val="none"/>
              </w:rPr>
              <w:t>2.96</w:t>
            </w:r>
          </w:p>
        </w:tc>
        <w:tc>
          <w:tcPr>
            <w:tcW w:w="828" w:type="dxa"/>
            <w:vAlign w:val="center"/>
          </w:tcPr>
          <w:p>
            <w:pPr>
              <w:spacing w:line="240" w:lineRule="auto"/>
              <w:ind w:firstLine="0" w:firstLineChars="0"/>
              <w:jc w:val="center"/>
              <w:rPr>
                <w:sz w:val="21"/>
                <w:szCs w:val="21"/>
                <w:highlight w:val="none"/>
              </w:rPr>
            </w:pPr>
            <w:r>
              <w:rPr>
                <w:sz w:val="21"/>
                <w:szCs w:val="21"/>
                <w:highlight w:val="none"/>
              </w:rPr>
              <w:t>1.75</w:t>
            </w:r>
          </w:p>
        </w:tc>
        <w:tc>
          <w:tcPr>
            <w:tcW w:w="780" w:type="dxa"/>
            <w:vAlign w:val="center"/>
          </w:tcPr>
          <w:p>
            <w:pPr>
              <w:spacing w:line="240" w:lineRule="auto"/>
              <w:ind w:firstLine="0" w:firstLineChars="0"/>
              <w:jc w:val="center"/>
              <w:rPr>
                <w:sz w:val="21"/>
                <w:szCs w:val="21"/>
                <w:highlight w:val="none"/>
              </w:rPr>
            </w:pPr>
            <w:r>
              <w:rPr>
                <w:sz w:val="21"/>
                <w:szCs w:val="21"/>
                <w:highlight w:val="none"/>
              </w:rPr>
              <w:t>3.36</w:t>
            </w:r>
          </w:p>
        </w:tc>
        <w:tc>
          <w:tcPr>
            <w:tcW w:w="703" w:type="dxa"/>
            <w:vAlign w:val="center"/>
          </w:tcPr>
          <w:p>
            <w:pPr>
              <w:spacing w:line="240" w:lineRule="auto"/>
              <w:ind w:firstLine="0" w:firstLineChars="0"/>
              <w:jc w:val="center"/>
              <w:rPr>
                <w:sz w:val="21"/>
                <w:szCs w:val="21"/>
                <w:highlight w:val="none"/>
              </w:rPr>
            </w:pPr>
            <w:r>
              <w:rPr>
                <w:sz w:val="21"/>
                <w:szCs w:val="21"/>
                <w:highlight w:val="none"/>
              </w:rPr>
              <w:t>4.84</w:t>
            </w:r>
          </w:p>
        </w:tc>
        <w:tc>
          <w:tcPr>
            <w:tcW w:w="879" w:type="dxa"/>
            <w:vAlign w:val="center"/>
          </w:tcPr>
          <w:p>
            <w:pPr>
              <w:spacing w:line="240" w:lineRule="auto"/>
              <w:ind w:firstLine="0" w:firstLineChars="0"/>
              <w:jc w:val="center"/>
              <w:rPr>
                <w:sz w:val="21"/>
                <w:szCs w:val="21"/>
                <w:highlight w:val="none"/>
              </w:rPr>
            </w:pPr>
            <w:r>
              <w:rPr>
                <w:sz w:val="21"/>
                <w:szCs w:val="21"/>
                <w:highlight w:val="none"/>
              </w:rPr>
              <w:t>6.45</w:t>
            </w:r>
          </w:p>
        </w:tc>
        <w:tc>
          <w:tcPr>
            <w:tcW w:w="703" w:type="dxa"/>
            <w:vAlign w:val="center"/>
          </w:tcPr>
          <w:p>
            <w:pPr>
              <w:spacing w:line="240" w:lineRule="auto"/>
              <w:ind w:firstLine="0" w:firstLineChars="0"/>
              <w:jc w:val="center"/>
              <w:rPr>
                <w:sz w:val="21"/>
                <w:szCs w:val="21"/>
                <w:highlight w:val="none"/>
              </w:rPr>
            </w:pPr>
            <w:r>
              <w:rPr>
                <w:sz w:val="21"/>
                <w:szCs w:val="21"/>
                <w:highlight w:val="none"/>
              </w:rPr>
              <w:t>7.12</w:t>
            </w:r>
          </w:p>
        </w:tc>
        <w:tc>
          <w:tcPr>
            <w:tcW w:w="921" w:type="dxa"/>
            <w:vAlign w:val="center"/>
          </w:tcPr>
          <w:p>
            <w:pPr>
              <w:spacing w:line="240" w:lineRule="auto"/>
              <w:ind w:firstLine="0" w:firstLineChars="0"/>
              <w:jc w:val="center"/>
              <w:rPr>
                <w:sz w:val="21"/>
                <w:szCs w:val="21"/>
                <w:highlight w:val="none"/>
              </w:rPr>
            </w:pPr>
            <w:r>
              <w:rPr>
                <w:sz w:val="21"/>
                <w:szCs w:val="21"/>
                <w:highlight w:val="none"/>
              </w:rPr>
              <w:t>4.3</w:t>
            </w:r>
          </w:p>
        </w:tc>
        <w:tc>
          <w:tcPr>
            <w:tcW w:w="828" w:type="dxa"/>
            <w:vAlign w:val="center"/>
          </w:tcPr>
          <w:p>
            <w:pPr>
              <w:spacing w:line="240" w:lineRule="auto"/>
              <w:ind w:firstLine="0" w:firstLineChars="0"/>
              <w:jc w:val="center"/>
              <w:rPr>
                <w:sz w:val="21"/>
                <w:szCs w:val="21"/>
                <w:highlight w:val="none"/>
              </w:rPr>
            </w:pPr>
            <w:r>
              <w:rPr>
                <w:sz w:val="21"/>
                <w:szCs w:val="21"/>
                <w:highlight w:val="none"/>
              </w:rPr>
              <w:t>2.28</w:t>
            </w:r>
          </w:p>
        </w:tc>
        <w:tc>
          <w:tcPr>
            <w:tcW w:w="865" w:type="dxa"/>
            <w:vAlign w:val="center"/>
          </w:tcPr>
          <w:p>
            <w:pPr>
              <w:spacing w:line="240" w:lineRule="auto"/>
              <w:ind w:firstLine="0" w:firstLineChars="0"/>
              <w:jc w:val="center"/>
              <w:rPr>
                <w:sz w:val="21"/>
                <w:szCs w:val="21"/>
                <w:highlight w:val="none"/>
              </w:rPr>
            </w:pPr>
            <w:r>
              <w:rPr>
                <w:sz w:val="21"/>
                <w:szCs w:val="21"/>
                <w:highlight w:val="none"/>
              </w:rPr>
              <w:t>4.03</w:t>
            </w:r>
          </w:p>
        </w:tc>
        <w:tc>
          <w:tcPr>
            <w:tcW w:w="828" w:type="dxa"/>
            <w:vAlign w:val="center"/>
          </w:tcPr>
          <w:p>
            <w:pPr>
              <w:spacing w:line="240" w:lineRule="auto"/>
              <w:ind w:firstLine="0" w:firstLineChars="0"/>
              <w:jc w:val="center"/>
              <w:rPr>
                <w:sz w:val="21"/>
                <w:szCs w:val="21"/>
                <w:highlight w:val="none"/>
              </w:rPr>
            </w:pPr>
            <w:r>
              <w:rPr>
                <w:sz w:val="21"/>
                <w:szCs w:val="21"/>
                <w:highlight w:val="none"/>
              </w:rPr>
              <w:t>7.26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11月</w:t>
            </w:r>
          </w:p>
        </w:tc>
        <w:tc>
          <w:tcPr>
            <w:tcW w:w="829" w:type="dxa"/>
            <w:vAlign w:val="center"/>
          </w:tcPr>
          <w:p>
            <w:pPr>
              <w:spacing w:line="240" w:lineRule="auto"/>
              <w:ind w:firstLine="0" w:firstLineChars="0"/>
              <w:jc w:val="center"/>
              <w:rPr>
                <w:sz w:val="21"/>
                <w:szCs w:val="21"/>
                <w:highlight w:val="none"/>
              </w:rPr>
            </w:pPr>
            <w:r>
              <w:rPr>
                <w:sz w:val="21"/>
                <w:szCs w:val="21"/>
                <w:highlight w:val="none"/>
              </w:rPr>
              <w:t>6.94</w:t>
            </w:r>
          </w:p>
        </w:tc>
        <w:tc>
          <w:tcPr>
            <w:tcW w:w="718" w:type="dxa"/>
            <w:vAlign w:val="center"/>
          </w:tcPr>
          <w:p>
            <w:pPr>
              <w:spacing w:line="240" w:lineRule="auto"/>
              <w:ind w:firstLine="0" w:firstLineChars="0"/>
              <w:jc w:val="center"/>
              <w:rPr>
                <w:sz w:val="21"/>
                <w:szCs w:val="21"/>
                <w:highlight w:val="none"/>
              </w:rPr>
            </w:pPr>
            <w:r>
              <w:rPr>
                <w:sz w:val="21"/>
                <w:szCs w:val="21"/>
                <w:highlight w:val="none"/>
              </w:rPr>
              <w:t>12.36</w:t>
            </w:r>
          </w:p>
        </w:tc>
        <w:tc>
          <w:tcPr>
            <w:tcW w:w="769" w:type="dxa"/>
            <w:vAlign w:val="center"/>
          </w:tcPr>
          <w:p>
            <w:pPr>
              <w:spacing w:line="240" w:lineRule="auto"/>
              <w:ind w:firstLine="0" w:firstLineChars="0"/>
              <w:jc w:val="center"/>
              <w:rPr>
                <w:sz w:val="21"/>
                <w:szCs w:val="21"/>
                <w:highlight w:val="none"/>
              </w:rPr>
            </w:pPr>
            <w:r>
              <w:rPr>
                <w:sz w:val="21"/>
                <w:szCs w:val="21"/>
                <w:highlight w:val="none"/>
              </w:rPr>
              <w:t>9.58</w:t>
            </w:r>
          </w:p>
        </w:tc>
        <w:tc>
          <w:tcPr>
            <w:tcW w:w="751" w:type="dxa"/>
            <w:vAlign w:val="center"/>
          </w:tcPr>
          <w:p>
            <w:pPr>
              <w:spacing w:line="240" w:lineRule="auto"/>
              <w:ind w:firstLine="0" w:firstLineChars="0"/>
              <w:jc w:val="center"/>
              <w:rPr>
                <w:sz w:val="21"/>
                <w:szCs w:val="21"/>
                <w:highlight w:val="none"/>
              </w:rPr>
            </w:pPr>
            <w:r>
              <w:rPr>
                <w:sz w:val="21"/>
                <w:szCs w:val="21"/>
                <w:highlight w:val="none"/>
              </w:rPr>
              <w:t>6.67</w:t>
            </w:r>
          </w:p>
        </w:tc>
        <w:tc>
          <w:tcPr>
            <w:tcW w:w="703" w:type="dxa"/>
            <w:vAlign w:val="center"/>
          </w:tcPr>
          <w:p>
            <w:pPr>
              <w:spacing w:line="240" w:lineRule="auto"/>
              <w:ind w:firstLine="0" w:firstLineChars="0"/>
              <w:jc w:val="center"/>
              <w:rPr>
                <w:sz w:val="21"/>
                <w:szCs w:val="21"/>
                <w:highlight w:val="none"/>
              </w:rPr>
            </w:pPr>
            <w:r>
              <w:rPr>
                <w:sz w:val="21"/>
                <w:szCs w:val="21"/>
                <w:highlight w:val="none"/>
              </w:rPr>
              <w:t>8.89</w:t>
            </w:r>
          </w:p>
        </w:tc>
        <w:tc>
          <w:tcPr>
            <w:tcW w:w="709" w:type="dxa"/>
            <w:vAlign w:val="center"/>
          </w:tcPr>
          <w:p>
            <w:pPr>
              <w:spacing w:line="240" w:lineRule="auto"/>
              <w:ind w:firstLine="0" w:firstLineChars="0"/>
              <w:jc w:val="center"/>
              <w:rPr>
                <w:sz w:val="21"/>
                <w:szCs w:val="21"/>
                <w:highlight w:val="none"/>
              </w:rPr>
            </w:pPr>
            <w:r>
              <w:rPr>
                <w:sz w:val="21"/>
                <w:szCs w:val="21"/>
                <w:highlight w:val="none"/>
              </w:rPr>
              <w:t>6.81</w:t>
            </w:r>
          </w:p>
        </w:tc>
        <w:tc>
          <w:tcPr>
            <w:tcW w:w="828" w:type="dxa"/>
            <w:vAlign w:val="center"/>
          </w:tcPr>
          <w:p>
            <w:pPr>
              <w:spacing w:line="240" w:lineRule="auto"/>
              <w:ind w:firstLine="0" w:firstLineChars="0"/>
              <w:jc w:val="center"/>
              <w:rPr>
                <w:sz w:val="21"/>
                <w:szCs w:val="21"/>
                <w:highlight w:val="none"/>
              </w:rPr>
            </w:pPr>
            <w:r>
              <w:rPr>
                <w:sz w:val="21"/>
                <w:szCs w:val="21"/>
                <w:highlight w:val="none"/>
              </w:rPr>
              <w:t>3.33</w:t>
            </w:r>
          </w:p>
        </w:tc>
        <w:tc>
          <w:tcPr>
            <w:tcW w:w="703" w:type="dxa"/>
            <w:vAlign w:val="center"/>
          </w:tcPr>
          <w:p>
            <w:pPr>
              <w:spacing w:line="240" w:lineRule="auto"/>
              <w:ind w:firstLine="0" w:firstLineChars="0"/>
              <w:jc w:val="center"/>
              <w:rPr>
                <w:sz w:val="21"/>
                <w:szCs w:val="21"/>
                <w:highlight w:val="none"/>
              </w:rPr>
            </w:pPr>
            <w:r>
              <w:rPr>
                <w:sz w:val="21"/>
                <w:szCs w:val="21"/>
                <w:highlight w:val="none"/>
              </w:rPr>
              <w:t>4.31</w:t>
            </w:r>
          </w:p>
        </w:tc>
        <w:tc>
          <w:tcPr>
            <w:tcW w:w="828" w:type="dxa"/>
            <w:vAlign w:val="center"/>
          </w:tcPr>
          <w:p>
            <w:pPr>
              <w:spacing w:line="240" w:lineRule="auto"/>
              <w:ind w:firstLine="0" w:firstLineChars="0"/>
              <w:jc w:val="center"/>
              <w:rPr>
                <w:sz w:val="21"/>
                <w:szCs w:val="21"/>
                <w:highlight w:val="none"/>
              </w:rPr>
            </w:pPr>
            <w:r>
              <w:rPr>
                <w:sz w:val="21"/>
                <w:szCs w:val="21"/>
                <w:highlight w:val="none"/>
              </w:rPr>
              <w:t>1.39</w:t>
            </w:r>
          </w:p>
        </w:tc>
        <w:tc>
          <w:tcPr>
            <w:tcW w:w="780" w:type="dxa"/>
            <w:vAlign w:val="center"/>
          </w:tcPr>
          <w:p>
            <w:pPr>
              <w:spacing w:line="240" w:lineRule="auto"/>
              <w:ind w:firstLine="0" w:firstLineChars="0"/>
              <w:jc w:val="center"/>
              <w:rPr>
                <w:sz w:val="21"/>
                <w:szCs w:val="21"/>
                <w:highlight w:val="none"/>
              </w:rPr>
            </w:pPr>
            <w:r>
              <w:rPr>
                <w:sz w:val="21"/>
                <w:szCs w:val="21"/>
                <w:highlight w:val="none"/>
              </w:rPr>
              <w:t>3.06</w:t>
            </w:r>
          </w:p>
        </w:tc>
        <w:tc>
          <w:tcPr>
            <w:tcW w:w="703" w:type="dxa"/>
            <w:vAlign w:val="center"/>
          </w:tcPr>
          <w:p>
            <w:pPr>
              <w:spacing w:line="240" w:lineRule="auto"/>
              <w:ind w:firstLine="0" w:firstLineChars="0"/>
              <w:jc w:val="center"/>
              <w:rPr>
                <w:sz w:val="21"/>
                <w:szCs w:val="21"/>
                <w:highlight w:val="none"/>
              </w:rPr>
            </w:pPr>
            <w:r>
              <w:rPr>
                <w:sz w:val="21"/>
                <w:szCs w:val="21"/>
                <w:highlight w:val="none"/>
              </w:rPr>
              <w:t>3.33</w:t>
            </w:r>
          </w:p>
        </w:tc>
        <w:tc>
          <w:tcPr>
            <w:tcW w:w="879" w:type="dxa"/>
            <w:vAlign w:val="center"/>
          </w:tcPr>
          <w:p>
            <w:pPr>
              <w:spacing w:line="240" w:lineRule="auto"/>
              <w:ind w:firstLine="0" w:firstLineChars="0"/>
              <w:jc w:val="center"/>
              <w:rPr>
                <w:sz w:val="21"/>
                <w:szCs w:val="21"/>
                <w:highlight w:val="none"/>
              </w:rPr>
            </w:pPr>
            <w:r>
              <w:rPr>
                <w:sz w:val="21"/>
                <w:szCs w:val="21"/>
                <w:highlight w:val="none"/>
              </w:rPr>
              <w:t>7.08</w:t>
            </w:r>
          </w:p>
        </w:tc>
        <w:tc>
          <w:tcPr>
            <w:tcW w:w="703" w:type="dxa"/>
            <w:vAlign w:val="center"/>
          </w:tcPr>
          <w:p>
            <w:pPr>
              <w:spacing w:line="240" w:lineRule="auto"/>
              <w:ind w:firstLine="0" w:firstLineChars="0"/>
              <w:jc w:val="center"/>
              <w:rPr>
                <w:sz w:val="21"/>
                <w:szCs w:val="21"/>
                <w:highlight w:val="none"/>
              </w:rPr>
            </w:pPr>
            <w:r>
              <w:rPr>
                <w:sz w:val="21"/>
                <w:szCs w:val="21"/>
                <w:highlight w:val="none"/>
              </w:rPr>
              <w:t>5.42</w:t>
            </w:r>
          </w:p>
        </w:tc>
        <w:tc>
          <w:tcPr>
            <w:tcW w:w="921" w:type="dxa"/>
            <w:vAlign w:val="center"/>
          </w:tcPr>
          <w:p>
            <w:pPr>
              <w:spacing w:line="240" w:lineRule="auto"/>
              <w:ind w:firstLine="0" w:firstLineChars="0"/>
              <w:jc w:val="center"/>
              <w:rPr>
                <w:sz w:val="21"/>
                <w:szCs w:val="21"/>
                <w:highlight w:val="none"/>
              </w:rPr>
            </w:pPr>
            <w:r>
              <w:rPr>
                <w:sz w:val="21"/>
                <w:szCs w:val="21"/>
                <w:highlight w:val="none"/>
              </w:rPr>
              <w:t>5.42</w:t>
            </w:r>
          </w:p>
        </w:tc>
        <w:tc>
          <w:tcPr>
            <w:tcW w:w="828" w:type="dxa"/>
            <w:vAlign w:val="center"/>
          </w:tcPr>
          <w:p>
            <w:pPr>
              <w:spacing w:line="240" w:lineRule="auto"/>
              <w:ind w:firstLine="0" w:firstLineChars="0"/>
              <w:jc w:val="center"/>
              <w:rPr>
                <w:sz w:val="21"/>
                <w:szCs w:val="21"/>
                <w:highlight w:val="none"/>
              </w:rPr>
            </w:pPr>
            <w:r>
              <w:rPr>
                <w:sz w:val="21"/>
                <w:szCs w:val="21"/>
                <w:highlight w:val="none"/>
              </w:rPr>
              <w:t>4.86</w:t>
            </w:r>
          </w:p>
        </w:tc>
        <w:tc>
          <w:tcPr>
            <w:tcW w:w="865" w:type="dxa"/>
            <w:vAlign w:val="center"/>
          </w:tcPr>
          <w:p>
            <w:pPr>
              <w:spacing w:line="240" w:lineRule="auto"/>
              <w:ind w:firstLine="0" w:firstLineChars="0"/>
              <w:jc w:val="center"/>
              <w:rPr>
                <w:sz w:val="21"/>
                <w:szCs w:val="21"/>
                <w:highlight w:val="none"/>
              </w:rPr>
            </w:pPr>
            <w:r>
              <w:rPr>
                <w:sz w:val="21"/>
                <w:szCs w:val="21"/>
                <w:highlight w:val="none"/>
              </w:rPr>
              <w:t>5</w:t>
            </w:r>
          </w:p>
        </w:tc>
        <w:tc>
          <w:tcPr>
            <w:tcW w:w="828" w:type="dxa"/>
            <w:vAlign w:val="center"/>
          </w:tcPr>
          <w:p>
            <w:pPr>
              <w:spacing w:line="240" w:lineRule="auto"/>
              <w:ind w:firstLine="0" w:firstLineChars="0"/>
              <w:jc w:val="center"/>
              <w:rPr>
                <w:sz w:val="21"/>
                <w:szCs w:val="21"/>
                <w:highlight w:val="none"/>
              </w:rPr>
            </w:pPr>
            <w:r>
              <w:rPr>
                <w:sz w:val="21"/>
                <w:szCs w:val="21"/>
                <w:highlight w:val="none"/>
              </w:rPr>
              <w:t>5.56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12月</w:t>
            </w:r>
          </w:p>
        </w:tc>
        <w:tc>
          <w:tcPr>
            <w:tcW w:w="829" w:type="dxa"/>
            <w:vAlign w:val="center"/>
          </w:tcPr>
          <w:p>
            <w:pPr>
              <w:spacing w:line="240" w:lineRule="auto"/>
              <w:ind w:firstLine="0" w:firstLineChars="0"/>
              <w:jc w:val="center"/>
              <w:rPr>
                <w:sz w:val="21"/>
                <w:szCs w:val="21"/>
                <w:highlight w:val="none"/>
              </w:rPr>
            </w:pPr>
            <w:r>
              <w:rPr>
                <w:sz w:val="21"/>
                <w:szCs w:val="21"/>
                <w:highlight w:val="none"/>
              </w:rPr>
              <w:t>8.2</w:t>
            </w:r>
          </w:p>
        </w:tc>
        <w:tc>
          <w:tcPr>
            <w:tcW w:w="718" w:type="dxa"/>
            <w:vAlign w:val="center"/>
          </w:tcPr>
          <w:p>
            <w:pPr>
              <w:spacing w:line="240" w:lineRule="auto"/>
              <w:ind w:firstLine="0" w:firstLineChars="0"/>
              <w:jc w:val="center"/>
              <w:rPr>
                <w:sz w:val="21"/>
                <w:szCs w:val="21"/>
                <w:highlight w:val="none"/>
              </w:rPr>
            </w:pPr>
            <w:r>
              <w:rPr>
                <w:sz w:val="21"/>
                <w:szCs w:val="21"/>
                <w:highlight w:val="none"/>
              </w:rPr>
              <w:t>9.95</w:t>
            </w:r>
          </w:p>
        </w:tc>
        <w:tc>
          <w:tcPr>
            <w:tcW w:w="769" w:type="dxa"/>
            <w:vAlign w:val="center"/>
          </w:tcPr>
          <w:p>
            <w:pPr>
              <w:spacing w:line="240" w:lineRule="auto"/>
              <w:ind w:firstLine="0" w:firstLineChars="0"/>
              <w:jc w:val="center"/>
              <w:rPr>
                <w:sz w:val="21"/>
                <w:szCs w:val="21"/>
                <w:highlight w:val="none"/>
              </w:rPr>
            </w:pPr>
            <w:r>
              <w:rPr>
                <w:sz w:val="21"/>
                <w:szCs w:val="21"/>
                <w:highlight w:val="none"/>
              </w:rPr>
              <w:t>9.95</w:t>
            </w:r>
          </w:p>
        </w:tc>
        <w:tc>
          <w:tcPr>
            <w:tcW w:w="751" w:type="dxa"/>
            <w:vAlign w:val="center"/>
          </w:tcPr>
          <w:p>
            <w:pPr>
              <w:spacing w:line="240" w:lineRule="auto"/>
              <w:ind w:firstLine="0" w:firstLineChars="0"/>
              <w:jc w:val="center"/>
              <w:rPr>
                <w:sz w:val="21"/>
                <w:szCs w:val="21"/>
                <w:highlight w:val="none"/>
              </w:rPr>
            </w:pPr>
            <w:r>
              <w:rPr>
                <w:sz w:val="21"/>
                <w:szCs w:val="21"/>
                <w:highlight w:val="none"/>
              </w:rPr>
              <w:t>6.72</w:t>
            </w:r>
          </w:p>
        </w:tc>
        <w:tc>
          <w:tcPr>
            <w:tcW w:w="703" w:type="dxa"/>
            <w:vAlign w:val="center"/>
          </w:tcPr>
          <w:p>
            <w:pPr>
              <w:spacing w:line="240" w:lineRule="auto"/>
              <w:ind w:firstLine="0" w:firstLineChars="0"/>
              <w:jc w:val="center"/>
              <w:rPr>
                <w:sz w:val="21"/>
                <w:szCs w:val="21"/>
                <w:highlight w:val="none"/>
              </w:rPr>
            </w:pPr>
            <w:r>
              <w:rPr>
                <w:sz w:val="21"/>
                <w:szCs w:val="21"/>
                <w:highlight w:val="none"/>
              </w:rPr>
              <w:t>8.74</w:t>
            </w:r>
          </w:p>
        </w:tc>
        <w:tc>
          <w:tcPr>
            <w:tcW w:w="709" w:type="dxa"/>
            <w:vAlign w:val="center"/>
          </w:tcPr>
          <w:p>
            <w:pPr>
              <w:spacing w:line="240" w:lineRule="auto"/>
              <w:ind w:firstLine="0" w:firstLineChars="0"/>
              <w:jc w:val="center"/>
              <w:rPr>
                <w:sz w:val="21"/>
                <w:szCs w:val="21"/>
                <w:highlight w:val="none"/>
              </w:rPr>
            </w:pPr>
            <w:r>
              <w:rPr>
                <w:sz w:val="21"/>
                <w:szCs w:val="21"/>
                <w:highlight w:val="none"/>
              </w:rPr>
              <w:t>6.72</w:t>
            </w:r>
          </w:p>
        </w:tc>
        <w:tc>
          <w:tcPr>
            <w:tcW w:w="828" w:type="dxa"/>
            <w:vAlign w:val="center"/>
          </w:tcPr>
          <w:p>
            <w:pPr>
              <w:spacing w:line="240" w:lineRule="auto"/>
              <w:ind w:firstLine="0" w:firstLineChars="0"/>
              <w:jc w:val="center"/>
              <w:rPr>
                <w:sz w:val="21"/>
                <w:szCs w:val="21"/>
                <w:highlight w:val="none"/>
              </w:rPr>
            </w:pPr>
            <w:r>
              <w:rPr>
                <w:sz w:val="21"/>
                <w:szCs w:val="21"/>
                <w:highlight w:val="none"/>
              </w:rPr>
              <w:t>4.03</w:t>
            </w:r>
          </w:p>
        </w:tc>
        <w:tc>
          <w:tcPr>
            <w:tcW w:w="703" w:type="dxa"/>
            <w:vAlign w:val="center"/>
          </w:tcPr>
          <w:p>
            <w:pPr>
              <w:spacing w:line="240" w:lineRule="auto"/>
              <w:ind w:firstLine="0" w:firstLineChars="0"/>
              <w:jc w:val="center"/>
              <w:rPr>
                <w:sz w:val="21"/>
                <w:szCs w:val="21"/>
                <w:highlight w:val="none"/>
              </w:rPr>
            </w:pPr>
            <w:r>
              <w:rPr>
                <w:sz w:val="21"/>
                <w:szCs w:val="21"/>
                <w:highlight w:val="none"/>
              </w:rPr>
              <w:t>2.28</w:t>
            </w:r>
          </w:p>
        </w:tc>
        <w:tc>
          <w:tcPr>
            <w:tcW w:w="828" w:type="dxa"/>
            <w:vAlign w:val="center"/>
          </w:tcPr>
          <w:p>
            <w:pPr>
              <w:spacing w:line="240" w:lineRule="auto"/>
              <w:ind w:firstLine="0" w:firstLineChars="0"/>
              <w:jc w:val="center"/>
              <w:rPr>
                <w:sz w:val="21"/>
                <w:szCs w:val="21"/>
                <w:highlight w:val="none"/>
              </w:rPr>
            </w:pPr>
            <w:r>
              <w:rPr>
                <w:sz w:val="21"/>
                <w:szCs w:val="21"/>
                <w:highlight w:val="none"/>
              </w:rPr>
              <w:t>2.55</w:t>
            </w:r>
          </w:p>
        </w:tc>
        <w:tc>
          <w:tcPr>
            <w:tcW w:w="780" w:type="dxa"/>
            <w:vAlign w:val="center"/>
          </w:tcPr>
          <w:p>
            <w:pPr>
              <w:spacing w:line="240" w:lineRule="auto"/>
              <w:ind w:firstLine="0" w:firstLineChars="0"/>
              <w:jc w:val="center"/>
              <w:rPr>
                <w:sz w:val="21"/>
                <w:szCs w:val="21"/>
                <w:highlight w:val="none"/>
              </w:rPr>
            </w:pPr>
            <w:r>
              <w:rPr>
                <w:sz w:val="21"/>
                <w:szCs w:val="21"/>
                <w:highlight w:val="none"/>
              </w:rPr>
              <w:t>2.02</w:t>
            </w:r>
          </w:p>
        </w:tc>
        <w:tc>
          <w:tcPr>
            <w:tcW w:w="703" w:type="dxa"/>
            <w:vAlign w:val="center"/>
          </w:tcPr>
          <w:p>
            <w:pPr>
              <w:spacing w:line="240" w:lineRule="auto"/>
              <w:ind w:firstLine="0" w:firstLineChars="0"/>
              <w:jc w:val="center"/>
              <w:rPr>
                <w:sz w:val="21"/>
                <w:szCs w:val="21"/>
                <w:highlight w:val="none"/>
              </w:rPr>
            </w:pPr>
            <w:r>
              <w:rPr>
                <w:sz w:val="21"/>
                <w:szCs w:val="21"/>
                <w:highlight w:val="none"/>
              </w:rPr>
              <w:t>4.44</w:t>
            </w:r>
          </w:p>
        </w:tc>
        <w:tc>
          <w:tcPr>
            <w:tcW w:w="879" w:type="dxa"/>
            <w:vAlign w:val="center"/>
          </w:tcPr>
          <w:p>
            <w:pPr>
              <w:spacing w:line="240" w:lineRule="auto"/>
              <w:ind w:firstLine="0" w:firstLineChars="0"/>
              <w:jc w:val="center"/>
              <w:rPr>
                <w:sz w:val="21"/>
                <w:szCs w:val="21"/>
                <w:highlight w:val="none"/>
              </w:rPr>
            </w:pPr>
            <w:r>
              <w:rPr>
                <w:sz w:val="21"/>
                <w:szCs w:val="21"/>
                <w:highlight w:val="none"/>
              </w:rPr>
              <w:t>12.1</w:t>
            </w:r>
          </w:p>
        </w:tc>
        <w:tc>
          <w:tcPr>
            <w:tcW w:w="703" w:type="dxa"/>
            <w:vAlign w:val="center"/>
          </w:tcPr>
          <w:p>
            <w:pPr>
              <w:spacing w:line="240" w:lineRule="auto"/>
              <w:ind w:firstLine="0" w:firstLineChars="0"/>
              <w:jc w:val="center"/>
              <w:rPr>
                <w:sz w:val="21"/>
                <w:szCs w:val="21"/>
                <w:highlight w:val="none"/>
              </w:rPr>
            </w:pPr>
            <w:r>
              <w:rPr>
                <w:sz w:val="21"/>
                <w:szCs w:val="21"/>
                <w:highlight w:val="none"/>
              </w:rPr>
              <w:t>5.24</w:t>
            </w:r>
          </w:p>
        </w:tc>
        <w:tc>
          <w:tcPr>
            <w:tcW w:w="921" w:type="dxa"/>
            <w:vAlign w:val="center"/>
          </w:tcPr>
          <w:p>
            <w:pPr>
              <w:spacing w:line="240" w:lineRule="auto"/>
              <w:ind w:firstLine="0" w:firstLineChars="0"/>
              <w:jc w:val="center"/>
              <w:rPr>
                <w:sz w:val="21"/>
                <w:szCs w:val="21"/>
                <w:highlight w:val="none"/>
              </w:rPr>
            </w:pPr>
            <w:r>
              <w:rPr>
                <w:sz w:val="21"/>
                <w:szCs w:val="21"/>
                <w:highlight w:val="none"/>
              </w:rPr>
              <w:t>3.36</w:t>
            </w:r>
          </w:p>
        </w:tc>
        <w:tc>
          <w:tcPr>
            <w:tcW w:w="828" w:type="dxa"/>
            <w:vAlign w:val="center"/>
          </w:tcPr>
          <w:p>
            <w:pPr>
              <w:spacing w:line="240" w:lineRule="auto"/>
              <w:ind w:firstLine="0" w:firstLineChars="0"/>
              <w:jc w:val="center"/>
              <w:rPr>
                <w:sz w:val="21"/>
                <w:szCs w:val="21"/>
                <w:highlight w:val="none"/>
              </w:rPr>
            </w:pPr>
            <w:r>
              <w:rPr>
                <w:sz w:val="21"/>
                <w:szCs w:val="21"/>
                <w:highlight w:val="none"/>
              </w:rPr>
              <w:t>3.49</w:t>
            </w:r>
          </w:p>
        </w:tc>
        <w:tc>
          <w:tcPr>
            <w:tcW w:w="865" w:type="dxa"/>
            <w:vAlign w:val="center"/>
          </w:tcPr>
          <w:p>
            <w:pPr>
              <w:spacing w:line="240" w:lineRule="auto"/>
              <w:ind w:firstLine="0" w:firstLineChars="0"/>
              <w:jc w:val="center"/>
              <w:rPr>
                <w:sz w:val="21"/>
                <w:szCs w:val="21"/>
                <w:highlight w:val="none"/>
              </w:rPr>
            </w:pPr>
            <w:r>
              <w:rPr>
                <w:sz w:val="21"/>
                <w:szCs w:val="21"/>
                <w:highlight w:val="none"/>
              </w:rPr>
              <w:t>7.53</w:t>
            </w:r>
          </w:p>
        </w:tc>
        <w:tc>
          <w:tcPr>
            <w:tcW w:w="828" w:type="dxa"/>
            <w:vAlign w:val="center"/>
          </w:tcPr>
          <w:p>
            <w:pPr>
              <w:spacing w:line="240" w:lineRule="auto"/>
              <w:ind w:firstLine="0" w:firstLineChars="0"/>
              <w:jc w:val="center"/>
              <w:rPr>
                <w:sz w:val="21"/>
                <w:szCs w:val="21"/>
                <w:highlight w:val="none"/>
              </w:rPr>
            </w:pPr>
            <w:r>
              <w:rPr>
                <w:sz w:val="21"/>
                <w:szCs w:val="21"/>
                <w:highlight w:val="none"/>
              </w:rPr>
              <w:t>2.69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全年</w:t>
            </w:r>
          </w:p>
        </w:tc>
        <w:tc>
          <w:tcPr>
            <w:tcW w:w="829" w:type="dxa"/>
            <w:vAlign w:val="center"/>
          </w:tcPr>
          <w:p>
            <w:pPr>
              <w:spacing w:line="240" w:lineRule="auto"/>
              <w:ind w:firstLine="0" w:firstLineChars="0"/>
              <w:jc w:val="center"/>
              <w:rPr>
                <w:sz w:val="21"/>
                <w:szCs w:val="21"/>
                <w:highlight w:val="none"/>
              </w:rPr>
            </w:pPr>
            <w:r>
              <w:rPr>
                <w:sz w:val="21"/>
                <w:szCs w:val="21"/>
                <w:highlight w:val="none"/>
              </w:rPr>
              <w:t>6.92</w:t>
            </w:r>
          </w:p>
        </w:tc>
        <w:tc>
          <w:tcPr>
            <w:tcW w:w="718" w:type="dxa"/>
            <w:vAlign w:val="center"/>
          </w:tcPr>
          <w:p>
            <w:pPr>
              <w:spacing w:line="240" w:lineRule="auto"/>
              <w:ind w:firstLine="0" w:firstLineChars="0"/>
              <w:jc w:val="center"/>
              <w:rPr>
                <w:sz w:val="21"/>
                <w:szCs w:val="21"/>
                <w:highlight w:val="none"/>
              </w:rPr>
            </w:pPr>
            <w:r>
              <w:rPr>
                <w:sz w:val="21"/>
                <w:szCs w:val="21"/>
                <w:highlight w:val="none"/>
              </w:rPr>
              <w:t>8.89</w:t>
            </w:r>
          </w:p>
        </w:tc>
        <w:tc>
          <w:tcPr>
            <w:tcW w:w="769" w:type="dxa"/>
            <w:vAlign w:val="center"/>
          </w:tcPr>
          <w:p>
            <w:pPr>
              <w:spacing w:line="240" w:lineRule="auto"/>
              <w:ind w:firstLine="0" w:firstLineChars="0"/>
              <w:jc w:val="center"/>
              <w:rPr>
                <w:sz w:val="21"/>
                <w:szCs w:val="21"/>
                <w:highlight w:val="none"/>
              </w:rPr>
            </w:pPr>
            <w:r>
              <w:rPr>
                <w:sz w:val="21"/>
                <w:szCs w:val="21"/>
                <w:highlight w:val="none"/>
              </w:rPr>
              <w:t>9.6</w:t>
            </w:r>
          </w:p>
        </w:tc>
        <w:tc>
          <w:tcPr>
            <w:tcW w:w="751" w:type="dxa"/>
            <w:vAlign w:val="center"/>
          </w:tcPr>
          <w:p>
            <w:pPr>
              <w:spacing w:line="240" w:lineRule="auto"/>
              <w:ind w:firstLine="0" w:firstLineChars="0"/>
              <w:jc w:val="center"/>
              <w:rPr>
                <w:sz w:val="21"/>
                <w:szCs w:val="21"/>
                <w:highlight w:val="none"/>
              </w:rPr>
            </w:pPr>
            <w:r>
              <w:rPr>
                <w:sz w:val="21"/>
                <w:szCs w:val="21"/>
                <w:highlight w:val="none"/>
              </w:rPr>
              <w:t>9.16</w:t>
            </w:r>
          </w:p>
        </w:tc>
        <w:tc>
          <w:tcPr>
            <w:tcW w:w="703" w:type="dxa"/>
            <w:vAlign w:val="center"/>
          </w:tcPr>
          <w:p>
            <w:pPr>
              <w:spacing w:line="240" w:lineRule="auto"/>
              <w:ind w:firstLine="0" w:firstLineChars="0"/>
              <w:jc w:val="center"/>
              <w:rPr>
                <w:sz w:val="21"/>
                <w:szCs w:val="21"/>
                <w:highlight w:val="none"/>
              </w:rPr>
            </w:pPr>
            <w:r>
              <w:rPr>
                <w:sz w:val="21"/>
                <w:szCs w:val="21"/>
                <w:highlight w:val="none"/>
              </w:rPr>
              <w:t>9.56</w:t>
            </w:r>
          </w:p>
        </w:tc>
        <w:tc>
          <w:tcPr>
            <w:tcW w:w="709" w:type="dxa"/>
            <w:vAlign w:val="center"/>
          </w:tcPr>
          <w:p>
            <w:pPr>
              <w:spacing w:line="240" w:lineRule="auto"/>
              <w:ind w:firstLine="0" w:firstLineChars="0"/>
              <w:jc w:val="center"/>
              <w:rPr>
                <w:sz w:val="21"/>
                <w:szCs w:val="21"/>
                <w:highlight w:val="none"/>
              </w:rPr>
            </w:pPr>
            <w:r>
              <w:rPr>
                <w:sz w:val="21"/>
                <w:szCs w:val="21"/>
                <w:highlight w:val="none"/>
              </w:rPr>
              <w:t>6.96</w:t>
            </w:r>
          </w:p>
        </w:tc>
        <w:tc>
          <w:tcPr>
            <w:tcW w:w="828" w:type="dxa"/>
            <w:vAlign w:val="center"/>
          </w:tcPr>
          <w:p>
            <w:pPr>
              <w:spacing w:line="240" w:lineRule="auto"/>
              <w:ind w:firstLine="0" w:firstLineChars="0"/>
              <w:jc w:val="center"/>
              <w:rPr>
                <w:sz w:val="21"/>
                <w:szCs w:val="21"/>
                <w:highlight w:val="none"/>
              </w:rPr>
            </w:pPr>
            <w:r>
              <w:rPr>
                <w:sz w:val="21"/>
                <w:szCs w:val="21"/>
                <w:highlight w:val="none"/>
              </w:rPr>
              <w:t>4.64</w:t>
            </w:r>
          </w:p>
        </w:tc>
        <w:tc>
          <w:tcPr>
            <w:tcW w:w="703" w:type="dxa"/>
            <w:vAlign w:val="center"/>
          </w:tcPr>
          <w:p>
            <w:pPr>
              <w:spacing w:line="240" w:lineRule="auto"/>
              <w:ind w:firstLine="0" w:firstLineChars="0"/>
              <w:jc w:val="center"/>
              <w:rPr>
                <w:sz w:val="21"/>
                <w:szCs w:val="21"/>
                <w:highlight w:val="none"/>
              </w:rPr>
            </w:pPr>
            <w:r>
              <w:rPr>
                <w:sz w:val="21"/>
                <w:szCs w:val="21"/>
                <w:highlight w:val="none"/>
              </w:rPr>
              <w:t>2.88</w:t>
            </w:r>
          </w:p>
        </w:tc>
        <w:tc>
          <w:tcPr>
            <w:tcW w:w="828" w:type="dxa"/>
            <w:vAlign w:val="center"/>
          </w:tcPr>
          <w:p>
            <w:pPr>
              <w:spacing w:line="240" w:lineRule="auto"/>
              <w:ind w:firstLine="0" w:firstLineChars="0"/>
              <w:jc w:val="center"/>
              <w:rPr>
                <w:sz w:val="21"/>
                <w:szCs w:val="21"/>
                <w:highlight w:val="none"/>
              </w:rPr>
            </w:pPr>
            <w:r>
              <w:rPr>
                <w:sz w:val="21"/>
                <w:szCs w:val="21"/>
                <w:highlight w:val="none"/>
              </w:rPr>
              <w:t>2.66</w:t>
            </w:r>
          </w:p>
        </w:tc>
        <w:tc>
          <w:tcPr>
            <w:tcW w:w="780" w:type="dxa"/>
            <w:vAlign w:val="center"/>
          </w:tcPr>
          <w:p>
            <w:pPr>
              <w:spacing w:line="240" w:lineRule="auto"/>
              <w:ind w:firstLine="0" w:firstLineChars="0"/>
              <w:jc w:val="center"/>
              <w:rPr>
                <w:sz w:val="21"/>
                <w:szCs w:val="21"/>
                <w:highlight w:val="none"/>
              </w:rPr>
            </w:pPr>
            <w:r>
              <w:rPr>
                <w:sz w:val="21"/>
                <w:szCs w:val="21"/>
                <w:highlight w:val="none"/>
              </w:rPr>
              <w:t>3.77</w:t>
            </w:r>
          </w:p>
        </w:tc>
        <w:tc>
          <w:tcPr>
            <w:tcW w:w="703" w:type="dxa"/>
            <w:vAlign w:val="center"/>
          </w:tcPr>
          <w:p>
            <w:pPr>
              <w:spacing w:line="240" w:lineRule="auto"/>
              <w:ind w:firstLine="0" w:firstLineChars="0"/>
              <w:jc w:val="center"/>
              <w:rPr>
                <w:sz w:val="21"/>
                <w:szCs w:val="21"/>
                <w:highlight w:val="none"/>
              </w:rPr>
            </w:pPr>
            <w:r>
              <w:rPr>
                <w:sz w:val="21"/>
                <w:szCs w:val="21"/>
                <w:highlight w:val="none"/>
              </w:rPr>
              <w:t>5.61</w:t>
            </w:r>
          </w:p>
        </w:tc>
        <w:tc>
          <w:tcPr>
            <w:tcW w:w="879" w:type="dxa"/>
            <w:vAlign w:val="center"/>
          </w:tcPr>
          <w:p>
            <w:pPr>
              <w:spacing w:line="240" w:lineRule="auto"/>
              <w:ind w:firstLine="0" w:firstLineChars="0"/>
              <w:jc w:val="center"/>
              <w:rPr>
                <w:sz w:val="21"/>
                <w:szCs w:val="21"/>
                <w:highlight w:val="none"/>
              </w:rPr>
            </w:pPr>
            <w:r>
              <w:rPr>
                <w:sz w:val="21"/>
                <w:szCs w:val="21"/>
                <w:highlight w:val="none"/>
              </w:rPr>
              <w:t>9.22</w:t>
            </w:r>
          </w:p>
        </w:tc>
        <w:tc>
          <w:tcPr>
            <w:tcW w:w="703" w:type="dxa"/>
            <w:vAlign w:val="center"/>
          </w:tcPr>
          <w:p>
            <w:pPr>
              <w:spacing w:line="240" w:lineRule="auto"/>
              <w:ind w:firstLine="0" w:firstLineChars="0"/>
              <w:jc w:val="center"/>
              <w:rPr>
                <w:sz w:val="21"/>
                <w:szCs w:val="21"/>
                <w:highlight w:val="none"/>
              </w:rPr>
            </w:pPr>
            <w:r>
              <w:rPr>
                <w:sz w:val="21"/>
                <w:szCs w:val="21"/>
                <w:highlight w:val="none"/>
              </w:rPr>
              <w:t>5.12</w:t>
            </w:r>
          </w:p>
        </w:tc>
        <w:tc>
          <w:tcPr>
            <w:tcW w:w="921" w:type="dxa"/>
            <w:vAlign w:val="center"/>
          </w:tcPr>
          <w:p>
            <w:pPr>
              <w:spacing w:line="240" w:lineRule="auto"/>
              <w:ind w:firstLine="0" w:firstLineChars="0"/>
              <w:jc w:val="center"/>
              <w:rPr>
                <w:sz w:val="21"/>
                <w:szCs w:val="21"/>
                <w:highlight w:val="none"/>
              </w:rPr>
            </w:pPr>
            <w:r>
              <w:rPr>
                <w:sz w:val="21"/>
                <w:szCs w:val="21"/>
                <w:highlight w:val="none"/>
              </w:rPr>
              <w:t>3.21</w:t>
            </w:r>
          </w:p>
        </w:tc>
        <w:tc>
          <w:tcPr>
            <w:tcW w:w="828" w:type="dxa"/>
            <w:vAlign w:val="center"/>
          </w:tcPr>
          <w:p>
            <w:pPr>
              <w:spacing w:line="240" w:lineRule="auto"/>
              <w:ind w:firstLine="0" w:firstLineChars="0"/>
              <w:jc w:val="center"/>
              <w:rPr>
                <w:sz w:val="21"/>
                <w:szCs w:val="21"/>
                <w:highlight w:val="none"/>
              </w:rPr>
            </w:pPr>
            <w:r>
              <w:rPr>
                <w:sz w:val="21"/>
                <w:szCs w:val="21"/>
                <w:highlight w:val="none"/>
              </w:rPr>
              <w:t>3.01</w:t>
            </w:r>
          </w:p>
        </w:tc>
        <w:tc>
          <w:tcPr>
            <w:tcW w:w="865" w:type="dxa"/>
            <w:vAlign w:val="center"/>
          </w:tcPr>
          <w:p>
            <w:pPr>
              <w:spacing w:line="240" w:lineRule="auto"/>
              <w:ind w:firstLine="0" w:firstLineChars="0"/>
              <w:jc w:val="center"/>
              <w:rPr>
                <w:sz w:val="21"/>
                <w:szCs w:val="21"/>
                <w:highlight w:val="none"/>
              </w:rPr>
            </w:pPr>
            <w:r>
              <w:rPr>
                <w:sz w:val="21"/>
                <w:szCs w:val="21"/>
                <w:highlight w:val="none"/>
              </w:rPr>
              <w:t>4.53</w:t>
            </w:r>
          </w:p>
        </w:tc>
        <w:tc>
          <w:tcPr>
            <w:tcW w:w="828" w:type="dxa"/>
            <w:vAlign w:val="center"/>
          </w:tcPr>
          <w:p>
            <w:pPr>
              <w:spacing w:line="240" w:lineRule="auto"/>
              <w:ind w:firstLine="0" w:firstLineChars="0"/>
              <w:jc w:val="center"/>
              <w:rPr>
                <w:sz w:val="21"/>
                <w:szCs w:val="21"/>
                <w:highlight w:val="none"/>
              </w:rPr>
            </w:pPr>
            <w:r>
              <w:rPr>
                <w:sz w:val="21"/>
                <w:szCs w:val="21"/>
                <w:highlight w:val="none"/>
              </w:rPr>
              <w:t>4.25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春季</w:t>
            </w:r>
          </w:p>
        </w:tc>
        <w:tc>
          <w:tcPr>
            <w:tcW w:w="829" w:type="dxa"/>
            <w:vAlign w:val="center"/>
          </w:tcPr>
          <w:p>
            <w:pPr>
              <w:spacing w:line="240" w:lineRule="auto"/>
              <w:ind w:firstLine="0" w:firstLineChars="0"/>
              <w:jc w:val="center"/>
              <w:rPr>
                <w:sz w:val="21"/>
                <w:szCs w:val="21"/>
                <w:highlight w:val="none"/>
              </w:rPr>
            </w:pPr>
            <w:r>
              <w:rPr>
                <w:sz w:val="21"/>
                <w:szCs w:val="21"/>
                <w:highlight w:val="none"/>
              </w:rPr>
              <w:t>6.79</w:t>
            </w:r>
          </w:p>
        </w:tc>
        <w:tc>
          <w:tcPr>
            <w:tcW w:w="718" w:type="dxa"/>
            <w:vAlign w:val="center"/>
          </w:tcPr>
          <w:p>
            <w:pPr>
              <w:spacing w:line="240" w:lineRule="auto"/>
              <w:ind w:firstLine="0" w:firstLineChars="0"/>
              <w:jc w:val="center"/>
              <w:rPr>
                <w:sz w:val="21"/>
                <w:szCs w:val="21"/>
                <w:highlight w:val="none"/>
              </w:rPr>
            </w:pPr>
            <w:r>
              <w:rPr>
                <w:sz w:val="21"/>
                <w:szCs w:val="21"/>
                <w:highlight w:val="none"/>
              </w:rPr>
              <w:t>7.38</w:t>
            </w:r>
          </w:p>
        </w:tc>
        <w:tc>
          <w:tcPr>
            <w:tcW w:w="769" w:type="dxa"/>
            <w:vAlign w:val="center"/>
          </w:tcPr>
          <w:p>
            <w:pPr>
              <w:spacing w:line="240" w:lineRule="auto"/>
              <w:ind w:firstLine="0" w:firstLineChars="0"/>
              <w:jc w:val="center"/>
              <w:rPr>
                <w:sz w:val="21"/>
                <w:szCs w:val="21"/>
                <w:highlight w:val="none"/>
              </w:rPr>
            </w:pPr>
            <w:r>
              <w:rPr>
                <w:sz w:val="21"/>
                <w:szCs w:val="21"/>
                <w:highlight w:val="none"/>
              </w:rPr>
              <w:t>6.84</w:t>
            </w:r>
          </w:p>
        </w:tc>
        <w:tc>
          <w:tcPr>
            <w:tcW w:w="751" w:type="dxa"/>
            <w:vAlign w:val="center"/>
          </w:tcPr>
          <w:p>
            <w:pPr>
              <w:spacing w:line="240" w:lineRule="auto"/>
              <w:ind w:firstLine="0" w:firstLineChars="0"/>
              <w:jc w:val="center"/>
              <w:rPr>
                <w:sz w:val="21"/>
                <w:szCs w:val="21"/>
                <w:highlight w:val="none"/>
              </w:rPr>
            </w:pPr>
            <w:r>
              <w:rPr>
                <w:sz w:val="21"/>
                <w:szCs w:val="21"/>
                <w:highlight w:val="none"/>
              </w:rPr>
              <w:t>8.47</w:t>
            </w:r>
          </w:p>
        </w:tc>
        <w:tc>
          <w:tcPr>
            <w:tcW w:w="703" w:type="dxa"/>
            <w:vAlign w:val="center"/>
          </w:tcPr>
          <w:p>
            <w:pPr>
              <w:spacing w:line="240" w:lineRule="auto"/>
              <w:ind w:firstLine="0" w:firstLineChars="0"/>
              <w:jc w:val="center"/>
              <w:rPr>
                <w:sz w:val="21"/>
                <w:szCs w:val="21"/>
                <w:highlight w:val="none"/>
              </w:rPr>
            </w:pPr>
            <w:r>
              <w:rPr>
                <w:sz w:val="21"/>
                <w:szCs w:val="21"/>
                <w:highlight w:val="none"/>
              </w:rPr>
              <w:t>9.69</w:t>
            </w:r>
          </w:p>
        </w:tc>
        <w:tc>
          <w:tcPr>
            <w:tcW w:w="709" w:type="dxa"/>
            <w:vAlign w:val="center"/>
          </w:tcPr>
          <w:p>
            <w:pPr>
              <w:spacing w:line="240" w:lineRule="auto"/>
              <w:ind w:firstLine="0" w:firstLineChars="0"/>
              <w:jc w:val="center"/>
              <w:rPr>
                <w:sz w:val="21"/>
                <w:szCs w:val="21"/>
                <w:highlight w:val="none"/>
              </w:rPr>
            </w:pPr>
            <w:r>
              <w:rPr>
                <w:sz w:val="21"/>
                <w:szCs w:val="21"/>
                <w:highlight w:val="none"/>
              </w:rPr>
              <w:t>5.93</w:t>
            </w:r>
          </w:p>
        </w:tc>
        <w:tc>
          <w:tcPr>
            <w:tcW w:w="828" w:type="dxa"/>
            <w:vAlign w:val="center"/>
          </w:tcPr>
          <w:p>
            <w:pPr>
              <w:spacing w:line="240" w:lineRule="auto"/>
              <w:ind w:firstLine="0" w:firstLineChars="0"/>
              <w:jc w:val="center"/>
              <w:rPr>
                <w:sz w:val="21"/>
                <w:szCs w:val="21"/>
                <w:highlight w:val="none"/>
              </w:rPr>
            </w:pPr>
            <w:r>
              <w:rPr>
                <w:sz w:val="21"/>
                <w:szCs w:val="21"/>
                <w:highlight w:val="none"/>
              </w:rPr>
              <w:t>3.62</w:t>
            </w:r>
          </w:p>
        </w:tc>
        <w:tc>
          <w:tcPr>
            <w:tcW w:w="703" w:type="dxa"/>
            <w:vAlign w:val="center"/>
          </w:tcPr>
          <w:p>
            <w:pPr>
              <w:spacing w:line="240" w:lineRule="auto"/>
              <w:ind w:firstLine="0" w:firstLineChars="0"/>
              <w:jc w:val="center"/>
              <w:rPr>
                <w:sz w:val="21"/>
                <w:szCs w:val="21"/>
                <w:highlight w:val="none"/>
              </w:rPr>
            </w:pPr>
            <w:r>
              <w:rPr>
                <w:sz w:val="21"/>
                <w:szCs w:val="21"/>
                <w:highlight w:val="none"/>
              </w:rPr>
              <w:t>2.94</w:t>
            </w:r>
          </w:p>
        </w:tc>
        <w:tc>
          <w:tcPr>
            <w:tcW w:w="828" w:type="dxa"/>
            <w:vAlign w:val="center"/>
          </w:tcPr>
          <w:p>
            <w:pPr>
              <w:spacing w:line="240" w:lineRule="auto"/>
              <w:ind w:firstLine="0" w:firstLineChars="0"/>
              <w:jc w:val="center"/>
              <w:rPr>
                <w:sz w:val="21"/>
                <w:szCs w:val="21"/>
                <w:highlight w:val="none"/>
              </w:rPr>
            </w:pPr>
            <w:r>
              <w:rPr>
                <w:sz w:val="21"/>
                <w:szCs w:val="21"/>
                <w:highlight w:val="none"/>
              </w:rPr>
              <w:t>3.08</w:t>
            </w:r>
          </w:p>
        </w:tc>
        <w:tc>
          <w:tcPr>
            <w:tcW w:w="780" w:type="dxa"/>
            <w:vAlign w:val="center"/>
          </w:tcPr>
          <w:p>
            <w:pPr>
              <w:spacing w:line="240" w:lineRule="auto"/>
              <w:ind w:firstLine="0" w:firstLineChars="0"/>
              <w:jc w:val="center"/>
              <w:rPr>
                <w:sz w:val="21"/>
                <w:szCs w:val="21"/>
                <w:highlight w:val="none"/>
              </w:rPr>
            </w:pPr>
            <w:r>
              <w:rPr>
                <w:sz w:val="21"/>
                <w:szCs w:val="21"/>
                <w:highlight w:val="none"/>
              </w:rPr>
              <w:t>5.12</w:t>
            </w:r>
          </w:p>
        </w:tc>
        <w:tc>
          <w:tcPr>
            <w:tcW w:w="703" w:type="dxa"/>
            <w:vAlign w:val="center"/>
          </w:tcPr>
          <w:p>
            <w:pPr>
              <w:spacing w:line="240" w:lineRule="auto"/>
              <w:ind w:firstLine="0" w:firstLineChars="0"/>
              <w:jc w:val="center"/>
              <w:rPr>
                <w:sz w:val="21"/>
                <w:szCs w:val="21"/>
                <w:highlight w:val="none"/>
              </w:rPr>
            </w:pPr>
            <w:r>
              <w:rPr>
                <w:sz w:val="21"/>
                <w:szCs w:val="21"/>
                <w:highlight w:val="none"/>
              </w:rPr>
              <w:t>8.02</w:t>
            </w:r>
          </w:p>
        </w:tc>
        <w:tc>
          <w:tcPr>
            <w:tcW w:w="879" w:type="dxa"/>
            <w:vAlign w:val="center"/>
          </w:tcPr>
          <w:p>
            <w:pPr>
              <w:spacing w:line="240" w:lineRule="auto"/>
              <w:ind w:firstLine="0" w:firstLineChars="0"/>
              <w:jc w:val="center"/>
              <w:rPr>
                <w:sz w:val="21"/>
                <w:szCs w:val="21"/>
                <w:highlight w:val="none"/>
              </w:rPr>
            </w:pPr>
            <w:r>
              <w:rPr>
                <w:sz w:val="21"/>
                <w:szCs w:val="21"/>
                <w:highlight w:val="none"/>
              </w:rPr>
              <w:t>11.28</w:t>
            </w:r>
          </w:p>
        </w:tc>
        <w:tc>
          <w:tcPr>
            <w:tcW w:w="703" w:type="dxa"/>
            <w:vAlign w:val="center"/>
          </w:tcPr>
          <w:p>
            <w:pPr>
              <w:spacing w:line="240" w:lineRule="auto"/>
              <w:ind w:firstLine="0" w:firstLineChars="0"/>
              <w:jc w:val="center"/>
              <w:rPr>
                <w:sz w:val="21"/>
                <w:szCs w:val="21"/>
                <w:highlight w:val="none"/>
              </w:rPr>
            </w:pPr>
            <w:r>
              <w:rPr>
                <w:sz w:val="21"/>
                <w:szCs w:val="21"/>
                <w:highlight w:val="none"/>
              </w:rPr>
              <w:t>4.94</w:t>
            </w:r>
          </w:p>
        </w:tc>
        <w:tc>
          <w:tcPr>
            <w:tcW w:w="921" w:type="dxa"/>
            <w:vAlign w:val="center"/>
          </w:tcPr>
          <w:p>
            <w:pPr>
              <w:spacing w:line="240" w:lineRule="auto"/>
              <w:ind w:firstLine="0" w:firstLineChars="0"/>
              <w:jc w:val="center"/>
              <w:rPr>
                <w:sz w:val="21"/>
                <w:szCs w:val="21"/>
                <w:highlight w:val="none"/>
              </w:rPr>
            </w:pPr>
            <w:r>
              <w:rPr>
                <w:sz w:val="21"/>
                <w:szCs w:val="21"/>
                <w:highlight w:val="none"/>
              </w:rPr>
              <w:t>3.49</w:t>
            </w:r>
          </w:p>
        </w:tc>
        <w:tc>
          <w:tcPr>
            <w:tcW w:w="828" w:type="dxa"/>
            <w:vAlign w:val="center"/>
          </w:tcPr>
          <w:p>
            <w:pPr>
              <w:spacing w:line="240" w:lineRule="auto"/>
              <w:ind w:firstLine="0" w:firstLineChars="0"/>
              <w:jc w:val="center"/>
              <w:rPr>
                <w:sz w:val="21"/>
                <w:szCs w:val="21"/>
                <w:highlight w:val="none"/>
              </w:rPr>
            </w:pPr>
            <w:r>
              <w:rPr>
                <w:sz w:val="21"/>
                <w:szCs w:val="21"/>
                <w:highlight w:val="none"/>
              </w:rPr>
              <w:t>3.99</w:t>
            </w:r>
          </w:p>
        </w:tc>
        <w:tc>
          <w:tcPr>
            <w:tcW w:w="865" w:type="dxa"/>
            <w:vAlign w:val="center"/>
          </w:tcPr>
          <w:p>
            <w:pPr>
              <w:spacing w:line="240" w:lineRule="auto"/>
              <w:ind w:firstLine="0" w:firstLineChars="0"/>
              <w:jc w:val="center"/>
              <w:rPr>
                <w:sz w:val="21"/>
                <w:szCs w:val="21"/>
                <w:highlight w:val="none"/>
              </w:rPr>
            </w:pPr>
            <w:r>
              <w:rPr>
                <w:sz w:val="21"/>
                <w:szCs w:val="21"/>
                <w:highlight w:val="none"/>
              </w:rPr>
              <w:t>5.03</w:t>
            </w:r>
          </w:p>
        </w:tc>
        <w:tc>
          <w:tcPr>
            <w:tcW w:w="828" w:type="dxa"/>
            <w:vAlign w:val="center"/>
          </w:tcPr>
          <w:p>
            <w:pPr>
              <w:spacing w:line="240" w:lineRule="auto"/>
              <w:ind w:firstLine="0" w:firstLineChars="0"/>
              <w:jc w:val="center"/>
              <w:rPr>
                <w:sz w:val="21"/>
                <w:szCs w:val="21"/>
                <w:highlight w:val="none"/>
              </w:rPr>
            </w:pPr>
            <w:r>
              <w:rPr>
                <w:sz w:val="21"/>
                <w:szCs w:val="21"/>
                <w:highlight w:val="none"/>
              </w:rPr>
              <w:t>3.4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夏季</w:t>
            </w:r>
          </w:p>
        </w:tc>
        <w:tc>
          <w:tcPr>
            <w:tcW w:w="829" w:type="dxa"/>
            <w:vAlign w:val="center"/>
          </w:tcPr>
          <w:p>
            <w:pPr>
              <w:spacing w:line="240" w:lineRule="auto"/>
              <w:ind w:firstLine="0" w:firstLineChars="0"/>
              <w:jc w:val="center"/>
              <w:rPr>
                <w:sz w:val="21"/>
                <w:szCs w:val="21"/>
                <w:highlight w:val="none"/>
              </w:rPr>
            </w:pPr>
            <w:r>
              <w:rPr>
                <w:sz w:val="21"/>
                <w:szCs w:val="21"/>
                <w:highlight w:val="none"/>
              </w:rPr>
              <w:t>5.03</w:t>
            </w:r>
          </w:p>
        </w:tc>
        <w:tc>
          <w:tcPr>
            <w:tcW w:w="718" w:type="dxa"/>
            <w:vAlign w:val="center"/>
          </w:tcPr>
          <w:p>
            <w:pPr>
              <w:spacing w:line="240" w:lineRule="auto"/>
              <w:ind w:firstLine="0" w:firstLineChars="0"/>
              <w:jc w:val="center"/>
              <w:rPr>
                <w:sz w:val="21"/>
                <w:szCs w:val="21"/>
                <w:highlight w:val="none"/>
              </w:rPr>
            </w:pPr>
            <w:r>
              <w:rPr>
                <w:sz w:val="21"/>
                <w:szCs w:val="21"/>
                <w:highlight w:val="none"/>
              </w:rPr>
              <w:t>7.7</w:t>
            </w:r>
          </w:p>
        </w:tc>
        <w:tc>
          <w:tcPr>
            <w:tcW w:w="769" w:type="dxa"/>
            <w:vAlign w:val="center"/>
          </w:tcPr>
          <w:p>
            <w:pPr>
              <w:spacing w:line="240" w:lineRule="auto"/>
              <w:ind w:firstLine="0" w:firstLineChars="0"/>
              <w:jc w:val="center"/>
              <w:rPr>
                <w:sz w:val="21"/>
                <w:szCs w:val="21"/>
                <w:highlight w:val="none"/>
              </w:rPr>
            </w:pPr>
            <w:r>
              <w:rPr>
                <w:sz w:val="21"/>
                <w:szCs w:val="21"/>
                <w:highlight w:val="none"/>
              </w:rPr>
              <w:t>10.73</w:t>
            </w:r>
          </w:p>
        </w:tc>
        <w:tc>
          <w:tcPr>
            <w:tcW w:w="751" w:type="dxa"/>
            <w:vAlign w:val="center"/>
          </w:tcPr>
          <w:p>
            <w:pPr>
              <w:spacing w:line="240" w:lineRule="auto"/>
              <w:ind w:firstLine="0" w:firstLineChars="0"/>
              <w:jc w:val="center"/>
              <w:rPr>
                <w:sz w:val="21"/>
                <w:szCs w:val="21"/>
                <w:highlight w:val="none"/>
              </w:rPr>
            </w:pPr>
            <w:r>
              <w:rPr>
                <w:sz w:val="21"/>
                <w:szCs w:val="21"/>
                <w:highlight w:val="none"/>
              </w:rPr>
              <w:t>11.96</w:t>
            </w:r>
          </w:p>
        </w:tc>
        <w:tc>
          <w:tcPr>
            <w:tcW w:w="703" w:type="dxa"/>
            <w:vAlign w:val="center"/>
          </w:tcPr>
          <w:p>
            <w:pPr>
              <w:spacing w:line="240" w:lineRule="auto"/>
              <w:ind w:firstLine="0" w:firstLineChars="0"/>
              <w:jc w:val="center"/>
              <w:rPr>
                <w:sz w:val="21"/>
                <w:szCs w:val="21"/>
                <w:highlight w:val="none"/>
              </w:rPr>
            </w:pPr>
            <w:r>
              <w:rPr>
                <w:sz w:val="21"/>
                <w:szCs w:val="21"/>
                <w:highlight w:val="none"/>
              </w:rPr>
              <w:t>12.5</w:t>
            </w:r>
          </w:p>
        </w:tc>
        <w:tc>
          <w:tcPr>
            <w:tcW w:w="709" w:type="dxa"/>
            <w:vAlign w:val="center"/>
          </w:tcPr>
          <w:p>
            <w:pPr>
              <w:spacing w:line="240" w:lineRule="auto"/>
              <w:ind w:firstLine="0" w:firstLineChars="0"/>
              <w:jc w:val="center"/>
              <w:rPr>
                <w:sz w:val="21"/>
                <w:szCs w:val="21"/>
                <w:highlight w:val="none"/>
              </w:rPr>
            </w:pPr>
            <w:r>
              <w:rPr>
                <w:sz w:val="21"/>
                <w:szCs w:val="21"/>
                <w:highlight w:val="none"/>
              </w:rPr>
              <w:t>7.29</w:t>
            </w:r>
          </w:p>
        </w:tc>
        <w:tc>
          <w:tcPr>
            <w:tcW w:w="828" w:type="dxa"/>
            <w:vAlign w:val="center"/>
          </w:tcPr>
          <w:p>
            <w:pPr>
              <w:spacing w:line="240" w:lineRule="auto"/>
              <w:ind w:firstLine="0" w:firstLineChars="0"/>
              <w:jc w:val="center"/>
              <w:rPr>
                <w:sz w:val="21"/>
                <w:szCs w:val="21"/>
                <w:highlight w:val="none"/>
              </w:rPr>
            </w:pPr>
            <w:r>
              <w:rPr>
                <w:sz w:val="21"/>
                <w:szCs w:val="21"/>
                <w:highlight w:val="none"/>
              </w:rPr>
              <w:t>6.16</w:t>
            </w:r>
          </w:p>
        </w:tc>
        <w:tc>
          <w:tcPr>
            <w:tcW w:w="703" w:type="dxa"/>
            <w:vAlign w:val="center"/>
          </w:tcPr>
          <w:p>
            <w:pPr>
              <w:spacing w:line="240" w:lineRule="auto"/>
              <w:ind w:firstLine="0" w:firstLineChars="0"/>
              <w:jc w:val="center"/>
              <w:rPr>
                <w:sz w:val="21"/>
                <w:szCs w:val="21"/>
                <w:highlight w:val="none"/>
              </w:rPr>
            </w:pPr>
            <w:r>
              <w:rPr>
                <w:sz w:val="21"/>
                <w:szCs w:val="21"/>
                <w:highlight w:val="none"/>
              </w:rPr>
              <w:t>2.99</w:t>
            </w:r>
          </w:p>
        </w:tc>
        <w:tc>
          <w:tcPr>
            <w:tcW w:w="828" w:type="dxa"/>
            <w:vAlign w:val="center"/>
          </w:tcPr>
          <w:p>
            <w:pPr>
              <w:spacing w:line="240" w:lineRule="auto"/>
              <w:ind w:firstLine="0" w:firstLineChars="0"/>
              <w:jc w:val="center"/>
              <w:rPr>
                <w:sz w:val="21"/>
                <w:szCs w:val="21"/>
                <w:highlight w:val="none"/>
              </w:rPr>
            </w:pPr>
            <w:r>
              <w:rPr>
                <w:sz w:val="21"/>
                <w:szCs w:val="21"/>
                <w:highlight w:val="none"/>
              </w:rPr>
              <w:t>2.99</w:t>
            </w:r>
          </w:p>
        </w:tc>
        <w:tc>
          <w:tcPr>
            <w:tcW w:w="780" w:type="dxa"/>
            <w:vAlign w:val="center"/>
          </w:tcPr>
          <w:p>
            <w:pPr>
              <w:spacing w:line="240" w:lineRule="auto"/>
              <w:ind w:firstLine="0" w:firstLineChars="0"/>
              <w:jc w:val="center"/>
              <w:rPr>
                <w:sz w:val="21"/>
                <w:szCs w:val="21"/>
                <w:highlight w:val="none"/>
              </w:rPr>
            </w:pPr>
            <w:r>
              <w:rPr>
                <w:sz w:val="21"/>
                <w:szCs w:val="21"/>
                <w:highlight w:val="none"/>
              </w:rPr>
              <w:t>4.71</w:t>
            </w:r>
          </w:p>
        </w:tc>
        <w:tc>
          <w:tcPr>
            <w:tcW w:w="703" w:type="dxa"/>
            <w:vAlign w:val="center"/>
          </w:tcPr>
          <w:p>
            <w:pPr>
              <w:spacing w:line="240" w:lineRule="auto"/>
              <w:ind w:firstLine="0" w:firstLineChars="0"/>
              <w:jc w:val="center"/>
              <w:rPr>
                <w:sz w:val="21"/>
                <w:szCs w:val="21"/>
                <w:highlight w:val="none"/>
              </w:rPr>
            </w:pPr>
            <w:r>
              <w:rPr>
                <w:sz w:val="21"/>
                <w:szCs w:val="21"/>
                <w:highlight w:val="none"/>
              </w:rPr>
              <w:t>5.89</w:t>
            </w:r>
          </w:p>
        </w:tc>
        <w:tc>
          <w:tcPr>
            <w:tcW w:w="879" w:type="dxa"/>
            <w:vAlign w:val="center"/>
          </w:tcPr>
          <w:p>
            <w:pPr>
              <w:spacing w:line="240" w:lineRule="auto"/>
              <w:ind w:firstLine="0" w:firstLineChars="0"/>
              <w:jc w:val="center"/>
              <w:rPr>
                <w:sz w:val="21"/>
                <w:szCs w:val="21"/>
                <w:highlight w:val="none"/>
              </w:rPr>
            </w:pPr>
            <w:r>
              <w:rPr>
                <w:sz w:val="21"/>
                <w:szCs w:val="21"/>
                <w:highlight w:val="none"/>
              </w:rPr>
              <w:t>8.97</w:t>
            </w:r>
          </w:p>
        </w:tc>
        <w:tc>
          <w:tcPr>
            <w:tcW w:w="703" w:type="dxa"/>
            <w:vAlign w:val="center"/>
          </w:tcPr>
          <w:p>
            <w:pPr>
              <w:spacing w:line="240" w:lineRule="auto"/>
              <w:ind w:firstLine="0" w:firstLineChars="0"/>
              <w:jc w:val="center"/>
              <w:rPr>
                <w:sz w:val="21"/>
                <w:szCs w:val="21"/>
                <w:highlight w:val="none"/>
              </w:rPr>
            </w:pPr>
            <w:r>
              <w:rPr>
                <w:sz w:val="21"/>
                <w:szCs w:val="21"/>
                <w:highlight w:val="none"/>
              </w:rPr>
              <w:t>3.53</w:t>
            </w:r>
          </w:p>
        </w:tc>
        <w:tc>
          <w:tcPr>
            <w:tcW w:w="921" w:type="dxa"/>
            <w:vAlign w:val="center"/>
          </w:tcPr>
          <w:p>
            <w:pPr>
              <w:spacing w:line="240" w:lineRule="auto"/>
              <w:ind w:firstLine="0" w:firstLineChars="0"/>
              <w:jc w:val="center"/>
              <w:rPr>
                <w:sz w:val="21"/>
                <w:szCs w:val="21"/>
                <w:highlight w:val="none"/>
              </w:rPr>
            </w:pPr>
            <w:r>
              <w:rPr>
                <w:sz w:val="21"/>
                <w:szCs w:val="21"/>
                <w:highlight w:val="none"/>
              </w:rPr>
              <w:t>1.81</w:t>
            </w:r>
          </w:p>
        </w:tc>
        <w:tc>
          <w:tcPr>
            <w:tcW w:w="828" w:type="dxa"/>
            <w:vAlign w:val="center"/>
          </w:tcPr>
          <w:p>
            <w:pPr>
              <w:spacing w:line="240" w:lineRule="auto"/>
              <w:ind w:firstLine="0" w:firstLineChars="0"/>
              <w:jc w:val="center"/>
              <w:rPr>
                <w:sz w:val="21"/>
                <w:szCs w:val="21"/>
                <w:highlight w:val="none"/>
              </w:rPr>
            </w:pPr>
            <w:r>
              <w:rPr>
                <w:sz w:val="21"/>
                <w:szCs w:val="21"/>
                <w:highlight w:val="none"/>
              </w:rPr>
              <w:t>1.22</w:t>
            </w:r>
          </w:p>
        </w:tc>
        <w:tc>
          <w:tcPr>
            <w:tcW w:w="865" w:type="dxa"/>
            <w:vAlign w:val="center"/>
          </w:tcPr>
          <w:p>
            <w:pPr>
              <w:spacing w:line="240" w:lineRule="auto"/>
              <w:ind w:firstLine="0" w:firstLineChars="0"/>
              <w:jc w:val="center"/>
              <w:rPr>
                <w:sz w:val="21"/>
                <w:szCs w:val="21"/>
                <w:highlight w:val="none"/>
              </w:rPr>
            </w:pPr>
            <w:r>
              <w:rPr>
                <w:sz w:val="21"/>
                <w:szCs w:val="21"/>
                <w:highlight w:val="none"/>
              </w:rPr>
              <w:t>2.63</w:t>
            </w:r>
          </w:p>
        </w:tc>
        <w:tc>
          <w:tcPr>
            <w:tcW w:w="828" w:type="dxa"/>
            <w:vAlign w:val="center"/>
          </w:tcPr>
          <w:p>
            <w:pPr>
              <w:spacing w:line="240" w:lineRule="auto"/>
              <w:ind w:firstLine="0" w:firstLineChars="0"/>
              <w:jc w:val="center"/>
              <w:rPr>
                <w:sz w:val="21"/>
                <w:szCs w:val="21"/>
                <w:highlight w:val="none"/>
              </w:rPr>
            </w:pPr>
            <w:r>
              <w:rPr>
                <w:sz w:val="21"/>
                <w:szCs w:val="21"/>
                <w:highlight w:val="none"/>
              </w:rPr>
              <w:t>3.89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rFonts w:hint="eastAsia"/>
                <w:sz w:val="21"/>
                <w:szCs w:val="21"/>
                <w:highlight w:val="none"/>
              </w:rPr>
              <w:t>秋季</w:t>
            </w:r>
          </w:p>
        </w:tc>
        <w:tc>
          <w:tcPr>
            <w:tcW w:w="829" w:type="dxa"/>
            <w:vAlign w:val="center"/>
          </w:tcPr>
          <w:p>
            <w:pPr>
              <w:spacing w:line="240" w:lineRule="auto"/>
              <w:ind w:firstLine="0" w:firstLineChars="0"/>
              <w:jc w:val="center"/>
              <w:rPr>
                <w:sz w:val="21"/>
                <w:szCs w:val="21"/>
                <w:highlight w:val="none"/>
              </w:rPr>
            </w:pPr>
            <w:r>
              <w:rPr>
                <w:sz w:val="21"/>
                <w:highlight w:val="none"/>
              </w:rPr>
              <w:t>6.92</w:t>
            </w:r>
          </w:p>
        </w:tc>
        <w:tc>
          <w:tcPr>
            <w:tcW w:w="718" w:type="dxa"/>
            <w:vAlign w:val="center"/>
          </w:tcPr>
          <w:p>
            <w:pPr>
              <w:spacing w:line="240" w:lineRule="auto"/>
              <w:ind w:firstLine="0" w:firstLineChars="0"/>
              <w:jc w:val="center"/>
              <w:rPr>
                <w:sz w:val="21"/>
                <w:szCs w:val="21"/>
                <w:highlight w:val="none"/>
              </w:rPr>
            </w:pPr>
            <w:r>
              <w:rPr>
                <w:sz w:val="21"/>
                <w:highlight w:val="none"/>
              </w:rPr>
              <w:t>9.76</w:t>
            </w:r>
          </w:p>
        </w:tc>
        <w:tc>
          <w:tcPr>
            <w:tcW w:w="769" w:type="dxa"/>
            <w:vAlign w:val="center"/>
          </w:tcPr>
          <w:p>
            <w:pPr>
              <w:spacing w:line="240" w:lineRule="auto"/>
              <w:ind w:firstLine="0" w:firstLineChars="0"/>
              <w:jc w:val="center"/>
              <w:rPr>
                <w:sz w:val="21"/>
                <w:szCs w:val="21"/>
                <w:highlight w:val="none"/>
              </w:rPr>
            </w:pPr>
            <w:r>
              <w:rPr>
                <w:sz w:val="21"/>
                <w:highlight w:val="none"/>
              </w:rPr>
              <w:t>11.08</w:t>
            </w:r>
          </w:p>
        </w:tc>
        <w:tc>
          <w:tcPr>
            <w:tcW w:w="751" w:type="dxa"/>
            <w:vAlign w:val="center"/>
          </w:tcPr>
          <w:p>
            <w:pPr>
              <w:spacing w:line="240" w:lineRule="auto"/>
              <w:ind w:firstLine="0" w:firstLineChars="0"/>
              <w:jc w:val="center"/>
              <w:rPr>
                <w:sz w:val="21"/>
                <w:szCs w:val="21"/>
                <w:highlight w:val="none"/>
              </w:rPr>
            </w:pPr>
            <w:r>
              <w:rPr>
                <w:sz w:val="21"/>
                <w:highlight w:val="none"/>
              </w:rPr>
              <w:t>8.77</w:t>
            </w:r>
          </w:p>
        </w:tc>
        <w:tc>
          <w:tcPr>
            <w:tcW w:w="703" w:type="dxa"/>
            <w:vAlign w:val="center"/>
          </w:tcPr>
          <w:p>
            <w:pPr>
              <w:spacing w:line="240" w:lineRule="auto"/>
              <w:ind w:firstLine="0" w:firstLineChars="0"/>
              <w:jc w:val="center"/>
              <w:rPr>
                <w:sz w:val="21"/>
                <w:szCs w:val="21"/>
                <w:highlight w:val="none"/>
              </w:rPr>
            </w:pPr>
            <w:r>
              <w:rPr>
                <w:sz w:val="21"/>
                <w:highlight w:val="none"/>
              </w:rPr>
              <w:t>7.43</w:t>
            </w:r>
          </w:p>
        </w:tc>
        <w:tc>
          <w:tcPr>
            <w:tcW w:w="709" w:type="dxa"/>
            <w:vAlign w:val="center"/>
          </w:tcPr>
          <w:p>
            <w:pPr>
              <w:spacing w:line="240" w:lineRule="auto"/>
              <w:ind w:firstLine="0" w:firstLineChars="0"/>
              <w:jc w:val="center"/>
              <w:rPr>
                <w:sz w:val="21"/>
                <w:szCs w:val="21"/>
                <w:highlight w:val="none"/>
              </w:rPr>
            </w:pPr>
            <w:r>
              <w:rPr>
                <w:sz w:val="21"/>
                <w:highlight w:val="none"/>
              </w:rPr>
              <w:t>6.82</w:t>
            </w:r>
          </w:p>
        </w:tc>
        <w:tc>
          <w:tcPr>
            <w:tcW w:w="828" w:type="dxa"/>
            <w:vAlign w:val="center"/>
          </w:tcPr>
          <w:p>
            <w:pPr>
              <w:spacing w:line="240" w:lineRule="auto"/>
              <w:ind w:firstLine="0" w:firstLineChars="0"/>
              <w:jc w:val="center"/>
              <w:rPr>
                <w:sz w:val="21"/>
                <w:szCs w:val="21"/>
                <w:highlight w:val="none"/>
              </w:rPr>
            </w:pPr>
            <w:r>
              <w:rPr>
                <w:sz w:val="21"/>
                <w:highlight w:val="none"/>
              </w:rPr>
              <w:t>4.48</w:t>
            </w:r>
          </w:p>
        </w:tc>
        <w:tc>
          <w:tcPr>
            <w:tcW w:w="703" w:type="dxa"/>
            <w:vAlign w:val="center"/>
          </w:tcPr>
          <w:p>
            <w:pPr>
              <w:spacing w:line="240" w:lineRule="auto"/>
              <w:ind w:firstLine="0" w:firstLineChars="0"/>
              <w:jc w:val="center"/>
              <w:rPr>
                <w:sz w:val="21"/>
                <w:szCs w:val="21"/>
                <w:highlight w:val="none"/>
              </w:rPr>
            </w:pPr>
            <w:r>
              <w:rPr>
                <w:sz w:val="21"/>
                <w:highlight w:val="none"/>
              </w:rPr>
              <w:t>3.53</w:t>
            </w:r>
          </w:p>
        </w:tc>
        <w:tc>
          <w:tcPr>
            <w:tcW w:w="828" w:type="dxa"/>
            <w:vAlign w:val="center"/>
          </w:tcPr>
          <w:p>
            <w:pPr>
              <w:spacing w:line="240" w:lineRule="auto"/>
              <w:ind w:firstLine="0" w:firstLineChars="0"/>
              <w:jc w:val="center"/>
              <w:rPr>
                <w:sz w:val="21"/>
                <w:szCs w:val="21"/>
                <w:highlight w:val="none"/>
              </w:rPr>
            </w:pPr>
            <w:r>
              <w:rPr>
                <w:sz w:val="21"/>
                <w:highlight w:val="none"/>
              </w:rPr>
              <w:t>2.11</w:t>
            </w:r>
          </w:p>
        </w:tc>
        <w:tc>
          <w:tcPr>
            <w:tcW w:w="780" w:type="dxa"/>
            <w:vAlign w:val="center"/>
          </w:tcPr>
          <w:p>
            <w:pPr>
              <w:spacing w:line="240" w:lineRule="auto"/>
              <w:ind w:firstLine="0" w:firstLineChars="0"/>
              <w:jc w:val="center"/>
              <w:rPr>
                <w:sz w:val="21"/>
                <w:szCs w:val="21"/>
                <w:highlight w:val="none"/>
              </w:rPr>
            </w:pPr>
            <w:r>
              <w:rPr>
                <w:sz w:val="21"/>
                <w:highlight w:val="none"/>
              </w:rPr>
              <w:t>3.11</w:t>
            </w:r>
          </w:p>
        </w:tc>
        <w:tc>
          <w:tcPr>
            <w:tcW w:w="703" w:type="dxa"/>
            <w:vAlign w:val="center"/>
          </w:tcPr>
          <w:p>
            <w:pPr>
              <w:spacing w:line="240" w:lineRule="auto"/>
              <w:ind w:firstLine="0" w:firstLineChars="0"/>
              <w:jc w:val="center"/>
              <w:rPr>
                <w:sz w:val="21"/>
                <w:szCs w:val="21"/>
                <w:highlight w:val="none"/>
              </w:rPr>
            </w:pPr>
            <w:r>
              <w:rPr>
                <w:sz w:val="21"/>
                <w:highlight w:val="none"/>
              </w:rPr>
              <w:t>4.39</w:t>
            </w:r>
          </w:p>
        </w:tc>
        <w:tc>
          <w:tcPr>
            <w:tcW w:w="879" w:type="dxa"/>
            <w:vAlign w:val="center"/>
          </w:tcPr>
          <w:p>
            <w:pPr>
              <w:spacing w:line="240" w:lineRule="auto"/>
              <w:ind w:firstLine="0" w:firstLineChars="0"/>
              <w:jc w:val="center"/>
              <w:rPr>
                <w:sz w:val="21"/>
                <w:szCs w:val="21"/>
                <w:highlight w:val="none"/>
              </w:rPr>
            </w:pPr>
            <w:r>
              <w:rPr>
                <w:sz w:val="21"/>
                <w:highlight w:val="none"/>
              </w:rPr>
              <w:t>7.43</w:t>
            </w:r>
          </w:p>
        </w:tc>
        <w:tc>
          <w:tcPr>
            <w:tcW w:w="703" w:type="dxa"/>
            <w:vAlign w:val="center"/>
          </w:tcPr>
          <w:p>
            <w:pPr>
              <w:spacing w:line="240" w:lineRule="auto"/>
              <w:ind w:firstLine="0" w:firstLineChars="0"/>
              <w:jc w:val="center"/>
              <w:rPr>
                <w:sz w:val="21"/>
                <w:szCs w:val="21"/>
                <w:highlight w:val="none"/>
              </w:rPr>
            </w:pPr>
            <w:r>
              <w:rPr>
                <w:sz w:val="21"/>
                <w:highlight w:val="none"/>
              </w:rPr>
              <w:t>5.94</w:t>
            </w:r>
          </w:p>
        </w:tc>
        <w:tc>
          <w:tcPr>
            <w:tcW w:w="921" w:type="dxa"/>
            <w:vAlign w:val="center"/>
          </w:tcPr>
          <w:p>
            <w:pPr>
              <w:spacing w:line="240" w:lineRule="auto"/>
              <w:ind w:firstLine="0" w:firstLineChars="0"/>
              <w:jc w:val="center"/>
              <w:rPr>
                <w:sz w:val="21"/>
                <w:szCs w:val="21"/>
                <w:highlight w:val="none"/>
              </w:rPr>
            </w:pPr>
            <w:r>
              <w:rPr>
                <w:sz w:val="21"/>
                <w:highlight w:val="none"/>
              </w:rPr>
              <w:t>4.30</w:t>
            </w:r>
          </w:p>
        </w:tc>
        <w:tc>
          <w:tcPr>
            <w:tcW w:w="828" w:type="dxa"/>
            <w:vAlign w:val="center"/>
          </w:tcPr>
          <w:p>
            <w:pPr>
              <w:spacing w:line="240" w:lineRule="auto"/>
              <w:ind w:firstLine="0" w:firstLineChars="0"/>
              <w:jc w:val="center"/>
              <w:rPr>
                <w:sz w:val="21"/>
                <w:szCs w:val="21"/>
                <w:highlight w:val="none"/>
              </w:rPr>
            </w:pPr>
            <w:r>
              <w:rPr>
                <w:sz w:val="21"/>
                <w:highlight w:val="none"/>
              </w:rPr>
              <w:t>3.58</w:t>
            </w:r>
          </w:p>
        </w:tc>
        <w:tc>
          <w:tcPr>
            <w:tcW w:w="865" w:type="dxa"/>
            <w:vAlign w:val="center"/>
          </w:tcPr>
          <w:p>
            <w:pPr>
              <w:spacing w:line="240" w:lineRule="auto"/>
              <w:ind w:firstLine="0" w:firstLineChars="0"/>
              <w:jc w:val="center"/>
              <w:rPr>
                <w:sz w:val="21"/>
                <w:szCs w:val="21"/>
                <w:highlight w:val="none"/>
              </w:rPr>
            </w:pPr>
            <w:r>
              <w:rPr>
                <w:sz w:val="21"/>
                <w:highlight w:val="none"/>
              </w:rPr>
              <w:t>4.26</w:t>
            </w:r>
          </w:p>
        </w:tc>
        <w:tc>
          <w:tcPr>
            <w:tcW w:w="828" w:type="dxa"/>
            <w:vAlign w:val="center"/>
          </w:tcPr>
          <w:p>
            <w:pPr>
              <w:spacing w:line="240" w:lineRule="auto"/>
              <w:ind w:firstLine="0" w:firstLineChars="0"/>
              <w:jc w:val="center"/>
              <w:rPr>
                <w:sz w:val="21"/>
                <w:szCs w:val="21"/>
                <w:highlight w:val="none"/>
              </w:rPr>
            </w:pPr>
            <w:r>
              <w:rPr>
                <w:sz w:val="21"/>
                <w:highlight w:val="none"/>
              </w:rPr>
              <w:t>6.08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rFonts w:hint="eastAsia"/>
                <w:sz w:val="21"/>
                <w:szCs w:val="21"/>
                <w:highlight w:val="none"/>
              </w:rPr>
              <w:t>冬季</w:t>
            </w:r>
          </w:p>
        </w:tc>
        <w:tc>
          <w:tcPr>
            <w:tcW w:w="829" w:type="dxa"/>
            <w:vAlign w:val="center"/>
          </w:tcPr>
          <w:p>
            <w:pPr>
              <w:spacing w:line="240" w:lineRule="auto"/>
              <w:ind w:firstLine="0" w:firstLineChars="0"/>
              <w:jc w:val="center"/>
              <w:rPr>
                <w:sz w:val="21"/>
                <w:szCs w:val="21"/>
                <w:highlight w:val="none"/>
              </w:rPr>
            </w:pPr>
            <w:r>
              <w:rPr>
                <w:sz w:val="21"/>
                <w:highlight w:val="none"/>
              </w:rPr>
              <w:t>7.82</w:t>
            </w:r>
          </w:p>
        </w:tc>
        <w:tc>
          <w:tcPr>
            <w:tcW w:w="718" w:type="dxa"/>
            <w:vAlign w:val="center"/>
          </w:tcPr>
          <w:p>
            <w:pPr>
              <w:spacing w:line="240" w:lineRule="auto"/>
              <w:ind w:firstLine="0" w:firstLineChars="0"/>
              <w:jc w:val="center"/>
              <w:rPr>
                <w:sz w:val="21"/>
                <w:szCs w:val="21"/>
                <w:highlight w:val="none"/>
              </w:rPr>
            </w:pPr>
            <w:r>
              <w:rPr>
                <w:sz w:val="21"/>
                <w:highlight w:val="none"/>
              </w:rPr>
              <w:t>10.98</w:t>
            </w:r>
          </w:p>
        </w:tc>
        <w:tc>
          <w:tcPr>
            <w:tcW w:w="769" w:type="dxa"/>
            <w:vAlign w:val="center"/>
          </w:tcPr>
          <w:p>
            <w:pPr>
              <w:spacing w:line="240" w:lineRule="auto"/>
              <w:ind w:firstLine="0" w:firstLineChars="0"/>
              <w:jc w:val="center"/>
              <w:rPr>
                <w:sz w:val="21"/>
                <w:szCs w:val="21"/>
                <w:highlight w:val="none"/>
              </w:rPr>
            </w:pPr>
            <w:r>
              <w:rPr>
                <w:sz w:val="21"/>
                <w:highlight w:val="none"/>
              </w:rPr>
              <w:t>9.56</w:t>
            </w:r>
          </w:p>
        </w:tc>
        <w:tc>
          <w:tcPr>
            <w:tcW w:w="751" w:type="dxa"/>
            <w:vAlign w:val="center"/>
          </w:tcPr>
          <w:p>
            <w:pPr>
              <w:spacing w:line="240" w:lineRule="auto"/>
              <w:ind w:firstLine="0" w:firstLineChars="0"/>
              <w:jc w:val="center"/>
              <w:rPr>
                <w:sz w:val="21"/>
                <w:szCs w:val="21"/>
                <w:highlight w:val="none"/>
              </w:rPr>
            </w:pPr>
            <w:r>
              <w:rPr>
                <w:sz w:val="21"/>
                <w:highlight w:val="none"/>
              </w:rPr>
              <w:t>7.20</w:t>
            </w:r>
          </w:p>
        </w:tc>
        <w:tc>
          <w:tcPr>
            <w:tcW w:w="703" w:type="dxa"/>
            <w:vAlign w:val="center"/>
          </w:tcPr>
          <w:p>
            <w:pPr>
              <w:spacing w:line="240" w:lineRule="auto"/>
              <w:ind w:firstLine="0" w:firstLineChars="0"/>
              <w:jc w:val="center"/>
              <w:rPr>
                <w:sz w:val="21"/>
                <w:szCs w:val="21"/>
                <w:highlight w:val="none"/>
              </w:rPr>
            </w:pPr>
            <w:r>
              <w:rPr>
                <w:sz w:val="21"/>
                <w:highlight w:val="none"/>
              </w:rPr>
              <w:t>8.92</w:t>
            </w:r>
          </w:p>
        </w:tc>
        <w:tc>
          <w:tcPr>
            <w:tcW w:w="709" w:type="dxa"/>
            <w:vAlign w:val="center"/>
          </w:tcPr>
          <w:p>
            <w:pPr>
              <w:spacing w:line="240" w:lineRule="auto"/>
              <w:ind w:firstLine="0" w:firstLineChars="0"/>
              <w:jc w:val="center"/>
              <w:rPr>
                <w:sz w:val="21"/>
                <w:szCs w:val="21"/>
                <w:highlight w:val="none"/>
              </w:rPr>
            </w:pPr>
            <w:r>
              <w:rPr>
                <w:sz w:val="21"/>
                <w:highlight w:val="none"/>
              </w:rPr>
              <w:t>8.00</w:t>
            </w:r>
          </w:p>
        </w:tc>
        <w:tc>
          <w:tcPr>
            <w:tcW w:w="828" w:type="dxa"/>
            <w:vAlign w:val="center"/>
          </w:tcPr>
          <w:p>
            <w:pPr>
              <w:spacing w:line="240" w:lineRule="auto"/>
              <w:ind w:firstLine="0" w:firstLineChars="0"/>
              <w:jc w:val="center"/>
              <w:rPr>
                <w:sz w:val="21"/>
                <w:szCs w:val="21"/>
                <w:highlight w:val="none"/>
              </w:rPr>
            </w:pPr>
            <w:r>
              <w:rPr>
                <w:sz w:val="21"/>
                <w:highlight w:val="none"/>
              </w:rPr>
              <w:t>3.89</w:t>
            </w:r>
          </w:p>
        </w:tc>
        <w:tc>
          <w:tcPr>
            <w:tcW w:w="703" w:type="dxa"/>
            <w:vAlign w:val="center"/>
          </w:tcPr>
          <w:p>
            <w:pPr>
              <w:spacing w:line="240" w:lineRule="auto"/>
              <w:ind w:firstLine="0" w:firstLineChars="0"/>
              <w:jc w:val="center"/>
              <w:rPr>
                <w:sz w:val="21"/>
                <w:szCs w:val="21"/>
                <w:highlight w:val="none"/>
              </w:rPr>
            </w:pPr>
            <w:r>
              <w:rPr>
                <w:sz w:val="21"/>
                <w:highlight w:val="none"/>
              </w:rPr>
              <w:t>2.87</w:t>
            </w:r>
          </w:p>
        </w:tc>
        <w:tc>
          <w:tcPr>
            <w:tcW w:w="828" w:type="dxa"/>
            <w:vAlign w:val="center"/>
          </w:tcPr>
          <w:p>
            <w:pPr>
              <w:spacing w:line="240" w:lineRule="auto"/>
              <w:ind w:firstLine="0" w:firstLineChars="0"/>
              <w:jc w:val="center"/>
              <w:rPr>
                <w:sz w:val="21"/>
                <w:szCs w:val="21"/>
                <w:highlight w:val="none"/>
              </w:rPr>
            </w:pPr>
            <w:r>
              <w:rPr>
                <w:sz w:val="21"/>
                <w:highlight w:val="none"/>
              </w:rPr>
              <w:t>2.07</w:t>
            </w:r>
          </w:p>
        </w:tc>
        <w:tc>
          <w:tcPr>
            <w:tcW w:w="780" w:type="dxa"/>
            <w:vAlign w:val="center"/>
          </w:tcPr>
          <w:p>
            <w:pPr>
              <w:spacing w:line="240" w:lineRule="auto"/>
              <w:ind w:firstLine="0" w:firstLineChars="0"/>
              <w:jc w:val="center"/>
              <w:rPr>
                <w:sz w:val="21"/>
                <w:szCs w:val="21"/>
                <w:highlight w:val="none"/>
              </w:rPr>
            </w:pPr>
            <w:r>
              <w:rPr>
                <w:sz w:val="21"/>
                <w:highlight w:val="none"/>
              </w:rPr>
              <w:t>2.41</w:t>
            </w:r>
          </w:p>
        </w:tc>
        <w:tc>
          <w:tcPr>
            <w:tcW w:w="703" w:type="dxa"/>
            <w:vAlign w:val="center"/>
          </w:tcPr>
          <w:p>
            <w:pPr>
              <w:spacing w:line="240" w:lineRule="auto"/>
              <w:ind w:firstLine="0" w:firstLineChars="0"/>
              <w:jc w:val="center"/>
              <w:rPr>
                <w:sz w:val="21"/>
                <w:szCs w:val="21"/>
                <w:highlight w:val="none"/>
              </w:rPr>
            </w:pPr>
            <w:r>
              <w:rPr>
                <w:sz w:val="21"/>
                <w:highlight w:val="none"/>
              </w:rPr>
              <w:t>3.89</w:t>
            </w:r>
          </w:p>
        </w:tc>
        <w:tc>
          <w:tcPr>
            <w:tcW w:w="879" w:type="dxa"/>
            <w:vAlign w:val="center"/>
          </w:tcPr>
          <w:p>
            <w:pPr>
              <w:spacing w:line="240" w:lineRule="auto"/>
              <w:ind w:firstLine="0" w:firstLineChars="0"/>
              <w:jc w:val="center"/>
              <w:rPr>
                <w:sz w:val="21"/>
                <w:szCs w:val="21"/>
                <w:highlight w:val="none"/>
              </w:rPr>
            </w:pPr>
            <w:r>
              <w:rPr>
                <w:sz w:val="21"/>
                <w:highlight w:val="none"/>
              </w:rPr>
              <w:t>9.17</w:t>
            </w:r>
          </w:p>
        </w:tc>
        <w:tc>
          <w:tcPr>
            <w:tcW w:w="703" w:type="dxa"/>
            <w:vAlign w:val="center"/>
          </w:tcPr>
          <w:p>
            <w:pPr>
              <w:spacing w:line="240" w:lineRule="auto"/>
              <w:ind w:firstLine="0" w:firstLineChars="0"/>
              <w:jc w:val="center"/>
              <w:rPr>
                <w:sz w:val="21"/>
                <w:szCs w:val="21"/>
                <w:highlight w:val="none"/>
              </w:rPr>
            </w:pPr>
            <w:r>
              <w:rPr>
                <w:sz w:val="21"/>
                <w:highlight w:val="none"/>
              </w:rPr>
              <w:t>5.52</w:t>
            </w:r>
          </w:p>
        </w:tc>
        <w:tc>
          <w:tcPr>
            <w:tcW w:w="921" w:type="dxa"/>
            <w:vAlign w:val="center"/>
          </w:tcPr>
          <w:p>
            <w:pPr>
              <w:spacing w:line="240" w:lineRule="auto"/>
              <w:ind w:firstLine="0" w:firstLineChars="0"/>
              <w:jc w:val="center"/>
              <w:rPr>
                <w:sz w:val="21"/>
                <w:szCs w:val="21"/>
                <w:highlight w:val="none"/>
              </w:rPr>
            </w:pPr>
            <w:r>
              <w:rPr>
                <w:sz w:val="21"/>
                <w:highlight w:val="none"/>
              </w:rPr>
              <w:t>4.05</w:t>
            </w:r>
          </w:p>
        </w:tc>
        <w:tc>
          <w:tcPr>
            <w:tcW w:w="828" w:type="dxa"/>
            <w:vAlign w:val="center"/>
          </w:tcPr>
          <w:p>
            <w:pPr>
              <w:spacing w:line="240" w:lineRule="auto"/>
              <w:ind w:firstLine="0" w:firstLineChars="0"/>
              <w:jc w:val="center"/>
              <w:rPr>
                <w:sz w:val="21"/>
                <w:szCs w:val="21"/>
                <w:highlight w:val="none"/>
              </w:rPr>
            </w:pPr>
            <w:r>
              <w:rPr>
                <w:sz w:val="21"/>
                <w:highlight w:val="none"/>
              </w:rPr>
              <w:t>3.59</w:t>
            </w:r>
          </w:p>
        </w:tc>
        <w:tc>
          <w:tcPr>
            <w:tcW w:w="865" w:type="dxa"/>
            <w:vAlign w:val="center"/>
          </w:tcPr>
          <w:p>
            <w:pPr>
              <w:spacing w:line="240" w:lineRule="auto"/>
              <w:ind w:firstLine="0" w:firstLineChars="0"/>
              <w:jc w:val="center"/>
              <w:rPr>
                <w:sz w:val="21"/>
                <w:szCs w:val="21"/>
                <w:highlight w:val="none"/>
              </w:rPr>
            </w:pPr>
            <w:r>
              <w:rPr>
                <w:sz w:val="21"/>
                <w:highlight w:val="none"/>
              </w:rPr>
              <w:t>5.61</w:t>
            </w:r>
          </w:p>
        </w:tc>
        <w:tc>
          <w:tcPr>
            <w:tcW w:w="828" w:type="dxa"/>
            <w:vAlign w:val="center"/>
          </w:tcPr>
          <w:p>
            <w:pPr>
              <w:spacing w:line="240" w:lineRule="auto"/>
              <w:ind w:firstLine="0" w:firstLineChars="0"/>
              <w:jc w:val="center"/>
              <w:rPr>
                <w:sz w:val="21"/>
                <w:szCs w:val="21"/>
                <w:highlight w:val="none"/>
              </w:rPr>
            </w:pPr>
            <w:r>
              <w:rPr>
                <w:sz w:val="21"/>
                <w:highlight w:val="none"/>
              </w:rPr>
              <w:t>4.45</w:t>
            </w:r>
          </w:p>
        </w:tc>
      </w:tr>
    </w:tbl>
    <w:p>
      <w:pPr>
        <w:pStyle w:val="120"/>
        <w:spacing w:line="440" w:lineRule="exact"/>
        <w:ind w:left="425"/>
        <w:rPr>
          <w:rFonts w:ascii="Times New Roman" w:eastAsia="黑体"/>
          <w:sz w:val="21"/>
          <w:szCs w:val="21"/>
          <w:highlight w:val="none"/>
        </w:rPr>
      </w:pPr>
    </w:p>
    <w:p>
      <w:pPr>
        <w:pStyle w:val="120"/>
        <w:spacing w:before="0" w:after="0"/>
        <w:ind w:left="425"/>
        <w:rPr>
          <w:rFonts w:ascii="Times New Roman" w:eastAsia="黑体"/>
          <w:sz w:val="21"/>
          <w:szCs w:val="21"/>
          <w:highlight w:val="none"/>
        </w:rPr>
      </w:pPr>
      <w:r>
        <w:rPr>
          <w:rFonts w:ascii="Times New Roman" w:eastAsia="黑体"/>
          <w:sz w:val="21"/>
          <w:szCs w:val="21"/>
          <w:highlight w:val="none"/>
        </w:rPr>
        <w:br w:type="page"/>
      </w:r>
      <w:r>
        <w:rPr>
          <w:rFonts w:ascii="Times New Roman" w:eastAsia="黑体"/>
          <w:sz w:val="21"/>
          <w:szCs w:val="21"/>
          <w:highlight w:val="none"/>
        </w:rPr>
        <w:t>表5.2-</w:t>
      </w:r>
      <w:r>
        <w:rPr>
          <w:rFonts w:hint="eastAsia" w:ascii="Times New Roman" w:eastAsia="黑体"/>
          <w:sz w:val="21"/>
          <w:szCs w:val="21"/>
          <w:highlight w:val="none"/>
        </w:rPr>
        <w:t>6</w:t>
      </w:r>
      <w:r>
        <w:rPr>
          <w:rFonts w:ascii="Times New Roman" w:eastAsia="黑体"/>
          <w:sz w:val="21"/>
          <w:szCs w:val="21"/>
          <w:highlight w:val="none"/>
        </w:rPr>
        <w:t>各方位平均风速单位：m/s</w:t>
      </w:r>
    </w:p>
    <w:tbl>
      <w:tblPr>
        <w:tblStyle w:val="48"/>
        <w:tblW w:w="14174"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83"/>
        <w:gridCol w:w="783"/>
        <w:gridCol w:w="826"/>
        <w:gridCol w:w="783"/>
        <w:gridCol w:w="785"/>
        <w:gridCol w:w="785"/>
        <w:gridCol w:w="785"/>
        <w:gridCol w:w="785"/>
        <w:gridCol w:w="785"/>
        <w:gridCol w:w="785"/>
        <w:gridCol w:w="785"/>
        <w:gridCol w:w="785"/>
        <w:gridCol w:w="785"/>
        <w:gridCol w:w="785"/>
        <w:gridCol w:w="794"/>
        <w:gridCol w:w="785"/>
        <w:gridCol w:w="785"/>
        <w:gridCol w:w="78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p>
        </w:tc>
        <w:tc>
          <w:tcPr>
            <w:tcW w:w="783" w:type="dxa"/>
            <w:vAlign w:val="center"/>
          </w:tcPr>
          <w:p>
            <w:pPr>
              <w:spacing w:line="240" w:lineRule="auto"/>
              <w:ind w:firstLine="0" w:firstLineChars="0"/>
              <w:jc w:val="center"/>
              <w:rPr>
                <w:sz w:val="21"/>
                <w:szCs w:val="21"/>
                <w:highlight w:val="none"/>
              </w:rPr>
            </w:pPr>
            <w:r>
              <w:rPr>
                <w:sz w:val="21"/>
                <w:szCs w:val="21"/>
                <w:highlight w:val="none"/>
              </w:rPr>
              <w:t>N</w:t>
            </w:r>
          </w:p>
        </w:tc>
        <w:tc>
          <w:tcPr>
            <w:tcW w:w="826" w:type="dxa"/>
            <w:vAlign w:val="center"/>
          </w:tcPr>
          <w:p>
            <w:pPr>
              <w:spacing w:line="240" w:lineRule="auto"/>
              <w:ind w:firstLine="0" w:firstLineChars="0"/>
              <w:jc w:val="center"/>
              <w:rPr>
                <w:sz w:val="21"/>
                <w:szCs w:val="21"/>
                <w:highlight w:val="none"/>
              </w:rPr>
            </w:pPr>
            <w:r>
              <w:rPr>
                <w:sz w:val="21"/>
                <w:szCs w:val="21"/>
                <w:highlight w:val="none"/>
              </w:rPr>
              <w:t>NNE</w:t>
            </w:r>
          </w:p>
        </w:tc>
        <w:tc>
          <w:tcPr>
            <w:tcW w:w="783" w:type="dxa"/>
            <w:vAlign w:val="center"/>
          </w:tcPr>
          <w:p>
            <w:pPr>
              <w:spacing w:line="240" w:lineRule="auto"/>
              <w:ind w:firstLine="0" w:firstLineChars="0"/>
              <w:jc w:val="center"/>
              <w:rPr>
                <w:sz w:val="21"/>
                <w:szCs w:val="21"/>
                <w:highlight w:val="none"/>
              </w:rPr>
            </w:pPr>
            <w:r>
              <w:rPr>
                <w:sz w:val="21"/>
                <w:szCs w:val="21"/>
                <w:highlight w:val="none"/>
              </w:rPr>
              <w:t>NE</w:t>
            </w:r>
          </w:p>
        </w:tc>
        <w:tc>
          <w:tcPr>
            <w:tcW w:w="785" w:type="dxa"/>
            <w:vAlign w:val="center"/>
          </w:tcPr>
          <w:p>
            <w:pPr>
              <w:spacing w:line="240" w:lineRule="auto"/>
              <w:ind w:firstLine="0" w:firstLineChars="0"/>
              <w:jc w:val="center"/>
              <w:rPr>
                <w:sz w:val="21"/>
                <w:szCs w:val="21"/>
                <w:highlight w:val="none"/>
              </w:rPr>
            </w:pPr>
            <w:r>
              <w:rPr>
                <w:sz w:val="21"/>
                <w:szCs w:val="21"/>
                <w:highlight w:val="none"/>
              </w:rPr>
              <w:t>ENE</w:t>
            </w:r>
          </w:p>
        </w:tc>
        <w:tc>
          <w:tcPr>
            <w:tcW w:w="785" w:type="dxa"/>
            <w:vAlign w:val="center"/>
          </w:tcPr>
          <w:p>
            <w:pPr>
              <w:spacing w:line="240" w:lineRule="auto"/>
              <w:ind w:firstLine="0" w:firstLineChars="0"/>
              <w:jc w:val="center"/>
              <w:rPr>
                <w:sz w:val="21"/>
                <w:szCs w:val="21"/>
                <w:highlight w:val="none"/>
              </w:rPr>
            </w:pPr>
            <w:r>
              <w:rPr>
                <w:sz w:val="21"/>
                <w:szCs w:val="21"/>
                <w:highlight w:val="none"/>
              </w:rPr>
              <w:t>E</w:t>
            </w:r>
          </w:p>
        </w:tc>
        <w:tc>
          <w:tcPr>
            <w:tcW w:w="785" w:type="dxa"/>
            <w:vAlign w:val="center"/>
          </w:tcPr>
          <w:p>
            <w:pPr>
              <w:spacing w:line="240" w:lineRule="auto"/>
              <w:ind w:firstLine="0" w:firstLineChars="0"/>
              <w:jc w:val="center"/>
              <w:rPr>
                <w:sz w:val="21"/>
                <w:szCs w:val="21"/>
                <w:highlight w:val="none"/>
              </w:rPr>
            </w:pPr>
            <w:r>
              <w:rPr>
                <w:sz w:val="21"/>
                <w:szCs w:val="21"/>
                <w:highlight w:val="none"/>
              </w:rPr>
              <w:t>ESE</w:t>
            </w:r>
          </w:p>
        </w:tc>
        <w:tc>
          <w:tcPr>
            <w:tcW w:w="785" w:type="dxa"/>
            <w:vAlign w:val="center"/>
          </w:tcPr>
          <w:p>
            <w:pPr>
              <w:spacing w:line="240" w:lineRule="auto"/>
              <w:ind w:firstLine="0" w:firstLineChars="0"/>
              <w:jc w:val="center"/>
              <w:rPr>
                <w:sz w:val="21"/>
                <w:szCs w:val="21"/>
                <w:highlight w:val="none"/>
              </w:rPr>
            </w:pPr>
            <w:r>
              <w:rPr>
                <w:sz w:val="21"/>
                <w:szCs w:val="21"/>
                <w:highlight w:val="none"/>
              </w:rPr>
              <w:t>SE</w:t>
            </w:r>
          </w:p>
        </w:tc>
        <w:tc>
          <w:tcPr>
            <w:tcW w:w="785" w:type="dxa"/>
            <w:vAlign w:val="center"/>
          </w:tcPr>
          <w:p>
            <w:pPr>
              <w:spacing w:line="240" w:lineRule="auto"/>
              <w:ind w:firstLine="0" w:firstLineChars="0"/>
              <w:jc w:val="center"/>
              <w:rPr>
                <w:sz w:val="21"/>
                <w:szCs w:val="21"/>
                <w:highlight w:val="none"/>
              </w:rPr>
            </w:pPr>
            <w:r>
              <w:rPr>
                <w:sz w:val="21"/>
                <w:szCs w:val="21"/>
                <w:highlight w:val="none"/>
              </w:rPr>
              <w:t>SSE</w:t>
            </w:r>
          </w:p>
        </w:tc>
        <w:tc>
          <w:tcPr>
            <w:tcW w:w="785" w:type="dxa"/>
            <w:vAlign w:val="center"/>
          </w:tcPr>
          <w:p>
            <w:pPr>
              <w:spacing w:line="240" w:lineRule="auto"/>
              <w:ind w:firstLine="0" w:firstLineChars="0"/>
              <w:jc w:val="center"/>
              <w:rPr>
                <w:sz w:val="21"/>
                <w:szCs w:val="21"/>
                <w:highlight w:val="none"/>
              </w:rPr>
            </w:pPr>
            <w:r>
              <w:rPr>
                <w:sz w:val="21"/>
                <w:szCs w:val="21"/>
                <w:highlight w:val="none"/>
              </w:rPr>
              <w:t>S</w:t>
            </w:r>
          </w:p>
        </w:tc>
        <w:tc>
          <w:tcPr>
            <w:tcW w:w="785" w:type="dxa"/>
            <w:vAlign w:val="center"/>
          </w:tcPr>
          <w:p>
            <w:pPr>
              <w:spacing w:line="240" w:lineRule="auto"/>
              <w:ind w:firstLine="0" w:firstLineChars="0"/>
              <w:jc w:val="center"/>
              <w:rPr>
                <w:sz w:val="21"/>
                <w:szCs w:val="21"/>
                <w:highlight w:val="none"/>
              </w:rPr>
            </w:pPr>
            <w:r>
              <w:rPr>
                <w:sz w:val="21"/>
                <w:szCs w:val="21"/>
                <w:highlight w:val="none"/>
              </w:rPr>
              <w:t>SSW</w:t>
            </w:r>
          </w:p>
        </w:tc>
        <w:tc>
          <w:tcPr>
            <w:tcW w:w="785" w:type="dxa"/>
            <w:vAlign w:val="center"/>
          </w:tcPr>
          <w:p>
            <w:pPr>
              <w:spacing w:line="240" w:lineRule="auto"/>
              <w:ind w:firstLine="0" w:firstLineChars="0"/>
              <w:jc w:val="center"/>
              <w:rPr>
                <w:sz w:val="21"/>
                <w:szCs w:val="21"/>
                <w:highlight w:val="none"/>
              </w:rPr>
            </w:pPr>
            <w:r>
              <w:rPr>
                <w:sz w:val="21"/>
                <w:szCs w:val="21"/>
                <w:highlight w:val="none"/>
              </w:rPr>
              <w:t>SW</w:t>
            </w:r>
          </w:p>
        </w:tc>
        <w:tc>
          <w:tcPr>
            <w:tcW w:w="785" w:type="dxa"/>
            <w:vAlign w:val="center"/>
          </w:tcPr>
          <w:p>
            <w:pPr>
              <w:spacing w:line="240" w:lineRule="auto"/>
              <w:ind w:firstLine="0" w:firstLineChars="0"/>
              <w:jc w:val="center"/>
              <w:rPr>
                <w:sz w:val="21"/>
                <w:szCs w:val="21"/>
                <w:highlight w:val="none"/>
              </w:rPr>
            </w:pPr>
            <w:r>
              <w:rPr>
                <w:sz w:val="21"/>
                <w:szCs w:val="21"/>
                <w:highlight w:val="none"/>
              </w:rPr>
              <w:t>WSW</w:t>
            </w:r>
          </w:p>
        </w:tc>
        <w:tc>
          <w:tcPr>
            <w:tcW w:w="785" w:type="dxa"/>
            <w:vAlign w:val="center"/>
          </w:tcPr>
          <w:p>
            <w:pPr>
              <w:spacing w:line="240" w:lineRule="auto"/>
              <w:ind w:firstLine="0" w:firstLineChars="0"/>
              <w:jc w:val="center"/>
              <w:rPr>
                <w:sz w:val="21"/>
                <w:szCs w:val="21"/>
                <w:highlight w:val="none"/>
              </w:rPr>
            </w:pPr>
            <w:r>
              <w:rPr>
                <w:sz w:val="21"/>
                <w:szCs w:val="21"/>
                <w:highlight w:val="none"/>
              </w:rPr>
              <w:t>W</w:t>
            </w:r>
          </w:p>
        </w:tc>
        <w:tc>
          <w:tcPr>
            <w:tcW w:w="794" w:type="dxa"/>
            <w:vAlign w:val="center"/>
          </w:tcPr>
          <w:p>
            <w:pPr>
              <w:spacing w:line="240" w:lineRule="auto"/>
              <w:ind w:firstLine="0" w:firstLineChars="0"/>
              <w:jc w:val="center"/>
              <w:rPr>
                <w:sz w:val="21"/>
                <w:szCs w:val="21"/>
                <w:highlight w:val="none"/>
              </w:rPr>
            </w:pPr>
            <w:r>
              <w:rPr>
                <w:sz w:val="21"/>
                <w:szCs w:val="21"/>
                <w:highlight w:val="none"/>
              </w:rPr>
              <w:t>WNW</w:t>
            </w:r>
          </w:p>
        </w:tc>
        <w:tc>
          <w:tcPr>
            <w:tcW w:w="785" w:type="dxa"/>
            <w:vAlign w:val="center"/>
          </w:tcPr>
          <w:p>
            <w:pPr>
              <w:spacing w:line="240" w:lineRule="auto"/>
              <w:ind w:firstLine="0" w:firstLineChars="0"/>
              <w:jc w:val="center"/>
              <w:rPr>
                <w:sz w:val="21"/>
                <w:szCs w:val="21"/>
                <w:highlight w:val="none"/>
              </w:rPr>
            </w:pPr>
            <w:r>
              <w:rPr>
                <w:sz w:val="21"/>
                <w:szCs w:val="21"/>
                <w:highlight w:val="none"/>
              </w:rPr>
              <w:t>NW</w:t>
            </w:r>
          </w:p>
        </w:tc>
        <w:tc>
          <w:tcPr>
            <w:tcW w:w="785" w:type="dxa"/>
            <w:vAlign w:val="center"/>
          </w:tcPr>
          <w:p>
            <w:pPr>
              <w:spacing w:line="240" w:lineRule="auto"/>
              <w:ind w:firstLine="0" w:firstLineChars="0"/>
              <w:jc w:val="center"/>
              <w:rPr>
                <w:sz w:val="21"/>
                <w:szCs w:val="21"/>
                <w:highlight w:val="none"/>
              </w:rPr>
            </w:pPr>
            <w:r>
              <w:rPr>
                <w:sz w:val="21"/>
                <w:szCs w:val="21"/>
                <w:highlight w:val="none"/>
              </w:rPr>
              <w:t>NNW</w:t>
            </w:r>
          </w:p>
        </w:tc>
        <w:tc>
          <w:tcPr>
            <w:tcW w:w="785" w:type="dxa"/>
            <w:vAlign w:val="center"/>
          </w:tcPr>
          <w:p>
            <w:pPr>
              <w:spacing w:line="240" w:lineRule="auto"/>
              <w:ind w:firstLine="0" w:firstLineChars="0"/>
              <w:jc w:val="center"/>
              <w:rPr>
                <w:sz w:val="21"/>
                <w:szCs w:val="21"/>
                <w:highlight w:val="none"/>
              </w:rPr>
            </w:pPr>
            <w:r>
              <w:rPr>
                <w:sz w:val="21"/>
                <w:szCs w:val="21"/>
                <w:highlight w:val="none"/>
              </w:rPr>
              <w:t>平均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1月</w:t>
            </w:r>
          </w:p>
        </w:tc>
        <w:tc>
          <w:tcPr>
            <w:tcW w:w="783" w:type="dxa"/>
            <w:vAlign w:val="center"/>
          </w:tcPr>
          <w:p>
            <w:pPr>
              <w:spacing w:line="240" w:lineRule="auto"/>
              <w:ind w:firstLine="0" w:firstLineChars="0"/>
              <w:jc w:val="center"/>
              <w:rPr>
                <w:sz w:val="21"/>
                <w:szCs w:val="21"/>
                <w:highlight w:val="none"/>
              </w:rPr>
            </w:pPr>
            <w:r>
              <w:rPr>
                <w:sz w:val="21"/>
                <w:szCs w:val="21"/>
                <w:highlight w:val="none"/>
              </w:rPr>
              <w:t>1.77</w:t>
            </w:r>
          </w:p>
        </w:tc>
        <w:tc>
          <w:tcPr>
            <w:tcW w:w="826" w:type="dxa"/>
            <w:vAlign w:val="center"/>
          </w:tcPr>
          <w:p>
            <w:pPr>
              <w:spacing w:line="240" w:lineRule="auto"/>
              <w:ind w:firstLine="0" w:firstLineChars="0"/>
              <w:jc w:val="center"/>
              <w:rPr>
                <w:sz w:val="21"/>
                <w:szCs w:val="21"/>
                <w:highlight w:val="none"/>
              </w:rPr>
            </w:pPr>
            <w:r>
              <w:rPr>
                <w:sz w:val="21"/>
                <w:szCs w:val="21"/>
                <w:highlight w:val="none"/>
              </w:rPr>
              <w:t>1.15</w:t>
            </w:r>
          </w:p>
        </w:tc>
        <w:tc>
          <w:tcPr>
            <w:tcW w:w="783" w:type="dxa"/>
            <w:vAlign w:val="center"/>
          </w:tcPr>
          <w:p>
            <w:pPr>
              <w:spacing w:line="240" w:lineRule="auto"/>
              <w:ind w:firstLine="0" w:firstLineChars="0"/>
              <w:jc w:val="center"/>
              <w:rPr>
                <w:sz w:val="21"/>
                <w:szCs w:val="21"/>
                <w:highlight w:val="none"/>
              </w:rPr>
            </w:pPr>
            <w:r>
              <w:rPr>
                <w:sz w:val="21"/>
                <w:szCs w:val="21"/>
                <w:highlight w:val="none"/>
              </w:rPr>
              <w:t>1.17</w:t>
            </w:r>
          </w:p>
        </w:tc>
        <w:tc>
          <w:tcPr>
            <w:tcW w:w="785" w:type="dxa"/>
            <w:vAlign w:val="center"/>
          </w:tcPr>
          <w:p>
            <w:pPr>
              <w:spacing w:line="240" w:lineRule="auto"/>
              <w:ind w:firstLine="0" w:firstLineChars="0"/>
              <w:jc w:val="center"/>
              <w:rPr>
                <w:sz w:val="21"/>
                <w:szCs w:val="21"/>
                <w:highlight w:val="none"/>
              </w:rPr>
            </w:pPr>
            <w:r>
              <w:rPr>
                <w:sz w:val="21"/>
                <w:szCs w:val="21"/>
                <w:highlight w:val="none"/>
              </w:rPr>
              <w:t>1.35</w:t>
            </w:r>
          </w:p>
        </w:tc>
        <w:tc>
          <w:tcPr>
            <w:tcW w:w="785" w:type="dxa"/>
            <w:vAlign w:val="center"/>
          </w:tcPr>
          <w:p>
            <w:pPr>
              <w:spacing w:line="240" w:lineRule="auto"/>
              <w:ind w:firstLine="0" w:firstLineChars="0"/>
              <w:jc w:val="center"/>
              <w:rPr>
                <w:sz w:val="21"/>
                <w:szCs w:val="21"/>
                <w:highlight w:val="none"/>
              </w:rPr>
            </w:pPr>
            <w:r>
              <w:rPr>
                <w:sz w:val="21"/>
                <w:szCs w:val="21"/>
                <w:highlight w:val="none"/>
              </w:rPr>
              <w:t>1.28</w:t>
            </w:r>
          </w:p>
        </w:tc>
        <w:tc>
          <w:tcPr>
            <w:tcW w:w="785" w:type="dxa"/>
            <w:vAlign w:val="center"/>
          </w:tcPr>
          <w:p>
            <w:pPr>
              <w:spacing w:line="240" w:lineRule="auto"/>
              <w:ind w:firstLine="0" w:firstLineChars="0"/>
              <w:jc w:val="center"/>
              <w:rPr>
                <w:sz w:val="21"/>
                <w:szCs w:val="21"/>
                <w:highlight w:val="none"/>
              </w:rPr>
            </w:pPr>
            <w:r>
              <w:rPr>
                <w:sz w:val="21"/>
                <w:szCs w:val="21"/>
                <w:highlight w:val="none"/>
              </w:rPr>
              <w:t>1.06</w:t>
            </w:r>
          </w:p>
        </w:tc>
        <w:tc>
          <w:tcPr>
            <w:tcW w:w="785" w:type="dxa"/>
            <w:vAlign w:val="center"/>
          </w:tcPr>
          <w:p>
            <w:pPr>
              <w:spacing w:line="240" w:lineRule="auto"/>
              <w:ind w:firstLine="0" w:firstLineChars="0"/>
              <w:jc w:val="center"/>
              <w:rPr>
                <w:sz w:val="21"/>
                <w:szCs w:val="21"/>
                <w:highlight w:val="none"/>
              </w:rPr>
            </w:pPr>
            <w:r>
              <w:rPr>
                <w:sz w:val="21"/>
                <w:szCs w:val="21"/>
                <w:highlight w:val="none"/>
              </w:rPr>
              <w:t>1.08</w:t>
            </w:r>
          </w:p>
        </w:tc>
        <w:tc>
          <w:tcPr>
            <w:tcW w:w="785" w:type="dxa"/>
            <w:vAlign w:val="center"/>
          </w:tcPr>
          <w:p>
            <w:pPr>
              <w:spacing w:line="240" w:lineRule="auto"/>
              <w:ind w:firstLine="0" w:firstLineChars="0"/>
              <w:jc w:val="center"/>
              <w:rPr>
                <w:sz w:val="21"/>
                <w:szCs w:val="21"/>
                <w:highlight w:val="none"/>
              </w:rPr>
            </w:pPr>
            <w:r>
              <w:rPr>
                <w:sz w:val="21"/>
                <w:szCs w:val="21"/>
                <w:highlight w:val="none"/>
              </w:rPr>
              <w:t>0.99</w:t>
            </w:r>
          </w:p>
        </w:tc>
        <w:tc>
          <w:tcPr>
            <w:tcW w:w="785" w:type="dxa"/>
            <w:vAlign w:val="center"/>
          </w:tcPr>
          <w:p>
            <w:pPr>
              <w:spacing w:line="240" w:lineRule="auto"/>
              <w:ind w:firstLine="0" w:firstLineChars="0"/>
              <w:jc w:val="center"/>
              <w:rPr>
                <w:sz w:val="21"/>
                <w:szCs w:val="21"/>
                <w:highlight w:val="none"/>
              </w:rPr>
            </w:pPr>
            <w:r>
              <w:rPr>
                <w:sz w:val="21"/>
                <w:szCs w:val="21"/>
                <w:highlight w:val="none"/>
              </w:rPr>
              <w:t>1.05</w:t>
            </w:r>
          </w:p>
        </w:tc>
        <w:tc>
          <w:tcPr>
            <w:tcW w:w="785" w:type="dxa"/>
            <w:vAlign w:val="center"/>
          </w:tcPr>
          <w:p>
            <w:pPr>
              <w:spacing w:line="240" w:lineRule="auto"/>
              <w:ind w:firstLine="0" w:firstLineChars="0"/>
              <w:jc w:val="center"/>
              <w:rPr>
                <w:sz w:val="21"/>
                <w:szCs w:val="21"/>
                <w:highlight w:val="none"/>
              </w:rPr>
            </w:pPr>
            <w:r>
              <w:rPr>
                <w:sz w:val="21"/>
                <w:szCs w:val="21"/>
                <w:highlight w:val="none"/>
              </w:rPr>
              <w:t>1.69</w:t>
            </w:r>
          </w:p>
        </w:tc>
        <w:tc>
          <w:tcPr>
            <w:tcW w:w="785" w:type="dxa"/>
            <w:vAlign w:val="center"/>
          </w:tcPr>
          <w:p>
            <w:pPr>
              <w:spacing w:line="240" w:lineRule="auto"/>
              <w:ind w:firstLine="0" w:firstLineChars="0"/>
              <w:jc w:val="center"/>
              <w:rPr>
                <w:sz w:val="21"/>
                <w:szCs w:val="21"/>
                <w:highlight w:val="none"/>
              </w:rPr>
            </w:pPr>
            <w:r>
              <w:rPr>
                <w:sz w:val="21"/>
                <w:szCs w:val="21"/>
                <w:highlight w:val="none"/>
              </w:rPr>
              <w:t>1.95</w:t>
            </w:r>
          </w:p>
        </w:tc>
        <w:tc>
          <w:tcPr>
            <w:tcW w:w="785" w:type="dxa"/>
            <w:vAlign w:val="center"/>
          </w:tcPr>
          <w:p>
            <w:pPr>
              <w:spacing w:line="240" w:lineRule="auto"/>
              <w:ind w:firstLine="0" w:firstLineChars="0"/>
              <w:jc w:val="center"/>
              <w:rPr>
                <w:sz w:val="21"/>
                <w:szCs w:val="21"/>
                <w:highlight w:val="none"/>
              </w:rPr>
            </w:pPr>
            <w:r>
              <w:rPr>
                <w:sz w:val="21"/>
                <w:szCs w:val="21"/>
                <w:highlight w:val="none"/>
              </w:rPr>
              <w:t>1.86</w:t>
            </w:r>
          </w:p>
        </w:tc>
        <w:tc>
          <w:tcPr>
            <w:tcW w:w="785" w:type="dxa"/>
            <w:vAlign w:val="center"/>
          </w:tcPr>
          <w:p>
            <w:pPr>
              <w:spacing w:line="240" w:lineRule="auto"/>
              <w:ind w:firstLine="0" w:firstLineChars="0"/>
              <w:jc w:val="center"/>
              <w:rPr>
                <w:sz w:val="21"/>
                <w:szCs w:val="21"/>
                <w:highlight w:val="none"/>
              </w:rPr>
            </w:pPr>
            <w:r>
              <w:rPr>
                <w:sz w:val="21"/>
                <w:szCs w:val="21"/>
                <w:highlight w:val="none"/>
              </w:rPr>
              <w:t>1.36</w:t>
            </w:r>
          </w:p>
        </w:tc>
        <w:tc>
          <w:tcPr>
            <w:tcW w:w="794" w:type="dxa"/>
            <w:vAlign w:val="center"/>
          </w:tcPr>
          <w:p>
            <w:pPr>
              <w:spacing w:line="240" w:lineRule="auto"/>
              <w:ind w:firstLine="0" w:firstLineChars="0"/>
              <w:jc w:val="center"/>
              <w:rPr>
                <w:sz w:val="21"/>
                <w:szCs w:val="21"/>
                <w:highlight w:val="none"/>
              </w:rPr>
            </w:pPr>
            <w:r>
              <w:rPr>
                <w:sz w:val="21"/>
                <w:szCs w:val="21"/>
                <w:highlight w:val="none"/>
              </w:rPr>
              <w:t>1.36</w:t>
            </w:r>
          </w:p>
        </w:tc>
        <w:tc>
          <w:tcPr>
            <w:tcW w:w="785" w:type="dxa"/>
            <w:vAlign w:val="center"/>
          </w:tcPr>
          <w:p>
            <w:pPr>
              <w:spacing w:line="240" w:lineRule="auto"/>
              <w:ind w:firstLine="0" w:firstLineChars="0"/>
              <w:jc w:val="center"/>
              <w:rPr>
                <w:sz w:val="21"/>
                <w:szCs w:val="21"/>
                <w:highlight w:val="none"/>
              </w:rPr>
            </w:pPr>
            <w:r>
              <w:rPr>
                <w:sz w:val="21"/>
                <w:szCs w:val="21"/>
                <w:highlight w:val="none"/>
              </w:rPr>
              <w:t>2.28</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1.36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2月</w:t>
            </w:r>
          </w:p>
        </w:tc>
        <w:tc>
          <w:tcPr>
            <w:tcW w:w="783" w:type="dxa"/>
            <w:vAlign w:val="center"/>
          </w:tcPr>
          <w:p>
            <w:pPr>
              <w:spacing w:line="240" w:lineRule="auto"/>
              <w:ind w:firstLine="0" w:firstLineChars="0"/>
              <w:jc w:val="center"/>
              <w:rPr>
                <w:sz w:val="21"/>
                <w:szCs w:val="21"/>
                <w:highlight w:val="none"/>
              </w:rPr>
            </w:pPr>
            <w:r>
              <w:rPr>
                <w:sz w:val="21"/>
                <w:szCs w:val="21"/>
                <w:highlight w:val="none"/>
              </w:rPr>
              <w:t>2.12</w:t>
            </w:r>
          </w:p>
        </w:tc>
        <w:tc>
          <w:tcPr>
            <w:tcW w:w="826" w:type="dxa"/>
            <w:vAlign w:val="center"/>
          </w:tcPr>
          <w:p>
            <w:pPr>
              <w:spacing w:line="240" w:lineRule="auto"/>
              <w:ind w:firstLine="0" w:firstLineChars="0"/>
              <w:jc w:val="center"/>
              <w:rPr>
                <w:sz w:val="21"/>
                <w:szCs w:val="21"/>
                <w:highlight w:val="none"/>
              </w:rPr>
            </w:pPr>
            <w:r>
              <w:rPr>
                <w:sz w:val="21"/>
                <w:szCs w:val="21"/>
                <w:highlight w:val="none"/>
              </w:rPr>
              <w:t>1.22</w:t>
            </w:r>
          </w:p>
        </w:tc>
        <w:tc>
          <w:tcPr>
            <w:tcW w:w="783" w:type="dxa"/>
            <w:vAlign w:val="center"/>
          </w:tcPr>
          <w:p>
            <w:pPr>
              <w:spacing w:line="240" w:lineRule="auto"/>
              <w:ind w:firstLine="0" w:firstLineChars="0"/>
              <w:jc w:val="center"/>
              <w:rPr>
                <w:sz w:val="21"/>
                <w:szCs w:val="21"/>
                <w:highlight w:val="none"/>
              </w:rPr>
            </w:pPr>
            <w:r>
              <w:rPr>
                <w:sz w:val="21"/>
                <w:szCs w:val="21"/>
                <w:highlight w:val="none"/>
              </w:rPr>
              <w:t>1.1</w:t>
            </w:r>
          </w:p>
        </w:tc>
        <w:tc>
          <w:tcPr>
            <w:tcW w:w="785" w:type="dxa"/>
            <w:vAlign w:val="center"/>
          </w:tcPr>
          <w:p>
            <w:pPr>
              <w:spacing w:line="240" w:lineRule="auto"/>
              <w:ind w:firstLine="0" w:firstLineChars="0"/>
              <w:jc w:val="center"/>
              <w:rPr>
                <w:sz w:val="21"/>
                <w:szCs w:val="21"/>
                <w:highlight w:val="none"/>
              </w:rPr>
            </w:pPr>
            <w:r>
              <w:rPr>
                <w:sz w:val="21"/>
                <w:szCs w:val="21"/>
                <w:highlight w:val="none"/>
              </w:rPr>
              <w:t>1.45</w:t>
            </w:r>
          </w:p>
        </w:tc>
        <w:tc>
          <w:tcPr>
            <w:tcW w:w="785" w:type="dxa"/>
            <w:vAlign w:val="center"/>
          </w:tcPr>
          <w:p>
            <w:pPr>
              <w:spacing w:line="240" w:lineRule="auto"/>
              <w:ind w:firstLine="0" w:firstLineChars="0"/>
              <w:jc w:val="center"/>
              <w:rPr>
                <w:sz w:val="21"/>
                <w:szCs w:val="21"/>
                <w:highlight w:val="none"/>
              </w:rPr>
            </w:pPr>
            <w:r>
              <w:rPr>
                <w:sz w:val="21"/>
                <w:szCs w:val="21"/>
                <w:highlight w:val="none"/>
              </w:rPr>
              <w:t>1.53</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1.31</w:t>
            </w:r>
          </w:p>
        </w:tc>
        <w:tc>
          <w:tcPr>
            <w:tcW w:w="785" w:type="dxa"/>
            <w:vAlign w:val="center"/>
          </w:tcPr>
          <w:p>
            <w:pPr>
              <w:spacing w:line="240" w:lineRule="auto"/>
              <w:ind w:firstLine="0" w:firstLineChars="0"/>
              <w:jc w:val="center"/>
              <w:rPr>
                <w:sz w:val="21"/>
                <w:szCs w:val="21"/>
                <w:highlight w:val="none"/>
              </w:rPr>
            </w:pPr>
            <w:r>
              <w:rPr>
                <w:sz w:val="21"/>
                <w:szCs w:val="21"/>
                <w:highlight w:val="none"/>
              </w:rPr>
              <w:t>1.24</w:t>
            </w:r>
          </w:p>
        </w:tc>
        <w:tc>
          <w:tcPr>
            <w:tcW w:w="785" w:type="dxa"/>
            <w:vAlign w:val="center"/>
          </w:tcPr>
          <w:p>
            <w:pPr>
              <w:spacing w:line="240" w:lineRule="auto"/>
              <w:ind w:firstLine="0" w:firstLineChars="0"/>
              <w:jc w:val="center"/>
              <w:rPr>
                <w:sz w:val="21"/>
                <w:szCs w:val="21"/>
                <w:highlight w:val="none"/>
              </w:rPr>
            </w:pPr>
            <w:r>
              <w:rPr>
                <w:sz w:val="21"/>
                <w:szCs w:val="21"/>
                <w:highlight w:val="none"/>
              </w:rPr>
              <w:t>1.37</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2.02</w:t>
            </w:r>
          </w:p>
        </w:tc>
        <w:tc>
          <w:tcPr>
            <w:tcW w:w="785" w:type="dxa"/>
            <w:vAlign w:val="center"/>
          </w:tcPr>
          <w:p>
            <w:pPr>
              <w:spacing w:line="240" w:lineRule="auto"/>
              <w:ind w:firstLine="0" w:firstLineChars="0"/>
              <w:jc w:val="center"/>
              <w:rPr>
                <w:sz w:val="21"/>
                <w:szCs w:val="21"/>
                <w:highlight w:val="none"/>
              </w:rPr>
            </w:pPr>
            <w:r>
              <w:rPr>
                <w:sz w:val="21"/>
                <w:szCs w:val="21"/>
                <w:highlight w:val="none"/>
              </w:rPr>
              <w:t>2.25</w:t>
            </w:r>
          </w:p>
        </w:tc>
        <w:tc>
          <w:tcPr>
            <w:tcW w:w="785" w:type="dxa"/>
            <w:vAlign w:val="center"/>
          </w:tcPr>
          <w:p>
            <w:pPr>
              <w:spacing w:line="240" w:lineRule="auto"/>
              <w:ind w:firstLine="0" w:firstLineChars="0"/>
              <w:jc w:val="center"/>
              <w:rPr>
                <w:sz w:val="21"/>
                <w:szCs w:val="21"/>
                <w:highlight w:val="none"/>
              </w:rPr>
            </w:pPr>
            <w:r>
              <w:rPr>
                <w:sz w:val="21"/>
                <w:szCs w:val="21"/>
                <w:highlight w:val="none"/>
              </w:rPr>
              <w:t>1.97</w:t>
            </w:r>
          </w:p>
        </w:tc>
        <w:tc>
          <w:tcPr>
            <w:tcW w:w="794" w:type="dxa"/>
            <w:vAlign w:val="center"/>
          </w:tcPr>
          <w:p>
            <w:pPr>
              <w:spacing w:line="240" w:lineRule="auto"/>
              <w:ind w:firstLine="0" w:firstLineChars="0"/>
              <w:jc w:val="center"/>
              <w:rPr>
                <w:sz w:val="21"/>
                <w:szCs w:val="21"/>
                <w:highlight w:val="none"/>
              </w:rPr>
            </w:pPr>
            <w:r>
              <w:rPr>
                <w:sz w:val="21"/>
                <w:szCs w:val="21"/>
                <w:highlight w:val="none"/>
              </w:rPr>
              <w:t>1.91</w:t>
            </w:r>
          </w:p>
        </w:tc>
        <w:tc>
          <w:tcPr>
            <w:tcW w:w="785" w:type="dxa"/>
            <w:vAlign w:val="center"/>
          </w:tcPr>
          <w:p>
            <w:pPr>
              <w:spacing w:line="240" w:lineRule="auto"/>
              <w:ind w:firstLine="0" w:firstLineChars="0"/>
              <w:jc w:val="center"/>
              <w:rPr>
                <w:sz w:val="21"/>
                <w:szCs w:val="21"/>
                <w:highlight w:val="none"/>
              </w:rPr>
            </w:pPr>
            <w:r>
              <w:rPr>
                <w:sz w:val="21"/>
                <w:szCs w:val="21"/>
                <w:highlight w:val="none"/>
              </w:rPr>
              <w:t>3.03</w:t>
            </w:r>
          </w:p>
        </w:tc>
        <w:tc>
          <w:tcPr>
            <w:tcW w:w="785" w:type="dxa"/>
            <w:vAlign w:val="center"/>
          </w:tcPr>
          <w:p>
            <w:pPr>
              <w:spacing w:line="240" w:lineRule="auto"/>
              <w:ind w:firstLine="0" w:firstLineChars="0"/>
              <w:jc w:val="center"/>
              <w:rPr>
                <w:sz w:val="21"/>
                <w:szCs w:val="21"/>
                <w:highlight w:val="none"/>
              </w:rPr>
            </w:pPr>
            <w:r>
              <w:rPr>
                <w:sz w:val="21"/>
                <w:szCs w:val="21"/>
                <w:highlight w:val="none"/>
              </w:rPr>
              <w:t>2.93</w:t>
            </w:r>
          </w:p>
        </w:tc>
        <w:tc>
          <w:tcPr>
            <w:tcW w:w="785" w:type="dxa"/>
            <w:vAlign w:val="center"/>
          </w:tcPr>
          <w:p>
            <w:pPr>
              <w:spacing w:line="240" w:lineRule="auto"/>
              <w:ind w:firstLine="0" w:firstLineChars="0"/>
              <w:jc w:val="center"/>
              <w:rPr>
                <w:sz w:val="21"/>
                <w:szCs w:val="21"/>
                <w:highlight w:val="none"/>
              </w:rPr>
            </w:pPr>
            <w:r>
              <w:rPr>
                <w:sz w:val="21"/>
                <w:szCs w:val="21"/>
                <w:highlight w:val="none"/>
              </w:rPr>
              <w:t>1.69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3月</w:t>
            </w:r>
          </w:p>
        </w:tc>
        <w:tc>
          <w:tcPr>
            <w:tcW w:w="783" w:type="dxa"/>
            <w:vAlign w:val="center"/>
          </w:tcPr>
          <w:p>
            <w:pPr>
              <w:spacing w:line="240" w:lineRule="auto"/>
              <w:ind w:firstLine="0" w:firstLineChars="0"/>
              <w:jc w:val="center"/>
              <w:rPr>
                <w:sz w:val="21"/>
                <w:szCs w:val="21"/>
                <w:highlight w:val="none"/>
              </w:rPr>
            </w:pPr>
            <w:r>
              <w:rPr>
                <w:sz w:val="21"/>
                <w:szCs w:val="21"/>
                <w:highlight w:val="none"/>
              </w:rPr>
              <w:t>1.64</w:t>
            </w:r>
          </w:p>
        </w:tc>
        <w:tc>
          <w:tcPr>
            <w:tcW w:w="826" w:type="dxa"/>
            <w:vAlign w:val="center"/>
          </w:tcPr>
          <w:p>
            <w:pPr>
              <w:spacing w:line="240" w:lineRule="auto"/>
              <w:ind w:firstLine="0" w:firstLineChars="0"/>
              <w:jc w:val="center"/>
              <w:rPr>
                <w:sz w:val="21"/>
                <w:szCs w:val="21"/>
                <w:highlight w:val="none"/>
              </w:rPr>
            </w:pPr>
            <w:r>
              <w:rPr>
                <w:sz w:val="21"/>
                <w:szCs w:val="21"/>
                <w:highlight w:val="none"/>
              </w:rPr>
              <w:t>1.85</w:t>
            </w:r>
          </w:p>
        </w:tc>
        <w:tc>
          <w:tcPr>
            <w:tcW w:w="783" w:type="dxa"/>
            <w:vAlign w:val="center"/>
          </w:tcPr>
          <w:p>
            <w:pPr>
              <w:spacing w:line="240" w:lineRule="auto"/>
              <w:ind w:firstLine="0" w:firstLineChars="0"/>
              <w:jc w:val="center"/>
              <w:rPr>
                <w:sz w:val="21"/>
                <w:szCs w:val="21"/>
                <w:highlight w:val="none"/>
              </w:rPr>
            </w:pPr>
            <w:r>
              <w:rPr>
                <w:sz w:val="21"/>
                <w:szCs w:val="21"/>
                <w:highlight w:val="none"/>
              </w:rPr>
              <w:t>1.08</w:t>
            </w:r>
          </w:p>
        </w:tc>
        <w:tc>
          <w:tcPr>
            <w:tcW w:w="785" w:type="dxa"/>
            <w:vAlign w:val="center"/>
          </w:tcPr>
          <w:p>
            <w:pPr>
              <w:spacing w:line="240" w:lineRule="auto"/>
              <w:ind w:firstLine="0" w:firstLineChars="0"/>
              <w:jc w:val="center"/>
              <w:rPr>
                <w:sz w:val="21"/>
                <w:szCs w:val="21"/>
                <w:highlight w:val="none"/>
              </w:rPr>
            </w:pPr>
            <w:r>
              <w:rPr>
                <w:sz w:val="21"/>
                <w:szCs w:val="21"/>
                <w:highlight w:val="none"/>
              </w:rPr>
              <w:t>2.13</w:t>
            </w:r>
          </w:p>
        </w:tc>
        <w:tc>
          <w:tcPr>
            <w:tcW w:w="785" w:type="dxa"/>
            <w:vAlign w:val="center"/>
          </w:tcPr>
          <w:p>
            <w:pPr>
              <w:spacing w:line="240" w:lineRule="auto"/>
              <w:ind w:firstLine="0" w:firstLineChars="0"/>
              <w:jc w:val="center"/>
              <w:rPr>
                <w:sz w:val="21"/>
                <w:szCs w:val="21"/>
                <w:highlight w:val="none"/>
              </w:rPr>
            </w:pPr>
            <w:r>
              <w:rPr>
                <w:sz w:val="21"/>
                <w:szCs w:val="21"/>
                <w:highlight w:val="none"/>
              </w:rPr>
              <w:t>1.61</w:t>
            </w:r>
          </w:p>
        </w:tc>
        <w:tc>
          <w:tcPr>
            <w:tcW w:w="785" w:type="dxa"/>
            <w:vAlign w:val="center"/>
          </w:tcPr>
          <w:p>
            <w:pPr>
              <w:spacing w:line="240" w:lineRule="auto"/>
              <w:ind w:firstLine="0" w:firstLineChars="0"/>
              <w:jc w:val="center"/>
              <w:rPr>
                <w:sz w:val="21"/>
                <w:szCs w:val="21"/>
                <w:highlight w:val="none"/>
              </w:rPr>
            </w:pPr>
            <w:r>
              <w:rPr>
                <w:sz w:val="21"/>
                <w:szCs w:val="21"/>
                <w:highlight w:val="none"/>
              </w:rPr>
              <w:t>1.09</w:t>
            </w:r>
          </w:p>
        </w:tc>
        <w:tc>
          <w:tcPr>
            <w:tcW w:w="785" w:type="dxa"/>
            <w:vAlign w:val="center"/>
          </w:tcPr>
          <w:p>
            <w:pPr>
              <w:spacing w:line="240" w:lineRule="auto"/>
              <w:ind w:firstLine="0" w:firstLineChars="0"/>
              <w:jc w:val="center"/>
              <w:rPr>
                <w:sz w:val="21"/>
                <w:szCs w:val="21"/>
                <w:highlight w:val="none"/>
              </w:rPr>
            </w:pPr>
            <w:r>
              <w:rPr>
                <w:sz w:val="21"/>
                <w:szCs w:val="21"/>
                <w:highlight w:val="none"/>
              </w:rPr>
              <w:t>1.27</w:t>
            </w:r>
          </w:p>
        </w:tc>
        <w:tc>
          <w:tcPr>
            <w:tcW w:w="785" w:type="dxa"/>
            <w:vAlign w:val="center"/>
          </w:tcPr>
          <w:p>
            <w:pPr>
              <w:spacing w:line="240" w:lineRule="auto"/>
              <w:ind w:firstLine="0" w:firstLineChars="0"/>
              <w:jc w:val="center"/>
              <w:rPr>
                <w:sz w:val="21"/>
                <w:szCs w:val="21"/>
                <w:highlight w:val="none"/>
              </w:rPr>
            </w:pPr>
            <w:r>
              <w:rPr>
                <w:sz w:val="21"/>
                <w:szCs w:val="21"/>
                <w:highlight w:val="none"/>
              </w:rPr>
              <w:t>1.52</w:t>
            </w:r>
          </w:p>
        </w:tc>
        <w:tc>
          <w:tcPr>
            <w:tcW w:w="785" w:type="dxa"/>
            <w:vAlign w:val="center"/>
          </w:tcPr>
          <w:p>
            <w:pPr>
              <w:spacing w:line="240" w:lineRule="auto"/>
              <w:ind w:firstLine="0" w:firstLineChars="0"/>
              <w:jc w:val="center"/>
              <w:rPr>
                <w:sz w:val="21"/>
                <w:szCs w:val="21"/>
                <w:highlight w:val="none"/>
              </w:rPr>
            </w:pPr>
            <w:r>
              <w:rPr>
                <w:sz w:val="21"/>
                <w:szCs w:val="21"/>
                <w:highlight w:val="none"/>
              </w:rPr>
              <w:t>1.44</w:t>
            </w:r>
          </w:p>
        </w:tc>
        <w:tc>
          <w:tcPr>
            <w:tcW w:w="785" w:type="dxa"/>
            <w:vAlign w:val="center"/>
          </w:tcPr>
          <w:p>
            <w:pPr>
              <w:spacing w:line="240" w:lineRule="auto"/>
              <w:ind w:firstLine="0" w:firstLineChars="0"/>
              <w:jc w:val="center"/>
              <w:rPr>
                <w:sz w:val="21"/>
                <w:szCs w:val="21"/>
                <w:highlight w:val="none"/>
              </w:rPr>
            </w:pPr>
            <w:r>
              <w:rPr>
                <w:sz w:val="21"/>
                <w:szCs w:val="21"/>
                <w:highlight w:val="none"/>
              </w:rPr>
              <w:t>2.06</w:t>
            </w:r>
          </w:p>
        </w:tc>
        <w:tc>
          <w:tcPr>
            <w:tcW w:w="785" w:type="dxa"/>
            <w:vAlign w:val="center"/>
          </w:tcPr>
          <w:p>
            <w:pPr>
              <w:spacing w:line="240" w:lineRule="auto"/>
              <w:ind w:firstLine="0" w:firstLineChars="0"/>
              <w:jc w:val="center"/>
              <w:rPr>
                <w:sz w:val="21"/>
                <w:szCs w:val="21"/>
                <w:highlight w:val="none"/>
              </w:rPr>
            </w:pPr>
            <w:r>
              <w:rPr>
                <w:sz w:val="21"/>
                <w:szCs w:val="21"/>
                <w:highlight w:val="none"/>
              </w:rPr>
              <w:t>2.41</w:t>
            </w:r>
          </w:p>
        </w:tc>
        <w:tc>
          <w:tcPr>
            <w:tcW w:w="785" w:type="dxa"/>
            <w:vAlign w:val="center"/>
          </w:tcPr>
          <w:p>
            <w:pPr>
              <w:spacing w:line="240" w:lineRule="auto"/>
              <w:ind w:firstLine="0" w:firstLineChars="0"/>
              <w:jc w:val="center"/>
              <w:rPr>
                <w:sz w:val="21"/>
                <w:szCs w:val="21"/>
                <w:highlight w:val="none"/>
              </w:rPr>
            </w:pPr>
            <w:r>
              <w:rPr>
                <w:sz w:val="21"/>
                <w:szCs w:val="21"/>
                <w:highlight w:val="none"/>
              </w:rPr>
              <w:t>2.54</w:t>
            </w:r>
          </w:p>
        </w:tc>
        <w:tc>
          <w:tcPr>
            <w:tcW w:w="785" w:type="dxa"/>
            <w:vAlign w:val="center"/>
          </w:tcPr>
          <w:p>
            <w:pPr>
              <w:spacing w:line="240" w:lineRule="auto"/>
              <w:ind w:firstLine="0" w:firstLineChars="0"/>
              <w:jc w:val="center"/>
              <w:rPr>
                <w:sz w:val="21"/>
                <w:szCs w:val="21"/>
                <w:highlight w:val="none"/>
              </w:rPr>
            </w:pPr>
            <w:r>
              <w:rPr>
                <w:sz w:val="21"/>
                <w:szCs w:val="21"/>
                <w:highlight w:val="none"/>
              </w:rPr>
              <w:t>2.13</w:t>
            </w:r>
          </w:p>
        </w:tc>
        <w:tc>
          <w:tcPr>
            <w:tcW w:w="794" w:type="dxa"/>
            <w:vAlign w:val="center"/>
          </w:tcPr>
          <w:p>
            <w:pPr>
              <w:spacing w:line="240" w:lineRule="auto"/>
              <w:ind w:firstLine="0" w:firstLineChars="0"/>
              <w:jc w:val="center"/>
              <w:rPr>
                <w:sz w:val="21"/>
                <w:szCs w:val="21"/>
                <w:highlight w:val="none"/>
              </w:rPr>
            </w:pPr>
            <w:r>
              <w:rPr>
                <w:sz w:val="21"/>
                <w:szCs w:val="21"/>
                <w:highlight w:val="none"/>
              </w:rPr>
              <w:t>2.36</w:t>
            </w:r>
          </w:p>
        </w:tc>
        <w:tc>
          <w:tcPr>
            <w:tcW w:w="785" w:type="dxa"/>
            <w:vAlign w:val="center"/>
          </w:tcPr>
          <w:p>
            <w:pPr>
              <w:spacing w:line="240" w:lineRule="auto"/>
              <w:ind w:firstLine="0" w:firstLineChars="0"/>
              <w:jc w:val="center"/>
              <w:rPr>
                <w:sz w:val="21"/>
                <w:szCs w:val="21"/>
                <w:highlight w:val="none"/>
              </w:rPr>
            </w:pPr>
            <w:r>
              <w:rPr>
                <w:sz w:val="21"/>
                <w:szCs w:val="21"/>
                <w:highlight w:val="none"/>
              </w:rPr>
              <w:t>3.05</w:t>
            </w:r>
          </w:p>
        </w:tc>
        <w:tc>
          <w:tcPr>
            <w:tcW w:w="785" w:type="dxa"/>
            <w:vAlign w:val="center"/>
          </w:tcPr>
          <w:p>
            <w:pPr>
              <w:spacing w:line="240" w:lineRule="auto"/>
              <w:ind w:firstLine="0" w:firstLineChars="0"/>
              <w:jc w:val="center"/>
              <w:rPr>
                <w:sz w:val="21"/>
                <w:szCs w:val="21"/>
                <w:highlight w:val="none"/>
              </w:rPr>
            </w:pPr>
            <w:r>
              <w:rPr>
                <w:sz w:val="21"/>
                <w:szCs w:val="21"/>
                <w:highlight w:val="none"/>
              </w:rPr>
              <w:t>3.31</w:t>
            </w:r>
          </w:p>
        </w:tc>
        <w:tc>
          <w:tcPr>
            <w:tcW w:w="785" w:type="dxa"/>
            <w:vAlign w:val="center"/>
          </w:tcPr>
          <w:p>
            <w:pPr>
              <w:spacing w:line="240" w:lineRule="auto"/>
              <w:ind w:firstLine="0" w:firstLineChars="0"/>
              <w:jc w:val="center"/>
              <w:rPr>
                <w:sz w:val="21"/>
                <w:szCs w:val="21"/>
                <w:highlight w:val="none"/>
              </w:rPr>
            </w:pPr>
            <w:r>
              <w:rPr>
                <w:sz w:val="21"/>
                <w:szCs w:val="21"/>
                <w:highlight w:val="none"/>
              </w:rPr>
              <w:t>1.96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4月</w:t>
            </w:r>
          </w:p>
        </w:tc>
        <w:tc>
          <w:tcPr>
            <w:tcW w:w="783" w:type="dxa"/>
            <w:vAlign w:val="center"/>
          </w:tcPr>
          <w:p>
            <w:pPr>
              <w:spacing w:line="240" w:lineRule="auto"/>
              <w:ind w:firstLine="0" w:firstLineChars="0"/>
              <w:jc w:val="center"/>
              <w:rPr>
                <w:sz w:val="21"/>
                <w:szCs w:val="21"/>
                <w:highlight w:val="none"/>
              </w:rPr>
            </w:pPr>
            <w:r>
              <w:rPr>
                <w:sz w:val="21"/>
                <w:szCs w:val="21"/>
                <w:highlight w:val="none"/>
              </w:rPr>
              <w:t>1.71</w:t>
            </w:r>
          </w:p>
        </w:tc>
        <w:tc>
          <w:tcPr>
            <w:tcW w:w="826" w:type="dxa"/>
            <w:vAlign w:val="center"/>
          </w:tcPr>
          <w:p>
            <w:pPr>
              <w:spacing w:line="240" w:lineRule="auto"/>
              <w:ind w:firstLine="0" w:firstLineChars="0"/>
              <w:jc w:val="center"/>
              <w:rPr>
                <w:sz w:val="21"/>
                <w:szCs w:val="21"/>
                <w:highlight w:val="none"/>
              </w:rPr>
            </w:pPr>
            <w:r>
              <w:rPr>
                <w:sz w:val="21"/>
                <w:szCs w:val="21"/>
                <w:highlight w:val="none"/>
              </w:rPr>
              <w:t>1.54</w:t>
            </w:r>
          </w:p>
        </w:tc>
        <w:tc>
          <w:tcPr>
            <w:tcW w:w="783" w:type="dxa"/>
            <w:vAlign w:val="center"/>
          </w:tcPr>
          <w:p>
            <w:pPr>
              <w:spacing w:line="240" w:lineRule="auto"/>
              <w:ind w:firstLine="0" w:firstLineChars="0"/>
              <w:jc w:val="center"/>
              <w:rPr>
                <w:sz w:val="21"/>
                <w:szCs w:val="21"/>
                <w:highlight w:val="none"/>
              </w:rPr>
            </w:pPr>
            <w:r>
              <w:rPr>
                <w:sz w:val="21"/>
                <w:szCs w:val="21"/>
                <w:highlight w:val="none"/>
              </w:rPr>
              <w:t>1.55</w:t>
            </w:r>
          </w:p>
        </w:tc>
        <w:tc>
          <w:tcPr>
            <w:tcW w:w="785" w:type="dxa"/>
            <w:vAlign w:val="center"/>
          </w:tcPr>
          <w:p>
            <w:pPr>
              <w:spacing w:line="240" w:lineRule="auto"/>
              <w:ind w:firstLine="0" w:firstLineChars="0"/>
              <w:jc w:val="center"/>
              <w:rPr>
                <w:sz w:val="21"/>
                <w:szCs w:val="21"/>
                <w:highlight w:val="none"/>
              </w:rPr>
            </w:pPr>
            <w:r>
              <w:rPr>
                <w:sz w:val="21"/>
                <w:szCs w:val="21"/>
                <w:highlight w:val="none"/>
              </w:rPr>
              <w:t>2.12</w:t>
            </w:r>
          </w:p>
        </w:tc>
        <w:tc>
          <w:tcPr>
            <w:tcW w:w="785" w:type="dxa"/>
            <w:vAlign w:val="center"/>
          </w:tcPr>
          <w:p>
            <w:pPr>
              <w:spacing w:line="240" w:lineRule="auto"/>
              <w:ind w:firstLine="0" w:firstLineChars="0"/>
              <w:jc w:val="center"/>
              <w:rPr>
                <w:sz w:val="21"/>
                <w:szCs w:val="21"/>
                <w:highlight w:val="none"/>
              </w:rPr>
            </w:pPr>
            <w:r>
              <w:rPr>
                <w:sz w:val="21"/>
                <w:szCs w:val="21"/>
                <w:highlight w:val="none"/>
              </w:rPr>
              <w:t>2.48</w:t>
            </w:r>
          </w:p>
        </w:tc>
        <w:tc>
          <w:tcPr>
            <w:tcW w:w="785" w:type="dxa"/>
            <w:vAlign w:val="center"/>
          </w:tcPr>
          <w:p>
            <w:pPr>
              <w:spacing w:line="240" w:lineRule="auto"/>
              <w:ind w:firstLine="0" w:firstLineChars="0"/>
              <w:jc w:val="center"/>
              <w:rPr>
                <w:sz w:val="21"/>
                <w:szCs w:val="21"/>
                <w:highlight w:val="none"/>
              </w:rPr>
            </w:pPr>
            <w:r>
              <w:rPr>
                <w:sz w:val="21"/>
                <w:szCs w:val="21"/>
                <w:highlight w:val="none"/>
              </w:rPr>
              <w:t>1.4</w:t>
            </w:r>
          </w:p>
        </w:tc>
        <w:tc>
          <w:tcPr>
            <w:tcW w:w="785" w:type="dxa"/>
            <w:vAlign w:val="center"/>
          </w:tcPr>
          <w:p>
            <w:pPr>
              <w:spacing w:line="240" w:lineRule="auto"/>
              <w:ind w:firstLine="0" w:firstLineChars="0"/>
              <w:jc w:val="center"/>
              <w:rPr>
                <w:sz w:val="21"/>
                <w:szCs w:val="21"/>
                <w:highlight w:val="none"/>
              </w:rPr>
            </w:pPr>
            <w:r>
              <w:rPr>
                <w:sz w:val="21"/>
                <w:szCs w:val="21"/>
                <w:highlight w:val="none"/>
              </w:rPr>
              <w:t>1.59</w:t>
            </w:r>
          </w:p>
        </w:tc>
        <w:tc>
          <w:tcPr>
            <w:tcW w:w="785" w:type="dxa"/>
            <w:vAlign w:val="center"/>
          </w:tcPr>
          <w:p>
            <w:pPr>
              <w:spacing w:line="240" w:lineRule="auto"/>
              <w:ind w:firstLine="0" w:firstLineChars="0"/>
              <w:jc w:val="center"/>
              <w:rPr>
                <w:sz w:val="21"/>
                <w:szCs w:val="21"/>
                <w:highlight w:val="none"/>
              </w:rPr>
            </w:pPr>
            <w:r>
              <w:rPr>
                <w:sz w:val="21"/>
                <w:szCs w:val="21"/>
                <w:highlight w:val="none"/>
              </w:rPr>
              <w:t>2.22</w:t>
            </w:r>
          </w:p>
        </w:tc>
        <w:tc>
          <w:tcPr>
            <w:tcW w:w="785" w:type="dxa"/>
            <w:vAlign w:val="center"/>
          </w:tcPr>
          <w:p>
            <w:pPr>
              <w:spacing w:line="240" w:lineRule="auto"/>
              <w:ind w:firstLine="0" w:firstLineChars="0"/>
              <w:jc w:val="center"/>
              <w:rPr>
                <w:sz w:val="21"/>
                <w:szCs w:val="21"/>
                <w:highlight w:val="none"/>
              </w:rPr>
            </w:pPr>
            <w:r>
              <w:rPr>
                <w:sz w:val="21"/>
                <w:szCs w:val="21"/>
                <w:highlight w:val="none"/>
              </w:rPr>
              <w:t>2.14</w:t>
            </w:r>
          </w:p>
        </w:tc>
        <w:tc>
          <w:tcPr>
            <w:tcW w:w="785" w:type="dxa"/>
            <w:vAlign w:val="center"/>
          </w:tcPr>
          <w:p>
            <w:pPr>
              <w:spacing w:line="240" w:lineRule="auto"/>
              <w:ind w:firstLine="0" w:firstLineChars="0"/>
              <w:jc w:val="center"/>
              <w:rPr>
                <w:sz w:val="21"/>
                <w:szCs w:val="21"/>
                <w:highlight w:val="none"/>
              </w:rPr>
            </w:pPr>
            <w:r>
              <w:rPr>
                <w:sz w:val="21"/>
                <w:szCs w:val="21"/>
                <w:highlight w:val="none"/>
              </w:rPr>
              <w:t>2.26</w:t>
            </w:r>
          </w:p>
        </w:tc>
        <w:tc>
          <w:tcPr>
            <w:tcW w:w="785" w:type="dxa"/>
            <w:vAlign w:val="center"/>
          </w:tcPr>
          <w:p>
            <w:pPr>
              <w:spacing w:line="240" w:lineRule="auto"/>
              <w:ind w:firstLine="0" w:firstLineChars="0"/>
              <w:jc w:val="center"/>
              <w:rPr>
                <w:sz w:val="21"/>
                <w:szCs w:val="21"/>
                <w:highlight w:val="none"/>
              </w:rPr>
            </w:pPr>
            <w:r>
              <w:rPr>
                <w:sz w:val="21"/>
                <w:szCs w:val="21"/>
                <w:highlight w:val="none"/>
              </w:rPr>
              <w:t>2.68</w:t>
            </w:r>
          </w:p>
        </w:tc>
        <w:tc>
          <w:tcPr>
            <w:tcW w:w="785" w:type="dxa"/>
            <w:vAlign w:val="center"/>
          </w:tcPr>
          <w:p>
            <w:pPr>
              <w:spacing w:line="240" w:lineRule="auto"/>
              <w:ind w:firstLine="0" w:firstLineChars="0"/>
              <w:jc w:val="center"/>
              <w:rPr>
                <w:sz w:val="21"/>
                <w:szCs w:val="21"/>
                <w:highlight w:val="none"/>
              </w:rPr>
            </w:pPr>
            <w:r>
              <w:rPr>
                <w:sz w:val="21"/>
                <w:szCs w:val="21"/>
                <w:highlight w:val="none"/>
              </w:rPr>
              <w:t>2.9</w:t>
            </w:r>
          </w:p>
        </w:tc>
        <w:tc>
          <w:tcPr>
            <w:tcW w:w="785" w:type="dxa"/>
            <w:vAlign w:val="center"/>
          </w:tcPr>
          <w:p>
            <w:pPr>
              <w:spacing w:line="240" w:lineRule="auto"/>
              <w:ind w:firstLine="0" w:firstLineChars="0"/>
              <w:jc w:val="center"/>
              <w:rPr>
                <w:sz w:val="21"/>
                <w:szCs w:val="21"/>
                <w:highlight w:val="none"/>
              </w:rPr>
            </w:pPr>
            <w:r>
              <w:rPr>
                <w:sz w:val="21"/>
                <w:szCs w:val="21"/>
                <w:highlight w:val="none"/>
              </w:rPr>
              <w:t>3</w:t>
            </w:r>
          </w:p>
        </w:tc>
        <w:tc>
          <w:tcPr>
            <w:tcW w:w="794" w:type="dxa"/>
            <w:vAlign w:val="center"/>
          </w:tcPr>
          <w:p>
            <w:pPr>
              <w:spacing w:line="240" w:lineRule="auto"/>
              <w:ind w:firstLine="0" w:firstLineChars="0"/>
              <w:jc w:val="center"/>
              <w:rPr>
                <w:sz w:val="21"/>
                <w:szCs w:val="21"/>
                <w:highlight w:val="none"/>
              </w:rPr>
            </w:pPr>
            <w:r>
              <w:rPr>
                <w:sz w:val="21"/>
                <w:szCs w:val="21"/>
                <w:highlight w:val="none"/>
              </w:rPr>
              <w:t>2.39</w:t>
            </w:r>
          </w:p>
        </w:tc>
        <w:tc>
          <w:tcPr>
            <w:tcW w:w="785" w:type="dxa"/>
            <w:vAlign w:val="center"/>
          </w:tcPr>
          <w:p>
            <w:pPr>
              <w:spacing w:line="240" w:lineRule="auto"/>
              <w:ind w:firstLine="0" w:firstLineChars="0"/>
              <w:jc w:val="center"/>
              <w:rPr>
                <w:sz w:val="21"/>
                <w:szCs w:val="21"/>
                <w:highlight w:val="none"/>
              </w:rPr>
            </w:pPr>
            <w:r>
              <w:rPr>
                <w:sz w:val="21"/>
                <w:szCs w:val="21"/>
                <w:highlight w:val="none"/>
              </w:rPr>
              <w:t>3.29</w:t>
            </w:r>
          </w:p>
        </w:tc>
        <w:tc>
          <w:tcPr>
            <w:tcW w:w="785" w:type="dxa"/>
            <w:vAlign w:val="center"/>
          </w:tcPr>
          <w:p>
            <w:pPr>
              <w:spacing w:line="240" w:lineRule="auto"/>
              <w:ind w:firstLine="0" w:firstLineChars="0"/>
              <w:jc w:val="center"/>
              <w:rPr>
                <w:sz w:val="21"/>
                <w:szCs w:val="21"/>
                <w:highlight w:val="none"/>
              </w:rPr>
            </w:pPr>
            <w:r>
              <w:rPr>
                <w:sz w:val="21"/>
                <w:szCs w:val="21"/>
                <w:highlight w:val="none"/>
              </w:rPr>
              <w:t>2.47</w:t>
            </w:r>
          </w:p>
        </w:tc>
        <w:tc>
          <w:tcPr>
            <w:tcW w:w="785" w:type="dxa"/>
            <w:vAlign w:val="center"/>
          </w:tcPr>
          <w:p>
            <w:pPr>
              <w:spacing w:line="240" w:lineRule="auto"/>
              <w:ind w:firstLine="0" w:firstLineChars="0"/>
              <w:jc w:val="center"/>
              <w:rPr>
                <w:sz w:val="21"/>
                <w:szCs w:val="21"/>
                <w:highlight w:val="none"/>
              </w:rPr>
            </w:pPr>
            <w:r>
              <w:rPr>
                <w:sz w:val="21"/>
                <w:szCs w:val="21"/>
                <w:highlight w:val="none"/>
              </w:rPr>
              <w:t>2.22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5月</w:t>
            </w:r>
          </w:p>
        </w:tc>
        <w:tc>
          <w:tcPr>
            <w:tcW w:w="783" w:type="dxa"/>
            <w:vAlign w:val="center"/>
          </w:tcPr>
          <w:p>
            <w:pPr>
              <w:spacing w:line="240" w:lineRule="auto"/>
              <w:ind w:firstLine="0" w:firstLineChars="0"/>
              <w:jc w:val="center"/>
              <w:rPr>
                <w:sz w:val="21"/>
                <w:szCs w:val="21"/>
                <w:highlight w:val="none"/>
              </w:rPr>
            </w:pPr>
            <w:r>
              <w:rPr>
                <w:sz w:val="21"/>
                <w:szCs w:val="21"/>
                <w:highlight w:val="none"/>
              </w:rPr>
              <w:t>1.14</w:t>
            </w:r>
          </w:p>
        </w:tc>
        <w:tc>
          <w:tcPr>
            <w:tcW w:w="826" w:type="dxa"/>
            <w:vAlign w:val="center"/>
          </w:tcPr>
          <w:p>
            <w:pPr>
              <w:spacing w:line="240" w:lineRule="auto"/>
              <w:ind w:firstLine="0" w:firstLineChars="0"/>
              <w:jc w:val="center"/>
              <w:rPr>
                <w:sz w:val="21"/>
                <w:szCs w:val="21"/>
                <w:highlight w:val="none"/>
              </w:rPr>
            </w:pPr>
            <w:r>
              <w:rPr>
                <w:sz w:val="21"/>
                <w:szCs w:val="21"/>
                <w:highlight w:val="none"/>
              </w:rPr>
              <w:t>1.01</w:t>
            </w:r>
          </w:p>
        </w:tc>
        <w:tc>
          <w:tcPr>
            <w:tcW w:w="783" w:type="dxa"/>
            <w:vAlign w:val="center"/>
          </w:tcPr>
          <w:p>
            <w:pPr>
              <w:spacing w:line="240" w:lineRule="auto"/>
              <w:ind w:firstLine="0" w:firstLineChars="0"/>
              <w:jc w:val="center"/>
              <w:rPr>
                <w:sz w:val="21"/>
                <w:szCs w:val="21"/>
                <w:highlight w:val="none"/>
              </w:rPr>
            </w:pPr>
            <w:r>
              <w:rPr>
                <w:sz w:val="21"/>
                <w:szCs w:val="21"/>
                <w:highlight w:val="none"/>
              </w:rPr>
              <w:t>1.22</w:t>
            </w:r>
          </w:p>
        </w:tc>
        <w:tc>
          <w:tcPr>
            <w:tcW w:w="785" w:type="dxa"/>
            <w:vAlign w:val="center"/>
          </w:tcPr>
          <w:p>
            <w:pPr>
              <w:spacing w:line="240" w:lineRule="auto"/>
              <w:ind w:firstLine="0" w:firstLineChars="0"/>
              <w:jc w:val="center"/>
              <w:rPr>
                <w:sz w:val="21"/>
                <w:szCs w:val="21"/>
                <w:highlight w:val="none"/>
              </w:rPr>
            </w:pPr>
            <w:r>
              <w:rPr>
                <w:sz w:val="21"/>
                <w:szCs w:val="21"/>
                <w:highlight w:val="none"/>
              </w:rPr>
              <w:t>1.64</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1.48</w:t>
            </w:r>
          </w:p>
        </w:tc>
        <w:tc>
          <w:tcPr>
            <w:tcW w:w="785" w:type="dxa"/>
            <w:vAlign w:val="center"/>
          </w:tcPr>
          <w:p>
            <w:pPr>
              <w:spacing w:line="240" w:lineRule="auto"/>
              <w:ind w:firstLine="0" w:firstLineChars="0"/>
              <w:jc w:val="center"/>
              <w:rPr>
                <w:sz w:val="21"/>
                <w:szCs w:val="21"/>
                <w:highlight w:val="none"/>
              </w:rPr>
            </w:pPr>
            <w:r>
              <w:rPr>
                <w:sz w:val="21"/>
                <w:szCs w:val="21"/>
                <w:highlight w:val="none"/>
              </w:rPr>
              <w:t>1.42</w:t>
            </w:r>
          </w:p>
        </w:tc>
        <w:tc>
          <w:tcPr>
            <w:tcW w:w="785" w:type="dxa"/>
            <w:vAlign w:val="center"/>
          </w:tcPr>
          <w:p>
            <w:pPr>
              <w:spacing w:line="240" w:lineRule="auto"/>
              <w:ind w:firstLine="0" w:firstLineChars="0"/>
              <w:jc w:val="center"/>
              <w:rPr>
                <w:sz w:val="21"/>
                <w:szCs w:val="21"/>
                <w:highlight w:val="none"/>
              </w:rPr>
            </w:pPr>
            <w:r>
              <w:rPr>
                <w:sz w:val="21"/>
                <w:szCs w:val="21"/>
                <w:highlight w:val="none"/>
              </w:rPr>
              <w:t>1.74</w:t>
            </w:r>
          </w:p>
        </w:tc>
        <w:tc>
          <w:tcPr>
            <w:tcW w:w="785" w:type="dxa"/>
            <w:vAlign w:val="center"/>
          </w:tcPr>
          <w:p>
            <w:pPr>
              <w:spacing w:line="240" w:lineRule="auto"/>
              <w:ind w:firstLine="0" w:firstLineChars="0"/>
              <w:jc w:val="center"/>
              <w:rPr>
                <w:sz w:val="21"/>
                <w:szCs w:val="21"/>
                <w:highlight w:val="none"/>
              </w:rPr>
            </w:pPr>
            <w:r>
              <w:rPr>
                <w:sz w:val="21"/>
                <w:szCs w:val="21"/>
                <w:highlight w:val="none"/>
              </w:rPr>
              <w:t>2.25</w:t>
            </w:r>
          </w:p>
        </w:tc>
        <w:tc>
          <w:tcPr>
            <w:tcW w:w="785" w:type="dxa"/>
            <w:vAlign w:val="center"/>
          </w:tcPr>
          <w:p>
            <w:pPr>
              <w:spacing w:line="240" w:lineRule="auto"/>
              <w:ind w:firstLine="0" w:firstLineChars="0"/>
              <w:jc w:val="center"/>
              <w:rPr>
                <w:sz w:val="21"/>
                <w:szCs w:val="21"/>
                <w:highlight w:val="none"/>
              </w:rPr>
            </w:pPr>
            <w:r>
              <w:rPr>
                <w:sz w:val="21"/>
                <w:szCs w:val="21"/>
                <w:highlight w:val="none"/>
              </w:rPr>
              <w:t>2.37</w:t>
            </w:r>
          </w:p>
        </w:tc>
        <w:tc>
          <w:tcPr>
            <w:tcW w:w="785" w:type="dxa"/>
            <w:vAlign w:val="center"/>
          </w:tcPr>
          <w:p>
            <w:pPr>
              <w:spacing w:line="240" w:lineRule="auto"/>
              <w:ind w:firstLine="0" w:firstLineChars="0"/>
              <w:jc w:val="center"/>
              <w:rPr>
                <w:sz w:val="21"/>
                <w:szCs w:val="21"/>
                <w:highlight w:val="none"/>
              </w:rPr>
            </w:pPr>
            <w:r>
              <w:rPr>
                <w:sz w:val="21"/>
                <w:szCs w:val="21"/>
                <w:highlight w:val="none"/>
              </w:rPr>
              <w:t>2.67</w:t>
            </w:r>
          </w:p>
        </w:tc>
        <w:tc>
          <w:tcPr>
            <w:tcW w:w="785" w:type="dxa"/>
            <w:vAlign w:val="center"/>
          </w:tcPr>
          <w:p>
            <w:pPr>
              <w:spacing w:line="240" w:lineRule="auto"/>
              <w:ind w:firstLine="0" w:firstLineChars="0"/>
              <w:jc w:val="center"/>
              <w:rPr>
                <w:sz w:val="21"/>
                <w:szCs w:val="21"/>
                <w:highlight w:val="none"/>
              </w:rPr>
            </w:pPr>
            <w:r>
              <w:rPr>
                <w:sz w:val="21"/>
                <w:szCs w:val="21"/>
                <w:highlight w:val="none"/>
              </w:rPr>
              <w:t>2.85</w:t>
            </w:r>
          </w:p>
        </w:tc>
        <w:tc>
          <w:tcPr>
            <w:tcW w:w="785" w:type="dxa"/>
            <w:vAlign w:val="center"/>
          </w:tcPr>
          <w:p>
            <w:pPr>
              <w:spacing w:line="240" w:lineRule="auto"/>
              <w:ind w:firstLine="0" w:firstLineChars="0"/>
              <w:jc w:val="center"/>
              <w:rPr>
                <w:sz w:val="21"/>
                <w:szCs w:val="21"/>
                <w:highlight w:val="none"/>
              </w:rPr>
            </w:pPr>
            <w:r>
              <w:rPr>
                <w:sz w:val="21"/>
                <w:szCs w:val="21"/>
                <w:highlight w:val="none"/>
              </w:rPr>
              <w:t>2.33</w:t>
            </w:r>
          </w:p>
        </w:tc>
        <w:tc>
          <w:tcPr>
            <w:tcW w:w="794" w:type="dxa"/>
            <w:vAlign w:val="center"/>
          </w:tcPr>
          <w:p>
            <w:pPr>
              <w:spacing w:line="240" w:lineRule="auto"/>
              <w:ind w:firstLine="0" w:firstLineChars="0"/>
              <w:jc w:val="center"/>
              <w:rPr>
                <w:sz w:val="21"/>
                <w:szCs w:val="21"/>
                <w:highlight w:val="none"/>
              </w:rPr>
            </w:pPr>
            <w:r>
              <w:rPr>
                <w:sz w:val="21"/>
                <w:szCs w:val="21"/>
                <w:highlight w:val="none"/>
              </w:rPr>
              <w:t>2.44</w:t>
            </w:r>
          </w:p>
        </w:tc>
        <w:tc>
          <w:tcPr>
            <w:tcW w:w="785" w:type="dxa"/>
            <w:vAlign w:val="center"/>
          </w:tcPr>
          <w:p>
            <w:pPr>
              <w:spacing w:line="240" w:lineRule="auto"/>
              <w:ind w:firstLine="0" w:firstLineChars="0"/>
              <w:jc w:val="center"/>
              <w:rPr>
                <w:sz w:val="21"/>
                <w:szCs w:val="21"/>
                <w:highlight w:val="none"/>
              </w:rPr>
            </w:pPr>
            <w:r>
              <w:rPr>
                <w:sz w:val="21"/>
                <w:szCs w:val="21"/>
                <w:highlight w:val="none"/>
              </w:rPr>
              <w:t>2.07</w:t>
            </w:r>
          </w:p>
        </w:tc>
        <w:tc>
          <w:tcPr>
            <w:tcW w:w="785" w:type="dxa"/>
            <w:vAlign w:val="center"/>
          </w:tcPr>
          <w:p>
            <w:pPr>
              <w:spacing w:line="240" w:lineRule="auto"/>
              <w:ind w:firstLine="0" w:firstLineChars="0"/>
              <w:jc w:val="center"/>
              <w:rPr>
                <w:sz w:val="21"/>
                <w:szCs w:val="21"/>
                <w:highlight w:val="none"/>
              </w:rPr>
            </w:pPr>
            <w:r>
              <w:rPr>
                <w:sz w:val="21"/>
                <w:szCs w:val="21"/>
                <w:highlight w:val="none"/>
              </w:rPr>
              <w:t>1.75</w:t>
            </w:r>
          </w:p>
        </w:tc>
        <w:tc>
          <w:tcPr>
            <w:tcW w:w="785" w:type="dxa"/>
            <w:vAlign w:val="center"/>
          </w:tcPr>
          <w:p>
            <w:pPr>
              <w:spacing w:line="240" w:lineRule="auto"/>
              <w:ind w:firstLine="0" w:firstLineChars="0"/>
              <w:jc w:val="center"/>
              <w:rPr>
                <w:sz w:val="21"/>
                <w:szCs w:val="21"/>
                <w:highlight w:val="none"/>
              </w:rPr>
            </w:pPr>
            <w:r>
              <w:rPr>
                <w:sz w:val="21"/>
                <w:szCs w:val="21"/>
                <w:highlight w:val="none"/>
              </w:rPr>
              <w:t>1.8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6月</w:t>
            </w:r>
          </w:p>
        </w:tc>
        <w:tc>
          <w:tcPr>
            <w:tcW w:w="783" w:type="dxa"/>
            <w:vAlign w:val="center"/>
          </w:tcPr>
          <w:p>
            <w:pPr>
              <w:spacing w:line="240" w:lineRule="auto"/>
              <w:ind w:firstLine="0" w:firstLineChars="0"/>
              <w:jc w:val="center"/>
              <w:rPr>
                <w:sz w:val="21"/>
                <w:szCs w:val="21"/>
                <w:highlight w:val="none"/>
              </w:rPr>
            </w:pPr>
            <w:r>
              <w:rPr>
                <w:sz w:val="21"/>
                <w:szCs w:val="21"/>
                <w:highlight w:val="none"/>
              </w:rPr>
              <w:t>1.25</w:t>
            </w:r>
          </w:p>
        </w:tc>
        <w:tc>
          <w:tcPr>
            <w:tcW w:w="826" w:type="dxa"/>
            <w:vAlign w:val="center"/>
          </w:tcPr>
          <w:p>
            <w:pPr>
              <w:spacing w:line="240" w:lineRule="auto"/>
              <w:ind w:firstLine="0" w:firstLineChars="0"/>
              <w:jc w:val="center"/>
              <w:rPr>
                <w:sz w:val="21"/>
                <w:szCs w:val="21"/>
                <w:highlight w:val="none"/>
              </w:rPr>
            </w:pPr>
            <w:r>
              <w:rPr>
                <w:sz w:val="21"/>
                <w:szCs w:val="21"/>
                <w:highlight w:val="none"/>
              </w:rPr>
              <w:t>1.11</w:t>
            </w:r>
          </w:p>
        </w:tc>
        <w:tc>
          <w:tcPr>
            <w:tcW w:w="783"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1.93</w:t>
            </w:r>
          </w:p>
        </w:tc>
        <w:tc>
          <w:tcPr>
            <w:tcW w:w="785" w:type="dxa"/>
            <w:vAlign w:val="center"/>
          </w:tcPr>
          <w:p>
            <w:pPr>
              <w:spacing w:line="240" w:lineRule="auto"/>
              <w:ind w:firstLine="0" w:firstLineChars="0"/>
              <w:jc w:val="center"/>
              <w:rPr>
                <w:sz w:val="21"/>
                <w:szCs w:val="21"/>
                <w:highlight w:val="none"/>
              </w:rPr>
            </w:pPr>
            <w:r>
              <w:rPr>
                <w:sz w:val="21"/>
                <w:szCs w:val="21"/>
                <w:highlight w:val="none"/>
              </w:rPr>
              <w:t>2</w:t>
            </w:r>
          </w:p>
        </w:tc>
        <w:tc>
          <w:tcPr>
            <w:tcW w:w="785" w:type="dxa"/>
            <w:vAlign w:val="center"/>
          </w:tcPr>
          <w:p>
            <w:pPr>
              <w:spacing w:line="240" w:lineRule="auto"/>
              <w:ind w:firstLine="0" w:firstLineChars="0"/>
              <w:jc w:val="center"/>
              <w:rPr>
                <w:sz w:val="21"/>
                <w:szCs w:val="21"/>
                <w:highlight w:val="none"/>
              </w:rPr>
            </w:pPr>
            <w:r>
              <w:rPr>
                <w:sz w:val="21"/>
                <w:szCs w:val="21"/>
                <w:highlight w:val="none"/>
              </w:rPr>
              <w:t>1.59</w:t>
            </w:r>
          </w:p>
        </w:tc>
        <w:tc>
          <w:tcPr>
            <w:tcW w:w="785" w:type="dxa"/>
            <w:vAlign w:val="center"/>
          </w:tcPr>
          <w:p>
            <w:pPr>
              <w:spacing w:line="240" w:lineRule="auto"/>
              <w:ind w:firstLine="0" w:firstLineChars="0"/>
              <w:jc w:val="center"/>
              <w:rPr>
                <w:sz w:val="21"/>
                <w:szCs w:val="21"/>
                <w:highlight w:val="none"/>
              </w:rPr>
            </w:pPr>
            <w:r>
              <w:rPr>
                <w:sz w:val="21"/>
                <w:szCs w:val="21"/>
                <w:highlight w:val="none"/>
              </w:rPr>
              <w:t>1.48</w:t>
            </w:r>
          </w:p>
        </w:tc>
        <w:tc>
          <w:tcPr>
            <w:tcW w:w="785" w:type="dxa"/>
            <w:vAlign w:val="center"/>
          </w:tcPr>
          <w:p>
            <w:pPr>
              <w:spacing w:line="240" w:lineRule="auto"/>
              <w:ind w:firstLine="0" w:firstLineChars="0"/>
              <w:jc w:val="center"/>
              <w:rPr>
                <w:sz w:val="21"/>
                <w:szCs w:val="21"/>
                <w:highlight w:val="none"/>
              </w:rPr>
            </w:pPr>
            <w:r>
              <w:rPr>
                <w:sz w:val="21"/>
                <w:szCs w:val="21"/>
                <w:highlight w:val="none"/>
              </w:rPr>
              <w:t>1.78</w:t>
            </w:r>
          </w:p>
        </w:tc>
        <w:tc>
          <w:tcPr>
            <w:tcW w:w="785" w:type="dxa"/>
            <w:vAlign w:val="center"/>
          </w:tcPr>
          <w:p>
            <w:pPr>
              <w:spacing w:line="240" w:lineRule="auto"/>
              <w:ind w:firstLine="0" w:firstLineChars="0"/>
              <w:jc w:val="center"/>
              <w:rPr>
                <w:sz w:val="21"/>
                <w:szCs w:val="21"/>
                <w:highlight w:val="none"/>
              </w:rPr>
            </w:pPr>
            <w:r>
              <w:rPr>
                <w:sz w:val="21"/>
                <w:szCs w:val="21"/>
                <w:highlight w:val="none"/>
              </w:rPr>
              <w:t>2</w:t>
            </w:r>
          </w:p>
        </w:tc>
        <w:tc>
          <w:tcPr>
            <w:tcW w:w="785" w:type="dxa"/>
            <w:vAlign w:val="center"/>
          </w:tcPr>
          <w:p>
            <w:pPr>
              <w:spacing w:line="240" w:lineRule="auto"/>
              <w:ind w:firstLine="0" w:firstLineChars="0"/>
              <w:jc w:val="center"/>
              <w:rPr>
                <w:sz w:val="21"/>
                <w:szCs w:val="21"/>
                <w:highlight w:val="none"/>
              </w:rPr>
            </w:pPr>
            <w:r>
              <w:rPr>
                <w:sz w:val="21"/>
                <w:szCs w:val="21"/>
                <w:highlight w:val="none"/>
              </w:rPr>
              <w:t>2.31</w:t>
            </w:r>
          </w:p>
        </w:tc>
        <w:tc>
          <w:tcPr>
            <w:tcW w:w="785" w:type="dxa"/>
            <w:vAlign w:val="center"/>
          </w:tcPr>
          <w:p>
            <w:pPr>
              <w:spacing w:line="240" w:lineRule="auto"/>
              <w:ind w:firstLine="0" w:firstLineChars="0"/>
              <w:jc w:val="center"/>
              <w:rPr>
                <w:sz w:val="21"/>
                <w:szCs w:val="21"/>
                <w:highlight w:val="none"/>
              </w:rPr>
            </w:pPr>
            <w:r>
              <w:rPr>
                <w:sz w:val="21"/>
                <w:szCs w:val="21"/>
                <w:highlight w:val="none"/>
              </w:rPr>
              <w:t>2.52</w:t>
            </w:r>
          </w:p>
        </w:tc>
        <w:tc>
          <w:tcPr>
            <w:tcW w:w="785" w:type="dxa"/>
            <w:vAlign w:val="center"/>
          </w:tcPr>
          <w:p>
            <w:pPr>
              <w:spacing w:line="240" w:lineRule="auto"/>
              <w:ind w:firstLine="0" w:firstLineChars="0"/>
              <w:jc w:val="center"/>
              <w:rPr>
                <w:sz w:val="21"/>
                <w:szCs w:val="21"/>
                <w:highlight w:val="none"/>
              </w:rPr>
            </w:pPr>
            <w:r>
              <w:rPr>
                <w:sz w:val="21"/>
                <w:szCs w:val="21"/>
                <w:highlight w:val="none"/>
              </w:rPr>
              <w:t>2.58</w:t>
            </w:r>
          </w:p>
        </w:tc>
        <w:tc>
          <w:tcPr>
            <w:tcW w:w="785" w:type="dxa"/>
            <w:vAlign w:val="center"/>
          </w:tcPr>
          <w:p>
            <w:pPr>
              <w:spacing w:line="240" w:lineRule="auto"/>
              <w:ind w:firstLine="0" w:firstLineChars="0"/>
              <w:jc w:val="center"/>
              <w:rPr>
                <w:sz w:val="21"/>
                <w:szCs w:val="21"/>
                <w:highlight w:val="none"/>
              </w:rPr>
            </w:pPr>
            <w:r>
              <w:rPr>
                <w:sz w:val="21"/>
                <w:szCs w:val="21"/>
                <w:highlight w:val="none"/>
              </w:rPr>
              <w:t>2.02</w:t>
            </w:r>
          </w:p>
        </w:tc>
        <w:tc>
          <w:tcPr>
            <w:tcW w:w="794" w:type="dxa"/>
            <w:vAlign w:val="center"/>
          </w:tcPr>
          <w:p>
            <w:pPr>
              <w:spacing w:line="240" w:lineRule="auto"/>
              <w:ind w:firstLine="0" w:firstLineChars="0"/>
              <w:jc w:val="center"/>
              <w:rPr>
                <w:sz w:val="21"/>
                <w:szCs w:val="21"/>
                <w:highlight w:val="none"/>
              </w:rPr>
            </w:pPr>
            <w:r>
              <w:rPr>
                <w:sz w:val="21"/>
                <w:szCs w:val="21"/>
                <w:highlight w:val="none"/>
              </w:rPr>
              <w:t>1.9</w:t>
            </w:r>
          </w:p>
        </w:tc>
        <w:tc>
          <w:tcPr>
            <w:tcW w:w="785" w:type="dxa"/>
            <w:vAlign w:val="center"/>
          </w:tcPr>
          <w:p>
            <w:pPr>
              <w:spacing w:line="240" w:lineRule="auto"/>
              <w:ind w:firstLine="0" w:firstLineChars="0"/>
              <w:jc w:val="center"/>
              <w:rPr>
                <w:sz w:val="21"/>
                <w:szCs w:val="21"/>
                <w:highlight w:val="none"/>
              </w:rPr>
            </w:pPr>
            <w:r>
              <w:rPr>
                <w:sz w:val="21"/>
                <w:szCs w:val="21"/>
                <w:highlight w:val="none"/>
              </w:rPr>
              <w:t>2.19</w:t>
            </w:r>
          </w:p>
        </w:tc>
        <w:tc>
          <w:tcPr>
            <w:tcW w:w="785" w:type="dxa"/>
            <w:vAlign w:val="center"/>
          </w:tcPr>
          <w:p>
            <w:pPr>
              <w:spacing w:line="240" w:lineRule="auto"/>
              <w:ind w:firstLine="0" w:firstLineChars="0"/>
              <w:jc w:val="center"/>
              <w:rPr>
                <w:sz w:val="21"/>
                <w:szCs w:val="21"/>
                <w:highlight w:val="none"/>
              </w:rPr>
            </w:pPr>
            <w:r>
              <w:rPr>
                <w:sz w:val="21"/>
                <w:szCs w:val="21"/>
                <w:highlight w:val="none"/>
              </w:rPr>
              <w:t>1.19</w:t>
            </w:r>
          </w:p>
        </w:tc>
        <w:tc>
          <w:tcPr>
            <w:tcW w:w="785" w:type="dxa"/>
            <w:vAlign w:val="center"/>
          </w:tcPr>
          <w:p>
            <w:pPr>
              <w:spacing w:line="240" w:lineRule="auto"/>
              <w:ind w:firstLine="0" w:firstLineChars="0"/>
              <w:jc w:val="center"/>
              <w:rPr>
                <w:sz w:val="21"/>
                <w:szCs w:val="21"/>
                <w:highlight w:val="none"/>
              </w:rPr>
            </w:pPr>
            <w:r>
              <w:rPr>
                <w:sz w:val="21"/>
                <w:szCs w:val="21"/>
                <w:highlight w:val="none"/>
              </w:rPr>
              <w:t>1.73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7月</w:t>
            </w:r>
          </w:p>
        </w:tc>
        <w:tc>
          <w:tcPr>
            <w:tcW w:w="783" w:type="dxa"/>
            <w:vAlign w:val="center"/>
          </w:tcPr>
          <w:p>
            <w:pPr>
              <w:spacing w:line="240" w:lineRule="auto"/>
              <w:ind w:firstLine="0" w:firstLineChars="0"/>
              <w:jc w:val="center"/>
              <w:rPr>
                <w:sz w:val="21"/>
                <w:szCs w:val="21"/>
                <w:highlight w:val="none"/>
              </w:rPr>
            </w:pPr>
            <w:r>
              <w:rPr>
                <w:sz w:val="21"/>
                <w:szCs w:val="21"/>
                <w:highlight w:val="none"/>
              </w:rPr>
              <w:t>0.96</w:t>
            </w:r>
          </w:p>
        </w:tc>
        <w:tc>
          <w:tcPr>
            <w:tcW w:w="826" w:type="dxa"/>
            <w:vAlign w:val="center"/>
          </w:tcPr>
          <w:p>
            <w:pPr>
              <w:spacing w:line="240" w:lineRule="auto"/>
              <w:ind w:firstLine="0" w:firstLineChars="0"/>
              <w:jc w:val="center"/>
              <w:rPr>
                <w:sz w:val="21"/>
                <w:szCs w:val="21"/>
                <w:highlight w:val="none"/>
              </w:rPr>
            </w:pPr>
            <w:r>
              <w:rPr>
                <w:sz w:val="21"/>
                <w:szCs w:val="21"/>
                <w:highlight w:val="none"/>
              </w:rPr>
              <w:t>1.07</w:t>
            </w:r>
          </w:p>
        </w:tc>
        <w:tc>
          <w:tcPr>
            <w:tcW w:w="783" w:type="dxa"/>
            <w:vAlign w:val="center"/>
          </w:tcPr>
          <w:p>
            <w:pPr>
              <w:spacing w:line="240" w:lineRule="auto"/>
              <w:ind w:firstLine="0" w:firstLineChars="0"/>
              <w:jc w:val="center"/>
              <w:rPr>
                <w:sz w:val="21"/>
                <w:szCs w:val="21"/>
                <w:highlight w:val="none"/>
              </w:rPr>
            </w:pPr>
            <w:r>
              <w:rPr>
                <w:sz w:val="21"/>
                <w:szCs w:val="21"/>
                <w:highlight w:val="none"/>
              </w:rPr>
              <w:t>1.25</w:t>
            </w:r>
          </w:p>
        </w:tc>
        <w:tc>
          <w:tcPr>
            <w:tcW w:w="785" w:type="dxa"/>
            <w:vAlign w:val="center"/>
          </w:tcPr>
          <w:p>
            <w:pPr>
              <w:spacing w:line="240" w:lineRule="auto"/>
              <w:ind w:firstLine="0" w:firstLineChars="0"/>
              <w:jc w:val="center"/>
              <w:rPr>
                <w:sz w:val="21"/>
                <w:szCs w:val="21"/>
                <w:highlight w:val="none"/>
              </w:rPr>
            </w:pPr>
            <w:r>
              <w:rPr>
                <w:sz w:val="21"/>
                <w:szCs w:val="21"/>
                <w:highlight w:val="none"/>
              </w:rPr>
              <w:t>1.67</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1.72</w:t>
            </w:r>
          </w:p>
        </w:tc>
        <w:tc>
          <w:tcPr>
            <w:tcW w:w="785" w:type="dxa"/>
            <w:vAlign w:val="center"/>
          </w:tcPr>
          <w:p>
            <w:pPr>
              <w:spacing w:line="240" w:lineRule="auto"/>
              <w:ind w:firstLine="0" w:firstLineChars="0"/>
              <w:jc w:val="center"/>
              <w:rPr>
                <w:sz w:val="21"/>
                <w:szCs w:val="21"/>
                <w:highlight w:val="none"/>
              </w:rPr>
            </w:pPr>
            <w:r>
              <w:rPr>
                <w:sz w:val="21"/>
                <w:szCs w:val="21"/>
                <w:highlight w:val="none"/>
              </w:rPr>
              <w:t>1.66</w:t>
            </w:r>
          </w:p>
        </w:tc>
        <w:tc>
          <w:tcPr>
            <w:tcW w:w="785" w:type="dxa"/>
            <w:vAlign w:val="center"/>
          </w:tcPr>
          <w:p>
            <w:pPr>
              <w:spacing w:line="240" w:lineRule="auto"/>
              <w:ind w:firstLine="0" w:firstLineChars="0"/>
              <w:jc w:val="center"/>
              <w:rPr>
                <w:sz w:val="21"/>
                <w:szCs w:val="21"/>
                <w:highlight w:val="none"/>
              </w:rPr>
            </w:pPr>
            <w:r>
              <w:rPr>
                <w:sz w:val="21"/>
                <w:szCs w:val="21"/>
                <w:highlight w:val="none"/>
              </w:rPr>
              <w:t>1.77</w:t>
            </w:r>
          </w:p>
        </w:tc>
        <w:tc>
          <w:tcPr>
            <w:tcW w:w="785" w:type="dxa"/>
            <w:vAlign w:val="center"/>
          </w:tcPr>
          <w:p>
            <w:pPr>
              <w:spacing w:line="240" w:lineRule="auto"/>
              <w:ind w:firstLine="0" w:firstLineChars="0"/>
              <w:jc w:val="center"/>
              <w:rPr>
                <w:sz w:val="21"/>
                <w:szCs w:val="21"/>
                <w:highlight w:val="none"/>
              </w:rPr>
            </w:pPr>
            <w:r>
              <w:rPr>
                <w:sz w:val="21"/>
                <w:szCs w:val="21"/>
                <w:highlight w:val="none"/>
              </w:rPr>
              <w:t>1.76</w:t>
            </w:r>
          </w:p>
        </w:tc>
        <w:tc>
          <w:tcPr>
            <w:tcW w:w="785" w:type="dxa"/>
            <w:vAlign w:val="center"/>
          </w:tcPr>
          <w:p>
            <w:pPr>
              <w:spacing w:line="240" w:lineRule="auto"/>
              <w:ind w:firstLine="0" w:firstLineChars="0"/>
              <w:jc w:val="center"/>
              <w:rPr>
                <w:sz w:val="21"/>
                <w:szCs w:val="21"/>
                <w:highlight w:val="none"/>
              </w:rPr>
            </w:pPr>
            <w:r>
              <w:rPr>
                <w:sz w:val="21"/>
                <w:szCs w:val="21"/>
                <w:highlight w:val="none"/>
              </w:rPr>
              <w:t>2.83</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2.16</w:t>
            </w:r>
          </w:p>
        </w:tc>
        <w:tc>
          <w:tcPr>
            <w:tcW w:w="785" w:type="dxa"/>
            <w:vAlign w:val="center"/>
          </w:tcPr>
          <w:p>
            <w:pPr>
              <w:spacing w:line="240" w:lineRule="auto"/>
              <w:ind w:firstLine="0" w:firstLineChars="0"/>
              <w:jc w:val="center"/>
              <w:rPr>
                <w:sz w:val="21"/>
                <w:szCs w:val="21"/>
                <w:highlight w:val="none"/>
              </w:rPr>
            </w:pPr>
            <w:r>
              <w:rPr>
                <w:sz w:val="21"/>
                <w:szCs w:val="21"/>
                <w:highlight w:val="none"/>
              </w:rPr>
              <w:t>1.62</w:t>
            </w:r>
          </w:p>
        </w:tc>
        <w:tc>
          <w:tcPr>
            <w:tcW w:w="794" w:type="dxa"/>
            <w:vAlign w:val="center"/>
          </w:tcPr>
          <w:p>
            <w:pPr>
              <w:spacing w:line="240" w:lineRule="auto"/>
              <w:ind w:firstLine="0" w:firstLineChars="0"/>
              <w:jc w:val="center"/>
              <w:rPr>
                <w:sz w:val="21"/>
                <w:szCs w:val="21"/>
                <w:highlight w:val="none"/>
              </w:rPr>
            </w:pPr>
            <w:r>
              <w:rPr>
                <w:sz w:val="21"/>
                <w:szCs w:val="21"/>
                <w:highlight w:val="none"/>
              </w:rPr>
              <w:t>1.72</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1.23</w:t>
            </w:r>
          </w:p>
        </w:tc>
        <w:tc>
          <w:tcPr>
            <w:tcW w:w="785" w:type="dxa"/>
            <w:vAlign w:val="center"/>
          </w:tcPr>
          <w:p>
            <w:pPr>
              <w:spacing w:line="240" w:lineRule="auto"/>
              <w:ind w:firstLine="0" w:firstLineChars="0"/>
              <w:jc w:val="center"/>
              <w:rPr>
                <w:sz w:val="21"/>
                <w:szCs w:val="21"/>
                <w:highlight w:val="none"/>
              </w:rPr>
            </w:pPr>
            <w:r>
              <w:rPr>
                <w:sz w:val="21"/>
                <w:szCs w:val="21"/>
                <w:highlight w:val="none"/>
              </w:rPr>
              <w:t>1.56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8月</w:t>
            </w:r>
          </w:p>
        </w:tc>
        <w:tc>
          <w:tcPr>
            <w:tcW w:w="783" w:type="dxa"/>
            <w:vAlign w:val="center"/>
          </w:tcPr>
          <w:p>
            <w:pPr>
              <w:spacing w:line="240" w:lineRule="auto"/>
              <w:ind w:firstLine="0" w:firstLineChars="0"/>
              <w:jc w:val="center"/>
              <w:rPr>
                <w:sz w:val="21"/>
                <w:szCs w:val="21"/>
                <w:highlight w:val="none"/>
              </w:rPr>
            </w:pPr>
            <w:r>
              <w:rPr>
                <w:sz w:val="21"/>
                <w:szCs w:val="21"/>
                <w:highlight w:val="none"/>
              </w:rPr>
              <w:t>0.87</w:t>
            </w:r>
          </w:p>
        </w:tc>
        <w:tc>
          <w:tcPr>
            <w:tcW w:w="826" w:type="dxa"/>
            <w:vAlign w:val="center"/>
          </w:tcPr>
          <w:p>
            <w:pPr>
              <w:spacing w:line="240" w:lineRule="auto"/>
              <w:ind w:firstLine="0" w:firstLineChars="0"/>
              <w:jc w:val="center"/>
              <w:rPr>
                <w:sz w:val="21"/>
                <w:szCs w:val="21"/>
                <w:highlight w:val="none"/>
              </w:rPr>
            </w:pPr>
            <w:r>
              <w:rPr>
                <w:sz w:val="21"/>
                <w:szCs w:val="21"/>
                <w:highlight w:val="none"/>
              </w:rPr>
              <w:t>0.85</w:t>
            </w:r>
          </w:p>
        </w:tc>
        <w:tc>
          <w:tcPr>
            <w:tcW w:w="783" w:type="dxa"/>
            <w:vAlign w:val="center"/>
          </w:tcPr>
          <w:p>
            <w:pPr>
              <w:spacing w:line="240" w:lineRule="auto"/>
              <w:ind w:firstLine="0" w:firstLineChars="0"/>
              <w:jc w:val="center"/>
              <w:rPr>
                <w:sz w:val="21"/>
                <w:szCs w:val="21"/>
                <w:highlight w:val="none"/>
              </w:rPr>
            </w:pPr>
            <w:r>
              <w:rPr>
                <w:sz w:val="21"/>
                <w:szCs w:val="21"/>
                <w:highlight w:val="none"/>
              </w:rPr>
              <w:t>1.15</w:t>
            </w:r>
          </w:p>
        </w:tc>
        <w:tc>
          <w:tcPr>
            <w:tcW w:w="785" w:type="dxa"/>
            <w:vAlign w:val="center"/>
          </w:tcPr>
          <w:p>
            <w:pPr>
              <w:spacing w:line="240" w:lineRule="auto"/>
              <w:ind w:firstLine="0" w:firstLineChars="0"/>
              <w:jc w:val="center"/>
              <w:rPr>
                <w:sz w:val="21"/>
                <w:szCs w:val="21"/>
                <w:highlight w:val="none"/>
              </w:rPr>
            </w:pPr>
            <w:r>
              <w:rPr>
                <w:sz w:val="21"/>
                <w:szCs w:val="21"/>
                <w:highlight w:val="none"/>
              </w:rPr>
              <w:t>1.51</w:t>
            </w:r>
          </w:p>
        </w:tc>
        <w:tc>
          <w:tcPr>
            <w:tcW w:w="785" w:type="dxa"/>
            <w:vAlign w:val="center"/>
          </w:tcPr>
          <w:p>
            <w:pPr>
              <w:spacing w:line="240" w:lineRule="auto"/>
              <w:ind w:firstLine="0" w:firstLineChars="0"/>
              <w:jc w:val="center"/>
              <w:rPr>
                <w:sz w:val="21"/>
                <w:szCs w:val="21"/>
                <w:highlight w:val="none"/>
              </w:rPr>
            </w:pPr>
            <w:r>
              <w:rPr>
                <w:sz w:val="21"/>
                <w:szCs w:val="21"/>
                <w:highlight w:val="none"/>
              </w:rPr>
              <w:t>1.75</w:t>
            </w:r>
          </w:p>
        </w:tc>
        <w:tc>
          <w:tcPr>
            <w:tcW w:w="785" w:type="dxa"/>
            <w:vAlign w:val="center"/>
          </w:tcPr>
          <w:p>
            <w:pPr>
              <w:spacing w:line="240" w:lineRule="auto"/>
              <w:ind w:firstLine="0" w:firstLineChars="0"/>
              <w:jc w:val="center"/>
              <w:rPr>
                <w:sz w:val="21"/>
                <w:szCs w:val="21"/>
                <w:highlight w:val="none"/>
              </w:rPr>
            </w:pPr>
            <w:r>
              <w:rPr>
                <w:sz w:val="21"/>
                <w:szCs w:val="21"/>
                <w:highlight w:val="none"/>
              </w:rPr>
              <w:t>1.54</w:t>
            </w:r>
          </w:p>
        </w:tc>
        <w:tc>
          <w:tcPr>
            <w:tcW w:w="785" w:type="dxa"/>
            <w:vAlign w:val="center"/>
          </w:tcPr>
          <w:p>
            <w:pPr>
              <w:spacing w:line="240" w:lineRule="auto"/>
              <w:ind w:firstLine="0" w:firstLineChars="0"/>
              <w:jc w:val="center"/>
              <w:rPr>
                <w:sz w:val="21"/>
                <w:szCs w:val="21"/>
                <w:highlight w:val="none"/>
              </w:rPr>
            </w:pPr>
            <w:r>
              <w:rPr>
                <w:sz w:val="21"/>
                <w:szCs w:val="21"/>
                <w:highlight w:val="none"/>
              </w:rPr>
              <w:t>1.42</w:t>
            </w:r>
          </w:p>
        </w:tc>
        <w:tc>
          <w:tcPr>
            <w:tcW w:w="785" w:type="dxa"/>
            <w:vAlign w:val="center"/>
          </w:tcPr>
          <w:p>
            <w:pPr>
              <w:spacing w:line="240" w:lineRule="auto"/>
              <w:ind w:firstLine="0" w:firstLineChars="0"/>
              <w:jc w:val="center"/>
              <w:rPr>
                <w:sz w:val="21"/>
                <w:szCs w:val="21"/>
                <w:highlight w:val="none"/>
              </w:rPr>
            </w:pPr>
            <w:r>
              <w:rPr>
                <w:sz w:val="21"/>
                <w:szCs w:val="21"/>
                <w:highlight w:val="none"/>
              </w:rPr>
              <w:t>1.53</w:t>
            </w:r>
          </w:p>
        </w:tc>
        <w:tc>
          <w:tcPr>
            <w:tcW w:w="785" w:type="dxa"/>
            <w:vAlign w:val="center"/>
          </w:tcPr>
          <w:p>
            <w:pPr>
              <w:spacing w:line="240" w:lineRule="auto"/>
              <w:ind w:firstLine="0" w:firstLineChars="0"/>
              <w:jc w:val="center"/>
              <w:rPr>
                <w:sz w:val="21"/>
                <w:szCs w:val="21"/>
                <w:highlight w:val="none"/>
              </w:rPr>
            </w:pPr>
            <w:r>
              <w:rPr>
                <w:sz w:val="21"/>
                <w:szCs w:val="21"/>
                <w:highlight w:val="none"/>
              </w:rPr>
              <w:t>1.93</w:t>
            </w:r>
          </w:p>
        </w:tc>
        <w:tc>
          <w:tcPr>
            <w:tcW w:w="785" w:type="dxa"/>
            <w:vAlign w:val="center"/>
          </w:tcPr>
          <w:p>
            <w:pPr>
              <w:spacing w:line="240" w:lineRule="auto"/>
              <w:ind w:firstLine="0" w:firstLineChars="0"/>
              <w:jc w:val="center"/>
              <w:rPr>
                <w:sz w:val="21"/>
                <w:szCs w:val="21"/>
                <w:highlight w:val="none"/>
              </w:rPr>
            </w:pPr>
            <w:r>
              <w:rPr>
                <w:sz w:val="21"/>
                <w:szCs w:val="21"/>
                <w:highlight w:val="none"/>
              </w:rPr>
              <w:t>1.9</w:t>
            </w:r>
          </w:p>
        </w:tc>
        <w:tc>
          <w:tcPr>
            <w:tcW w:w="785" w:type="dxa"/>
            <w:vAlign w:val="center"/>
          </w:tcPr>
          <w:p>
            <w:pPr>
              <w:spacing w:line="240" w:lineRule="auto"/>
              <w:ind w:firstLine="0" w:firstLineChars="0"/>
              <w:jc w:val="center"/>
              <w:rPr>
                <w:sz w:val="21"/>
                <w:szCs w:val="21"/>
                <w:highlight w:val="none"/>
              </w:rPr>
            </w:pPr>
            <w:r>
              <w:rPr>
                <w:sz w:val="21"/>
                <w:szCs w:val="21"/>
                <w:highlight w:val="none"/>
              </w:rPr>
              <w:t>2.26</w:t>
            </w:r>
          </w:p>
        </w:tc>
        <w:tc>
          <w:tcPr>
            <w:tcW w:w="785" w:type="dxa"/>
            <w:vAlign w:val="center"/>
          </w:tcPr>
          <w:p>
            <w:pPr>
              <w:spacing w:line="240" w:lineRule="auto"/>
              <w:ind w:firstLine="0" w:firstLineChars="0"/>
              <w:jc w:val="center"/>
              <w:rPr>
                <w:sz w:val="21"/>
                <w:szCs w:val="21"/>
                <w:highlight w:val="none"/>
              </w:rPr>
            </w:pPr>
            <w:r>
              <w:rPr>
                <w:sz w:val="21"/>
                <w:szCs w:val="21"/>
                <w:highlight w:val="none"/>
              </w:rPr>
              <w:t>2.36</w:t>
            </w:r>
          </w:p>
        </w:tc>
        <w:tc>
          <w:tcPr>
            <w:tcW w:w="785" w:type="dxa"/>
            <w:vAlign w:val="center"/>
          </w:tcPr>
          <w:p>
            <w:pPr>
              <w:spacing w:line="240" w:lineRule="auto"/>
              <w:ind w:firstLine="0" w:firstLineChars="0"/>
              <w:jc w:val="center"/>
              <w:rPr>
                <w:sz w:val="21"/>
                <w:szCs w:val="21"/>
                <w:highlight w:val="none"/>
              </w:rPr>
            </w:pPr>
            <w:r>
              <w:rPr>
                <w:sz w:val="21"/>
                <w:szCs w:val="21"/>
                <w:highlight w:val="none"/>
              </w:rPr>
              <w:t>1.82</w:t>
            </w:r>
          </w:p>
        </w:tc>
        <w:tc>
          <w:tcPr>
            <w:tcW w:w="794" w:type="dxa"/>
            <w:vAlign w:val="center"/>
          </w:tcPr>
          <w:p>
            <w:pPr>
              <w:spacing w:line="240" w:lineRule="auto"/>
              <w:ind w:firstLine="0" w:firstLineChars="0"/>
              <w:jc w:val="center"/>
              <w:rPr>
                <w:sz w:val="21"/>
                <w:szCs w:val="21"/>
                <w:highlight w:val="none"/>
              </w:rPr>
            </w:pPr>
            <w:r>
              <w:rPr>
                <w:sz w:val="21"/>
                <w:szCs w:val="21"/>
                <w:highlight w:val="none"/>
              </w:rPr>
              <w:t>1.61</w:t>
            </w:r>
          </w:p>
        </w:tc>
        <w:tc>
          <w:tcPr>
            <w:tcW w:w="785" w:type="dxa"/>
            <w:vAlign w:val="center"/>
          </w:tcPr>
          <w:p>
            <w:pPr>
              <w:spacing w:line="240" w:lineRule="auto"/>
              <w:ind w:firstLine="0" w:firstLineChars="0"/>
              <w:jc w:val="center"/>
              <w:rPr>
                <w:sz w:val="21"/>
                <w:szCs w:val="21"/>
                <w:highlight w:val="none"/>
              </w:rPr>
            </w:pPr>
            <w:r>
              <w:rPr>
                <w:sz w:val="21"/>
                <w:szCs w:val="21"/>
                <w:highlight w:val="none"/>
              </w:rPr>
              <w:t>0.89</w:t>
            </w:r>
          </w:p>
        </w:tc>
        <w:tc>
          <w:tcPr>
            <w:tcW w:w="785" w:type="dxa"/>
            <w:vAlign w:val="center"/>
          </w:tcPr>
          <w:p>
            <w:pPr>
              <w:spacing w:line="240" w:lineRule="auto"/>
              <w:ind w:firstLine="0" w:firstLineChars="0"/>
              <w:jc w:val="center"/>
              <w:rPr>
                <w:sz w:val="21"/>
                <w:szCs w:val="21"/>
                <w:highlight w:val="none"/>
              </w:rPr>
            </w:pPr>
            <w:r>
              <w:rPr>
                <w:sz w:val="21"/>
                <w:szCs w:val="21"/>
                <w:highlight w:val="none"/>
              </w:rPr>
              <w:t>1.02</w:t>
            </w:r>
          </w:p>
        </w:tc>
        <w:tc>
          <w:tcPr>
            <w:tcW w:w="785" w:type="dxa"/>
            <w:vAlign w:val="center"/>
          </w:tcPr>
          <w:p>
            <w:pPr>
              <w:spacing w:line="240" w:lineRule="auto"/>
              <w:ind w:firstLine="0" w:firstLineChars="0"/>
              <w:jc w:val="center"/>
              <w:rPr>
                <w:sz w:val="21"/>
                <w:szCs w:val="21"/>
                <w:highlight w:val="none"/>
              </w:rPr>
            </w:pPr>
            <w:r>
              <w:rPr>
                <w:sz w:val="21"/>
                <w:szCs w:val="21"/>
                <w:highlight w:val="none"/>
              </w:rPr>
              <w:t>1.55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9月</w:t>
            </w:r>
          </w:p>
        </w:tc>
        <w:tc>
          <w:tcPr>
            <w:tcW w:w="783" w:type="dxa"/>
            <w:vAlign w:val="center"/>
          </w:tcPr>
          <w:p>
            <w:pPr>
              <w:spacing w:line="240" w:lineRule="auto"/>
              <w:ind w:firstLine="0" w:firstLineChars="0"/>
              <w:jc w:val="center"/>
              <w:rPr>
                <w:sz w:val="21"/>
                <w:szCs w:val="21"/>
                <w:highlight w:val="none"/>
              </w:rPr>
            </w:pPr>
            <w:r>
              <w:rPr>
                <w:sz w:val="21"/>
                <w:szCs w:val="21"/>
                <w:highlight w:val="none"/>
              </w:rPr>
              <w:t>1.11</w:t>
            </w:r>
          </w:p>
        </w:tc>
        <w:tc>
          <w:tcPr>
            <w:tcW w:w="826" w:type="dxa"/>
            <w:vAlign w:val="center"/>
          </w:tcPr>
          <w:p>
            <w:pPr>
              <w:spacing w:line="240" w:lineRule="auto"/>
              <w:ind w:firstLine="0" w:firstLineChars="0"/>
              <w:jc w:val="center"/>
              <w:rPr>
                <w:sz w:val="21"/>
                <w:szCs w:val="21"/>
                <w:highlight w:val="none"/>
              </w:rPr>
            </w:pPr>
            <w:r>
              <w:rPr>
                <w:sz w:val="21"/>
                <w:szCs w:val="21"/>
                <w:highlight w:val="none"/>
              </w:rPr>
              <w:t>0.98</w:t>
            </w:r>
          </w:p>
        </w:tc>
        <w:tc>
          <w:tcPr>
            <w:tcW w:w="783" w:type="dxa"/>
            <w:vAlign w:val="center"/>
          </w:tcPr>
          <w:p>
            <w:pPr>
              <w:spacing w:line="240" w:lineRule="auto"/>
              <w:ind w:firstLine="0" w:firstLineChars="0"/>
              <w:jc w:val="center"/>
              <w:rPr>
                <w:sz w:val="21"/>
                <w:szCs w:val="21"/>
                <w:highlight w:val="none"/>
              </w:rPr>
            </w:pPr>
            <w:r>
              <w:rPr>
                <w:sz w:val="21"/>
                <w:szCs w:val="21"/>
                <w:highlight w:val="none"/>
              </w:rPr>
              <w:t>1.12</w:t>
            </w:r>
          </w:p>
        </w:tc>
        <w:tc>
          <w:tcPr>
            <w:tcW w:w="785" w:type="dxa"/>
            <w:vAlign w:val="center"/>
          </w:tcPr>
          <w:p>
            <w:pPr>
              <w:spacing w:line="240" w:lineRule="auto"/>
              <w:ind w:firstLine="0" w:firstLineChars="0"/>
              <w:jc w:val="center"/>
              <w:rPr>
                <w:sz w:val="21"/>
                <w:szCs w:val="21"/>
                <w:highlight w:val="none"/>
              </w:rPr>
            </w:pPr>
            <w:r>
              <w:rPr>
                <w:sz w:val="21"/>
                <w:szCs w:val="21"/>
                <w:highlight w:val="none"/>
              </w:rPr>
              <w:t>1.21</w:t>
            </w:r>
          </w:p>
        </w:tc>
        <w:tc>
          <w:tcPr>
            <w:tcW w:w="785" w:type="dxa"/>
            <w:vAlign w:val="center"/>
          </w:tcPr>
          <w:p>
            <w:pPr>
              <w:spacing w:line="240" w:lineRule="auto"/>
              <w:ind w:firstLine="0" w:firstLineChars="0"/>
              <w:jc w:val="center"/>
              <w:rPr>
                <w:sz w:val="21"/>
                <w:szCs w:val="21"/>
                <w:highlight w:val="none"/>
              </w:rPr>
            </w:pPr>
            <w:r>
              <w:rPr>
                <w:sz w:val="21"/>
                <w:szCs w:val="21"/>
                <w:highlight w:val="none"/>
              </w:rPr>
              <w:t>1.21</w:t>
            </w:r>
          </w:p>
        </w:tc>
        <w:tc>
          <w:tcPr>
            <w:tcW w:w="785" w:type="dxa"/>
            <w:vAlign w:val="center"/>
          </w:tcPr>
          <w:p>
            <w:pPr>
              <w:spacing w:line="240" w:lineRule="auto"/>
              <w:ind w:firstLine="0" w:firstLineChars="0"/>
              <w:jc w:val="center"/>
              <w:rPr>
                <w:sz w:val="21"/>
                <w:szCs w:val="21"/>
                <w:highlight w:val="none"/>
              </w:rPr>
            </w:pPr>
            <w:r>
              <w:rPr>
                <w:sz w:val="21"/>
                <w:szCs w:val="21"/>
                <w:highlight w:val="none"/>
              </w:rPr>
              <w:t>1.24</w:t>
            </w:r>
          </w:p>
        </w:tc>
        <w:tc>
          <w:tcPr>
            <w:tcW w:w="785" w:type="dxa"/>
            <w:vAlign w:val="center"/>
          </w:tcPr>
          <w:p>
            <w:pPr>
              <w:spacing w:line="240" w:lineRule="auto"/>
              <w:ind w:firstLine="0" w:firstLineChars="0"/>
              <w:jc w:val="center"/>
              <w:rPr>
                <w:sz w:val="21"/>
                <w:szCs w:val="21"/>
                <w:highlight w:val="none"/>
              </w:rPr>
            </w:pPr>
            <w:r>
              <w:rPr>
                <w:sz w:val="21"/>
                <w:szCs w:val="21"/>
                <w:highlight w:val="none"/>
              </w:rPr>
              <w:t>1.25</w:t>
            </w:r>
          </w:p>
        </w:tc>
        <w:tc>
          <w:tcPr>
            <w:tcW w:w="785" w:type="dxa"/>
            <w:vAlign w:val="center"/>
          </w:tcPr>
          <w:p>
            <w:pPr>
              <w:spacing w:line="240" w:lineRule="auto"/>
              <w:ind w:firstLine="0" w:firstLineChars="0"/>
              <w:jc w:val="center"/>
              <w:rPr>
                <w:sz w:val="21"/>
                <w:szCs w:val="21"/>
                <w:highlight w:val="none"/>
              </w:rPr>
            </w:pPr>
            <w:r>
              <w:rPr>
                <w:sz w:val="21"/>
                <w:szCs w:val="21"/>
                <w:highlight w:val="none"/>
              </w:rPr>
              <w:t>1.24</w:t>
            </w:r>
          </w:p>
        </w:tc>
        <w:tc>
          <w:tcPr>
            <w:tcW w:w="785" w:type="dxa"/>
            <w:vAlign w:val="center"/>
          </w:tcPr>
          <w:p>
            <w:pPr>
              <w:spacing w:line="240" w:lineRule="auto"/>
              <w:ind w:firstLine="0" w:firstLineChars="0"/>
              <w:jc w:val="center"/>
              <w:rPr>
                <w:sz w:val="21"/>
                <w:szCs w:val="21"/>
                <w:highlight w:val="none"/>
              </w:rPr>
            </w:pPr>
            <w:r>
              <w:rPr>
                <w:sz w:val="21"/>
                <w:szCs w:val="21"/>
                <w:highlight w:val="none"/>
              </w:rPr>
              <w:t>1.46</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2.12</w:t>
            </w:r>
          </w:p>
        </w:tc>
        <w:tc>
          <w:tcPr>
            <w:tcW w:w="785" w:type="dxa"/>
            <w:vAlign w:val="center"/>
          </w:tcPr>
          <w:p>
            <w:pPr>
              <w:spacing w:line="240" w:lineRule="auto"/>
              <w:ind w:firstLine="0" w:firstLineChars="0"/>
              <w:jc w:val="center"/>
              <w:rPr>
                <w:sz w:val="21"/>
                <w:szCs w:val="21"/>
                <w:highlight w:val="none"/>
              </w:rPr>
            </w:pPr>
            <w:r>
              <w:rPr>
                <w:sz w:val="21"/>
                <w:szCs w:val="21"/>
                <w:highlight w:val="none"/>
              </w:rPr>
              <w:t>2.37</w:t>
            </w:r>
          </w:p>
        </w:tc>
        <w:tc>
          <w:tcPr>
            <w:tcW w:w="785" w:type="dxa"/>
            <w:vAlign w:val="center"/>
          </w:tcPr>
          <w:p>
            <w:pPr>
              <w:spacing w:line="240" w:lineRule="auto"/>
              <w:ind w:firstLine="0" w:firstLineChars="0"/>
              <w:jc w:val="center"/>
              <w:rPr>
                <w:sz w:val="21"/>
                <w:szCs w:val="21"/>
                <w:highlight w:val="none"/>
              </w:rPr>
            </w:pPr>
            <w:r>
              <w:rPr>
                <w:sz w:val="21"/>
                <w:szCs w:val="21"/>
                <w:highlight w:val="none"/>
              </w:rPr>
              <w:t>1.75</w:t>
            </w:r>
          </w:p>
        </w:tc>
        <w:tc>
          <w:tcPr>
            <w:tcW w:w="794" w:type="dxa"/>
            <w:vAlign w:val="center"/>
          </w:tcPr>
          <w:p>
            <w:pPr>
              <w:spacing w:line="240" w:lineRule="auto"/>
              <w:ind w:firstLine="0" w:firstLineChars="0"/>
              <w:jc w:val="center"/>
              <w:rPr>
                <w:sz w:val="21"/>
                <w:szCs w:val="21"/>
                <w:highlight w:val="none"/>
              </w:rPr>
            </w:pPr>
            <w:r>
              <w:rPr>
                <w:sz w:val="21"/>
                <w:szCs w:val="21"/>
                <w:highlight w:val="none"/>
              </w:rPr>
              <w:t>1.88</w:t>
            </w:r>
          </w:p>
        </w:tc>
        <w:tc>
          <w:tcPr>
            <w:tcW w:w="785" w:type="dxa"/>
            <w:vAlign w:val="center"/>
          </w:tcPr>
          <w:p>
            <w:pPr>
              <w:spacing w:line="240" w:lineRule="auto"/>
              <w:ind w:firstLine="0" w:firstLineChars="0"/>
              <w:jc w:val="center"/>
              <w:rPr>
                <w:sz w:val="21"/>
                <w:szCs w:val="21"/>
                <w:highlight w:val="none"/>
              </w:rPr>
            </w:pPr>
            <w:r>
              <w:rPr>
                <w:sz w:val="21"/>
                <w:szCs w:val="21"/>
                <w:highlight w:val="none"/>
              </w:rPr>
              <w:t>1.98</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1.41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10月</w:t>
            </w:r>
          </w:p>
        </w:tc>
        <w:tc>
          <w:tcPr>
            <w:tcW w:w="783" w:type="dxa"/>
            <w:vAlign w:val="center"/>
          </w:tcPr>
          <w:p>
            <w:pPr>
              <w:spacing w:line="240" w:lineRule="auto"/>
              <w:ind w:firstLine="0" w:firstLineChars="0"/>
              <w:jc w:val="center"/>
              <w:rPr>
                <w:sz w:val="21"/>
                <w:szCs w:val="21"/>
                <w:highlight w:val="none"/>
              </w:rPr>
            </w:pPr>
            <w:r>
              <w:rPr>
                <w:sz w:val="21"/>
                <w:szCs w:val="21"/>
                <w:highlight w:val="none"/>
              </w:rPr>
              <w:t>1</w:t>
            </w:r>
          </w:p>
        </w:tc>
        <w:tc>
          <w:tcPr>
            <w:tcW w:w="826" w:type="dxa"/>
            <w:vAlign w:val="center"/>
          </w:tcPr>
          <w:p>
            <w:pPr>
              <w:spacing w:line="240" w:lineRule="auto"/>
              <w:ind w:firstLine="0" w:firstLineChars="0"/>
              <w:jc w:val="center"/>
              <w:rPr>
                <w:sz w:val="21"/>
                <w:szCs w:val="21"/>
                <w:highlight w:val="none"/>
              </w:rPr>
            </w:pPr>
            <w:r>
              <w:rPr>
                <w:sz w:val="21"/>
                <w:szCs w:val="21"/>
                <w:highlight w:val="none"/>
              </w:rPr>
              <w:t>0.93</w:t>
            </w:r>
          </w:p>
        </w:tc>
        <w:tc>
          <w:tcPr>
            <w:tcW w:w="783" w:type="dxa"/>
            <w:vAlign w:val="center"/>
          </w:tcPr>
          <w:p>
            <w:pPr>
              <w:spacing w:line="240" w:lineRule="auto"/>
              <w:ind w:firstLine="0" w:firstLineChars="0"/>
              <w:jc w:val="center"/>
              <w:rPr>
                <w:sz w:val="21"/>
                <w:szCs w:val="21"/>
                <w:highlight w:val="none"/>
              </w:rPr>
            </w:pPr>
            <w:r>
              <w:rPr>
                <w:sz w:val="21"/>
                <w:szCs w:val="21"/>
                <w:highlight w:val="none"/>
              </w:rPr>
              <w:t>0.79</w:t>
            </w:r>
          </w:p>
        </w:tc>
        <w:tc>
          <w:tcPr>
            <w:tcW w:w="785" w:type="dxa"/>
            <w:vAlign w:val="center"/>
          </w:tcPr>
          <w:p>
            <w:pPr>
              <w:spacing w:line="240" w:lineRule="auto"/>
              <w:ind w:firstLine="0" w:firstLineChars="0"/>
              <w:jc w:val="center"/>
              <w:rPr>
                <w:sz w:val="21"/>
                <w:szCs w:val="21"/>
                <w:highlight w:val="none"/>
              </w:rPr>
            </w:pPr>
            <w:r>
              <w:rPr>
                <w:sz w:val="21"/>
                <w:szCs w:val="21"/>
                <w:highlight w:val="none"/>
              </w:rPr>
              <w:t>1</w:t>
            </w:r>
          </w:p>
        </w:tc>
        <w:tc>
          <w:tcPr>
            <w:tcW w:w="785" w:type="dxa"/>
            <w:vAlign w:val="center"/>
          </w:tcPr>
          <w:p>
            <w:pPr>
              <w:spacing w:line="240" w:lineRule="auto"/>
              <w:ind w:firstLine="0" w:firstLineChars="0"/>
              <w:jc w:val="center"/>
              <w:rPr>
                <w:sz w:val="21"/>
                <w:szCs w:val="21"/>
                <w:highlight w:val="none"/>
              </w:rPr>
            </w:pPr>
            <w:r>
              <w:rPr>
                <w:sz w:val="21"/>
                <w:szCs w:val="21"/>
                <w:highlight w:val="none"/>
              </w:rPr>
              <w:t>1.23</w:t>
            </w:r>
          </w:p>
        </w:tc>
        <w:tc>
          <w:tcPr>
            <w:tcW w:w="785" w:type="dxa"/>
            <w:vAlign w:val="center"/>
          </w:tcPr>
          <w:p>
            <w:pPr>
              <w:spacing w:line="240" w:lineRule="auto"/>
              <w:ind w:firstLine="0" w:firstLineChars="0"/>
              <w:jc w:val="center"/>
              <w:rPr>
                <w:sz w:val="21"/>
                <w:szCs w:val="21"/>
                <w:highlight w:val="none"/>
              </w:rPr>
            </w:pPr>
            <w:r>
              <w:rPr>
                <w:sz w:val="21"/>
                <w:szCs w:val="21"/>
                <w:highlight w:val="none"/>
              </w:rPr>
              <w:t>1.1</w:t>
            </w:r>
          </w:p>
        </w:tc>
        <w:tc>
          <w:tcPr>
            <w:tcW w:w="785" w:type="dxa"/>
            <w:vAlign w:val="center"/>
          </w:tcPr>
          <w:p>
            <w:pPr>
              <w:spacing w:line="240" w:lineRule="auto"/>
              <w:ind w:firstLine="0" w:firstLineChars="0"/>
              <w:jc w:val="center"/>
              <w:rPr>
                <w:sz w:val="21"/>
                <w:szCs w:val="21"/>
                <w:highlight w:val="none"/>
              </w:rPr>
            </w:pPr>
            <w:r>
              <w:rPr>
                <w:sz w:val="21"/>
                <w:szCs w:val="21"/>
                <w:highlight w:val="none"/>
              </w:rPr>
              <w:t>1.05</w:t>
            </w:r>
          </w:p>
        </w:tc>
        <w:tc>
          <w:tcPr>
            <w:tcW w:w="785" w:type="dxa"/>
            <w:vAlign w:val="center"/>
          </w:tcPr>
          <w:p>
            <w:pPr>
              <w:spacing w:line="240" w:lineRule="auto"/>
              <w:ind w:firstLine="0" w:firstLineChars="0"/>
              <w:jc w:val="center"/>
              <w:rPr>
                <w:sz w:val="21"/>
                <w:szCs w:val="21"/>
                <w:highlight w:val="none"/>
              </w:rPr>
            </w:pPr>
            <w:r>
              <w:rPr>
                <w:sz w:val="21"/>
                <w:szCs w:val="21"/>
                <w:highlight w:val="none"/>
              </w:rPr>
              <w:t>1.15</w:t>
            </w:r>
          </w:p>
        </w:tc>
        <w:tc>
          <w:tcPr>
            <w:tcW w:w="785" w:type="dxa"/>
            <w:vAlign w:val="center"/>
          </w:tcPr>
          <w:p>
            <w:pPr>
              <w:spacing w:line="240" w:lineRule="auto"/>
              <w:ind w:firstLine="0" w:firstLineChars="0"/>
              <w:jc w:val="center"/>
              <w:rPr>
                <w:sz w:val="21"/>
                <w:szCs w:val="21"/>
                <w:highlight w:val="none"/>
              </w:rPr>
            </w:pPr>
            <w:r>
              <w:rPr>
                <w:sz w:val="21"/>
                <w:szCs w:val="21"/>
                <w:highlight w:val="none"/>
              </w:rPr>
              <w:t>1.26</w:t>
            </w:r>
          </w:p>
        </w:tc>
        <w:tc>
          <w:tcPr>
            <w:tcW w:w="785" w:type="dxa"/>
            <w:vAlign w:val="center"/>
          </w:tcPr>
          <w:p>
            <w:pPr>
              <w:spacing w:line="240" w:lineRule="auto"/>
              <w:ind w:firstLine="0" w:firstLineChars="0"/>
              <w:jc w:val="center"/>
              <w:rPr>
                <w:sz w:val="21"/>
                <w:szCs w:val="21"/>
                <w:highlight w:val="none"/>
              </w:rPr>
            </w:pPr>
            <w:r>
              <w:rPr>
                <w:sz w:val="21"/>
                <w:szCs w:val="21"/>
                <w:highlight w:val="none"/>
              </w:rPr>
              <w:t>1.45</w:t>
            </w:r>
          </w:p>
        </w:tc>
        <w:tc>
          <w:tcPr>
            <w:tcW w:w="785" w:type="dxa"/>
            <w:vAlign w:val="center"/>
          </w:tcPr>
          <w:p>
            <w:pPr>
              <w:spacing w:line="240" w:lineRule="auto"/>
              <w:ind w:firstLine="0" w:firstLineChars="0"/>
              <w:jc w:val="center"/>
              <w:rPr>
                <w:sz w:val="21"/>
                <w:szCs w:val="21"/>
                <w:highlight w:val="none"/>
              </w:rPr>
            </w:pPr>
            <w:r>
              <w:rPr>
                <w:sz w:val="21"/>
                <w:szCs w:val="21"/>
                <w:highlight w:val="none"/>
              </w:rPr>
              <w:t>1.84</w:t>
            </w:r>
          </w:p>
        </w:tc>
        <w:tc>
          <w:tcPr>
            <w:tcW w:w="785" w:type="dxa"/>
            <w:vAlign w:val="center"/>
          </w:tcPr>
          <w:p>
            <w:pPr>
              <w:spacing w:line="240" w:lineRule="auto"/>
              <w:ind w:firstLine="0" w:firstLineChars="0"/>
              <w:jc w:val="center"/>
              <w:rPr>
                <w:sz w:val="21"/>
                <w:szCs w:val="21"/>
                <w:highlight w:val="none"/>
              </w:rPr>
            </w:pPr>
            <w:r>
              <w:rPr>
                <w:sz w:val="21"/>
                <w:szCs w:val="21"/>
                <w:highlight w:val="none"/>
              </w:rPr>
              <w:t>2.31</w:t>
            </w:r>
          </w:p>
        </w:tc>
        <w:tc>
          <w:tcPr>
            <w:tcW w:w="785" w:type="dxa"/>
            <w:vAlign w:val="center"/>
          </w:tcPr>
          <w:p>
            <w:pPr>
              <w:spacing w:line="240" w:lineRule="auto"/>
              <w:ind w:firstLine="0" w:firstLineChars="0"/>
              <w:jc w:val="center"/>
              <w:rPr>
                <w:sz w:val="21"/>
                <w:szCs w:val="21"/>
                <w:highlight w:val="none"/>
              </w:rPr>
            </w:pPr>
            <w:r>
              <w:rPr>
                <w:sz w:val="21"/>
                <w:szCs w:val="21"/>
                <w:highlight w:val="none"/>
              </w:rPr>
              <w:t>1.94</w:t>
            </w:r>
          </w:p>
        </w:tc>
        <w:tc>
          <w:tcPr>
            <w:tcW w:w="794" w:type="dxa"/>
            <w:vAlign w:val="center"/>
          </w:tcPr>
          <w:p>
            <w:pPr>
              <w:spacing w:line="240" w:lineRule="auto"/>
              <w:ind w:firstLine="0" w:firstLineChars="0"/>
              <w:jc w:val="center"/>
              <w:rPr>
                <w:sz w:val="21"/>
                <w:szCs w:val="21"/>
                <w:highlight w:val="none"/>
              </w:rPr>
            </w:pPr>
            <w:r>
              <w:rPr>
                <w:sz w:val="21"/>
                <w:szCs w:val="21"/>
                <w:highlight w:val="none"/>
              </w:rPr>
              <w:t>1.3</w:t>
            </w:r>
          </w:p>
        </w:tc>
        <w:tc>
          <w:tcPr>
            <w:tcW w:w="785" w:type="dxa"/>
            <w:vAlign w:val="center"/>
          </w:tcPr>
          <w:p>
            <w:pPr>
              <w:spacing w:line="240" w:lineRule="auto"/>
              <w:ind w:firstLine="0" w:firstLineChars="0"/>
              <w:jc w:val="center"/>
              <w:rPr>
                <w:sz w:val="21"/>
                <w:szCs w:val="21"/>
                <w:highlight w:val="none"/>
              </w:rPr>
            </w:pPr>
            <w:r>
              <w:rPr>
                <w:sz w:val="21"/>
                <w:szCs w:val="21"/>
                <w:highlight w:val="none"/>
              </w:rPr>
              <w:t>1.57</w:t>
            </w:r>
          </w:p>
        </w:tc>
        <w:tc>
          <w:tcPr>
            <w:tcW w:w="785" w:type="dxa"/>
            <w:vAlign w:val="center"/>
          </w:tcPr>
          <w:p>
            <w:pPr>
              <w:spacing w:line="240" w:lineRule="auto"/>
              <w:ind w:firstLine="0" w:firstLineChars="0"/>
              <w:jc w:val="center"/>
              <w:rPr>
                <w:sz w:val="21"/>
                <w:szCs w:val="21"/>
                <w:highlight w:val="none"/>
              </w:rPr>
            </w:pPr>
            <w:r>
              <w:rPr>
                <w:sz w:val="21"/>
                <w:szCs w:val="21"/>
                <w:highlight w:val="none"/>
              </w:rPr>
              <w:t>1.96</w:t>
            </w:r>
          </w:p>
        </w:tc>
        <w:tc>
          <w:tcPr>
            <w:tcW w:w="785" w:type="dxa"/>
            <w:vAlign w:val="center"/>
          </w:tcPr>
          <w:p>
            <w:pPr>
              <w:spacing w:line="240" w:lineRule="auto"/>
              <w:ind w:firstLine="0" w:firstLineChars="0"/>
              <w:jc w:val="center"/>
              <w:rPr>
                <w:sz w:val="21"/>
                <w:szCs w:val="21"/>
                <w:highlight w:val="none"/>
              </w:rPr>
            </w:pPr>
            <w:r>
              <w:rPr>
                <w:sz w:val="21"/>
                <w:szCs w:val="21"/>
                <w:highlight w:val="none"/>
              </w:rPr>
              <w:t>1.21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11月</w:t>
            </w:r>
          </w:p>
        </w:tc>
        <w:tc>
          <w:tcPr>
            <w:tcW w:w="783" w:type="dxa"/>
            <w:vAlign w:val="center"/>
          </w:tcPr>
          <w:p>
            <w:pPr>
              <w:spacing w:line="240" w:lineRule="auto"/>
              <w:ind w:firstLine="0" w:firstLineChars="0"/>
              <w:jc w:val="center"/>
              <w:rPr>
                <w:sz w:val="21"/>
                <w:szCs w:val="21"/>
                <w:highlight w:val="none"/>
              </w:rPr>
            </w:pPr>
            <w:r>
              <w:rPr>
                <w:sz w:val="21"/>
                <w:szCs w:val="21"/>
                <w:highlight w:val="none"/>
              </w:rPr>
              <w:t>1.2</w:t>
            </w:r>
          </w:p>
        </w:tc>
        <w:tc>
          <w:tcPr>
            <w:tcW w:w="826" w:type="dxa"/>
            <w:vAlign w:val="center"/>
          </w:tcPr>
          <w:p>
            <w:pPr>
              <w:spacing w:line="240" w:lineRule="auto"/>
              <w:ind w:firstLine="0" w:firstLineChars="0"/>
              <w:jc w:val="center"/>
              <w:rPr>
                <w:sz w:val="21"/>
                <w:szCs w:val="21"/>
                <w:highlight w:val="none"/>
              </w:rPr>
            </w:pPr>
            <w:r>
              <w:rPr>
                <w:sz w:val="21"/>
                <w:szCs w:val="21"/>
                <w:highlight w:val="none"/>
              </w:rPr>
              <w:t>1.19</w:t>
            </w:r>
          </w:p>
        </w:tc>
        <w:tc>
          <w:tcPr>
            <w:tcW w:w="783" w:type="dxa"/>
            <w:vAlign w:val="center"/>
          </w:tcPr>
          <w:p>
            <w:pPr>
              <w:spacing w:line="240" w:lineRule="auto"/>
              <w:ind w:firstLine="0" w:firstLineChars="0"/>
              <w:jc w:val="center"/>
              <w:rPr>
                <w:sz w:val="21"/>
                <w:szCs w:val="21"/>
                <w:highlight w:val="none"/>
              </w:rPr>
            </w:pPr>
            <w:r>
              <w:rPr>
                <w:sz w:val="21"/>
                <w:szCs w:val="21"/>
                <w:highlight w:val="none"/>
              </w:rPr>
              <w:t>1.27</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1.12</w:t>
            </w:r>
          </w:p>
        </w:tc>
        <w:tc>
          <w:tcPr>
            <w:tcW w:w="785" w:type="dxa"/>
            <w:vAlign w:val="center"/>
          </w:tcPr>
          <w:p>
            <w:pPr>
              <w:spacing w:line="240" w:lineRule="auto"/>
              <w:ind w:firstLine="0" w:firstLineChars="0"/>
              <w:jc w:val="center"/>
              <w:rPr>
                <w:sz w:val="21"/>
                <w:szCs w:val="21"/>
                <w:highlight w:val="none"/>
              </w:rPr>
            </w:pPr>
            <w:r>
              <w:rPr>
                <w:sz w:val="21"/>
                <w:szCs w:val="21"/>
                <w:highlight w:val="none"/>
              </w:rPr>
              <w:t>1.4</w:t>
            </w:r>
          </w:p>
        </w:tc>
        <w:tc>
          <w:tcPr>
            <w:tcW w:w="785" w:type="dxa"/>
            <w:vAlign w:val="center"/>
          </w:tcPr>
          <w:p>
            <w:pPr>
              <w:spacing w:line="240" w:lineRule="auto"/>
              <w:ind w:firstLine="0" w:firstLineChars="0"/>
              <w:jc w:val="center"/>
              <w:rPr>
                <w:sz w:val="21"/>
                <w:szCs w:val="21"/>
                <w:highlight w:val="none"/>
              </w:rPr>
            </w:pPr>
            <w:r>
              <w:rPr>
                <w:sz w:val="21"/>
                <w:szCs w:val="21"/>
                <w:highlight w:val="none"/>
              </w:rPr>
              <w:t>1.84</w:t>
            </w:r>
          </w:p>
        </w:tc>
        <w:tc>
          <w:tcPr>
            <w:tcW w:w="785" w:type="dxa"/>
            <w:vAlign w:val="center"/>
          </w:tcPr>
          <w:p>
            <w:pPr>
              <w:spacing w:line="240" w:lineRule="auto"/>
              <w:ind w:firstLine="0" w:firstLineChars="0"/>
              <w:jc w:val="center"/>
              <w:rPr>
                <w:sz w:val="21"/>
                <w:szCs w:val="21"/>
                <w:highlight w:val="none"/>
              </w:rPr>
            </w:pPr>
            <w:r>
              <w:rPr>
                <w:sz w:val="21"/>
                <w:szCs w:val="21"/>
                <w:highlight w:val="none"/>
              </w:rPr>
              <w:t>1.63</w:t>
            </w:r>
          </w:p>
        </w:tc>
        <w:tc>
          <w:tcPr>
            <w:tcW w:w="785" w:type="dxa"/>
            <w:vAlign w:val="center"/>
          </w:tcPr>
          <w:p>
            <w:pPr>
              <w:spacing w:line="240" w:lineRule="auto"/>
              <w:ind w:firstLine="0" w:firstLineChars="0"/>
              <w:jc w:val="center"/>
              <w:rPr>
                <w:sz w:val="21"/>
                <w:szCs w:val="21"/>
                <w:highlight w:val="none"/>
              </w:rPr>
            </w:pPr>
            <w:r>
              <w:rPr>
                <w:sz w:val="21"/>
                <w:szCs w:val="21"/>
                <w:highlight w:val="none"/>
              </w:rPr>
              <w:t>2.03</w:t>
            </w:r>
          </w:p>
        </w:tc>
        <w:tc>
          <w:tcPr>
            <w:tcW w:w="794" w:type="dxa"/>
            <w:vAlign w:val="center"/>
          </w:tcPr>
          <w:p>
            <w:pPr>
              <w:spacing w:line="240" w:lineRule="auto"/>
              <w:ind w:firstLine="0" w:firstLineChars="0"/>
              <w:jc w:val="center"/>
              <w:rPr>
                <w:sz w:val="21"/>
                <w:szCs w:val="21"/>
                <w:highlight w:val="none"/>
              </w:rPr>
            </w:pPr>
            <w:r>
              <w:rPr>
                <w:sz w:val="21"/>
                <w:szCs w:val="21"/>
                <w:highlight w:val="none"/>
              </w:rPr>
              <w:t>2.05</w:t>
            </w:r>
          </w:p>
        </w:tc>
        <w:tc>
          <w:tcPr>
            <w:tcW w:w="785" w:type="dxa"/>
            <w:vAlign w:val="center"/>
          </w:tcPr>
          <w:p>
            <w:pPr>
              <w:spacing w:line="240" w:lineRule="auto"/>
              <w:ind w:firstLine="0" w:firstLineChars="0"/>
              <w:jc w:val="center"/>
              <w:rPr>
                <w:sz w:val="21"/>
                <w:szCs w:val="21"/>
                <w:highlight w:val="none"/>
              </w:rPr>
            </w:pPr>
            <w:r>
              <w:rPr>
                <w:sz w:val="21"/>
                <w:szCs w:val="21"/>
                <w:highlight w:val="none"/>
              </w:rPr>
              <w:t>2.53</w:t>
            </w:r>
          </w:p>
        </w:tc>
        <w:tc>
          <w:tcPr>
            <w:tcW w:w="785" w:type="dxa"/>
            <w:vAlign w:val="center"/>
          </w:tcPr>
          <w:p>
            <w:pPr>
              <w:spacing w:line="240" w:lineRule="auto"/>
              <w:ind w:firstLine="0" w:firstLineChars="0"/>
              <w:jc w:val="center"/>
              <w:rPr>
                <w:sz w:val="21"/>
                <w:szCs w:val="21"/>
                <w:highlight w:val="none"/>
              </w:rPr>
            </w:pPr>
            <w:r>
              <w:rPr>
                <w:sz w:val="21"/>
                <w:szCs w:val="21"/>
                <w:highlight w:val="none"/>
              </w:rPr>
              <w:t>2.41</w:t>
            </w:r>
          </w:p>
        </w:tc>
        <w:tc>
          <w:tcPr>
            <w:tcW w:w="785" w:type="dxa"/>
            <w:vAlign w:val="center"/>
          </w:tcPr>
          <w:p>
            <w:pPr>
              <w:spacing w:line="240" w:lineRule="auto"/>
              <w:ind w:firstLine="0" w:firstLineChars="0"/>
              <w:jc w:val="center"/>
              <w:rPr>
                <w:sz w:val="21"/>
                <w:szCs w:val="21"/>
                <w:highlight w:val="none"/>
              </w:rPr>
            </w:pPr>
            <w:r>
              <w:rPr>
                <w:sz w:val="21"/>
                <w:szCs w:val="21"/>
                <w:highlight w:val="none"/>
              </w:rPr>
              <w:t>1.41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12月</w:t>
            </w:r>
          </w:p>
        </w:tc>
        <w:tc>
          <w:tcPr>
            <w:tcW w:w="783" w:type="dxa"/>
            <w:vAlign w:val="center"/>
          </w:tcPr>
          <w:p>
            <w:pPr>
              <w:spacing w:line="240" w:lineRule="auto"/>
              <w:ind w:firstLine="0" w:firstLineChars="0"/>
              <w:jc w:val="center"/>
              <w:rPr>
                <w:sz w:val="21"/>
                <w:szCs w:val="21"/>
                <w:highlight w:val="none"/>
              </w:rPr>
            </w:pPr>
            <w:r>
              <w:rPr>
                <w:sz w:val="21"/>
                <w:szCs w:val="21"/>
                <w:highlight w:val="none"/>
              </w:rPr>
              <w:t>2.26</w:t>
            </w:r>
          </w:p>
        </w:tc>
        <w:tc>
          <w:tcPr>
            <w:tcW w:w="826" w:type="dxa"/>
            <w:vAlign w:val="center"/>
          </w:tcPr>
          <w:p>
            <w:pPr>
              <w:spacing w:line="240" w:lineRule="auto"/>
              <w:ind w:firstLine="0" w:firstLineChars="0"/>
              <w:jc w:val="center"/>
              <w:rPr>
                <w:sz w:val="21"/>
                <w:szCs w:val="21"/>
                <w:highlight w:val="none"/>
              </w:rPr>
            </w:pPr>
            <w:r>
              <w:rPr>
                <w:sz w:val="21"/>
                <w:szCs w:val="21"/>
                <w:highlight w:val="none"/>
              </w:rPr>
              <w:t>1.37</w:t>
            </w:r>
          </w:p>
        </w:tc>
        <w:tc>
          <w:tcPr>
            <w:tcW w:w="783" w:type="dxa"/>
            <w:vAlign w:val="center"/>
          </w:tcPr>
          <w:p>
            <w:pPr>
              <w:spacing w:line="240" w:lineRule="auto"/>
              <w:ind w:firstLine="0" w:firstLineChars="0"/>
              <w:jc w:val="center"/>
              <w:rPr>
                <w:sz w:val="21"/>
                <w:szCs w:val="21"/>
                <w:highlight w:val="none"/>
              </w:rPr>
            </w:pPr>
            <w:r>
              <w:rPr>
                <w:sz w:val="21"/>
                <w:szCs w:val="21"/>
                <w:highlight w:val="none"/>
              </w:rPr>
              <w:t>1.14</w:t>
            </w:r>
          </w:p>
        </w:tc>
        <w:tc>
          <w:tcPr>
            <w:tcW w:w="785" w:type="dxa"/>
            <w:vAlign w:val="center"/>
          </w:tcPr>
          <w:p>
            <w:pPr>
              <w:spacing w:line="240" w:lineRule="auto"/>
              <w:ind w:firstLine="0" w:firstLineChars="0"/>
              <w:jc w:val="center"/>
              <w:rPr>
                <w:sz w:val="21"/>
                <w:szCs w:val="21"/>
                <w:highlight w:val="none"/>
              </w:rPr>
            </w:pPr>
            <w:r>
              <w:rPr>
                <w:sz w:val="21"/>
                <w:szCs w:val="21"/>
                <w:highlight w:val="none"/>
              </w:rPr>
              <w:t>1.19</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1.04</w:t>
            </w:r>
          </w:p>
        </w:tc>
        <w:tc>
          <w:tcPr>
            <w:tcW w:w="785" w:type="dxa"/>
            <w:vAlign w:val="center"/>
          </w:tcPr>
          <w:p>
            <w:pPr>
              <w:spacing w:line="240" w:lineRule="auto"/>
              <w:ind w:firstLine="0" w:firstLineChars="0"/>
              <w:jc w:val="center"/>
              <w:rPr>
                <w:sz w:val="21"/>
                <w:szCs w:val="21"/>
                <w:highlight w:val="none"/>
              </w:rPr>
            </w:pPr>
            <w:r>
              <w:rPr>
                <w:sz w:val="21"/>
                <w:szCs w:val="21"/>
                <w:highlight w:val="none"/>
              </w:rPr>
              <w:t>1.01</w:t>
            </w:r>
          </w:p>
        </w:tc>
        <w:tc>
          <w:tcPr>
            <w:tcW w:w="785" w:type="dxa"/>
            <w:vAlign w:val="center"/>
          </w:tcPr>
          <w:p>
            <w:pPr>
              <w:spacing w:line="240" w:lineRule="auto"/>
              <w:ind w:firstLine="0" w:firstLineChars="0"/>
              <w:jc w:val="center"/>
              <w:rPr>
                <w:sz w:val="21"/>
                <w:szCs w:val="21"/>
                <w:highlight w:val="none"/>
              </w:rPr>
            </w:pPr>
            <w:r>
              <w:rPr>
                <w:sz w:val="21"/>
                <w:szCs w:val="21"/>
                <w:highlight w:val="none"/>
              </w:rPr>
              <w:t>0.99</w:t>
            </w:r>
          </w:p>
        </w:tc>
        <w:tc>
          <w:tcPr>
            <w:tcW w:w="785" w:type="dxa"/>
            <w:vAlign w:val="center"/>
          </w:tcPr>
          <w:p>
            <w:pPr>
              <w:spacing w:line="240" w:lineRule="auto"/>
              <w:ind w:firstLine="0" w:firstLineChars="0"/>
              <w:jc w:val="center"/>
              <w:rPr>
                <w:sz w:val="21"/>
                <w:szCs w:val="21"/>
                <w:highlight w:val="none"/>
              </w:rPr>
            </w:pPr>
            <w:r>
              <w:rPr>
                <w:sz w:val="21"/>
                <w:szCs w:val="21"/>
                <w:highlight w:val="none"/>
              </w:rPr>
              <w:t>0.95</w:t>
            </w:r>
          </w:p>
        </w:tc>
        <w:tc>
          <w:tcPr>
            <w:tcW w:w="785" w:type="dxa"/>
            <w:vAlign w:val="center"/>
          </w:tcPr>
          <w:p>
            <w:pPr>
              <w:spacing w:line="240" w:lineRule="auto"/>
              <w:ind w:firstLine="0" w:firstLineChars="0"/>
              <w:jc w:val="center"/>
              <w:rPr>
                <w:sz w:val="21"/>
                <w:szCs w:val="21"/>
                <w:highlight w:val="none"/>
              </w:rPr>
            </w:pPr>
            <w:r>
              <w:rPr>
                <w:sz w:val="21"/>
                <w:szCs w:val="21"/>
                <w:highlight w:val="none"/>
              </w:rPr>
              <w:t>1.27</w:t>
            </w:r>
          </w:p>
        </w:tc>
        <w:tc>
          <w:tcPr>
            <w:tcW w:w="785" w:type="dxa"/>
            <w:vAlign w:val="center"/>
          </w:tcPr>
          <w:p>
            <w:pPr>
              <w:spacing w:line="240" w:lineRule="auto"/>
              <w:ind w:firstLine="0" w:firstLineChars="0"/>
              <w:jc w:val="center"/>
              <w:rPr>
                <w:sz w:val="21"/>
                <w:szCs w:val="21"/>
                <w:highlight w:val="none"/>
              </w:rPr>
            </w:pPr>
            <w:r>
              <w:rPr>
                <w:sz w:val="21"/>
                <w:szCs w:val="21"/>
                <w:highlight w:val="none"/>
              </w:rPr>
              <w:t>1.86</w:t>
            </w:r>
          </w:p>
        </w:tc>
        <w:tc>
          <w:tcPr>
            <w:tcW w:w="785" w:type="dxa"/>
            <w:vAlign w:val="center"/>
          </w:tcPr>
          <w:p>
            <w:pPr>
              <w:spacing w:line="240" w:lineRule="auto"/>
              <w:ind w:firstLine="0" w:firstLineChars="0"/>
              <w:jc w:val="center"/>
              <w:rPr>
                <w:sz w:val="21"/>
                <w:szCs w:val="21"/>
                <w:highlight w:val="none"/>
              </w:rPr>
            </w:pPr>
            <w:r>
              <w:rPr>
                <w:sz w:val="21"/>
                <w:szCs w:val="21"/>
                <w:highlight w:val="none"/>
              </w:rPr>
              <w:t>1.7</w:t>
            </w:r>
          </w:p>
        </w:tc>
        <w:tc>
          <w:tcPr>
            <w:tcW w:w="785" w:type="dxa"/>
            <w:vAlign w:val="center"/>
          </w:tcPr>
          <w:p>
            <w:pPr>
              <w:spacing w:line="240" w:lineRule="auto"/>
              <w:ind w:firstLine="0" w:firstLineChars="0"/>
              <w:jc w:val="center"/>
              <w:rPr>
                <w:sz w:val="21"/>
                <w:szCs w:val="21"/>
                <w:highlight w:val="none"/>
              </w:rPr>
            </w:pPr>
            <w:r>
              <w:rPr>
                <w:sz w:val="21"/>
                <w:szCs w:val="21"/>
                <w:highlight w:val="none"/>
              </w:rPr>
              <w:t>1.33</w:t>
            </w:r>
          </w:p>
        </w:tc>
        <w:tc>
          <w:tcPr>
            <w:tcW w:w="794" w:type="dxa"/>
            <w:vAlign w:val="center"/>
          </w:tcPr>
          <w:p>
            <w:pPr>
              <w:spacing w:line="240" w:lineRule="auto"/>
              <w:ind w:firstLine="0" w:firstLineChars="0"/>
              <w:jc w:val="center"/>
              <w:rPr>
                <w:sz w:val="21"/>
                <w:szCs w:val="21"/>
                <w:highlight w:val="none"/>
              </w:rPr>
            </w:pPr>
            <w:r>
              <w:rPr>
                <w:sz w:val="21"/>
                <w:szCs w:val="21"/>
                <w:highlight w:val="none"/>
              </w:rPr>
              <w:t>1.86</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3.14</w:t>
            </w:r>
          </w:p>
        </w:tc>
        <w:tc>
          <w:tcPr>
            <w:tcW w:w="785" w:type="dxa"/>
            <w:vAlign w:val="center"/>
          </w:tcPr>
          <w:p>
            <w:pPr>
              <w:spacing w:line="240" w:lineRule="auto"/>
              <w:ind w:firstLine="0" w:firstLineChars="0"/>
              <w:jc w:val="center"/>
              <w:rPr>
                <w:sz w:val="21"/>
                <w:szCs w:val="21"/>
                <w:highlight w:val="none"/>
              </w:rPr>
            </w:pPr>
            <w:r>
              <w:rPr>
                <w:sz w:val="21"/>
                <w:szCs w:val="21"/>
                <w:highlight w:val="none"/>
              </w:rPr>
              <w:t>1.55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全年</w:t>
            </w:r>
          </w:p>
        </w:tc>
        <w:tc>
          <w:tcPr>
            <w:tcW w:w="783" w:type="dxa"/>
            <w:vAlign w:val="center"/>
          </w:tcPr>
          <w:p>
            <w:pPr>
              <w:spacing w:line="240" w:lineRule="auto"/>
              <w:ind w:firstLine="0" w:firstLineChars="0"/>
              <w:jc w:val="center"/>
              <w:rPr>
                <w:sz w:val="21"/>
                <w:szCs w:val="21"/>
                <w:highlight w:val="none"/>
              </w:rPr>
            </w:pPr>
            <w:r>
              <w:rPr>
                <w:sz w:val="21"/>
                <w:szCs w:val="21"/>
                <w:highlight w:val="none"/>
              </w:rPr>
              <w:t>1.49</w:t>
            </w:r>
          </w:p>
        </w:tc>
        <w:tc>
          <w:tcPr>
            <w:tcW w:w="826" w:type="dxa"/>
            <w:vAlign w:val="center"/>
          </w:tcPr>
          <w:p>
            <w:pPr>
              <w:spacing w:line="240" w:lineRule="auto"/>
              <w:ind w:firstLine="0" w:firstLineChars="0"/>
              <w:jc w:val="center"/>
              <w:rPr>
                <w:sz w:val="21"/>
                <w:szCs w:val="21"/>
                <w:highlight w:val="none"/>
              </w:rPr>
            </w:pPr>
            <w:r>
              <w:rPr>
                <w:sz w:val="21"/>
                <w:szCs w:val="21"/>
                <w:highlight w:val="none"/>
              </w:rPr>
              <w:t>1.18</w:t>
            </w:r>
          </w:p>
        </w:tc>
        <w:tc>
          <w:tcPr>
            <w:tcW w:w="783" w:type="dxa"/>
            <w:vAlign w:val="center"/>
          </w:tcPr>
          <w:p>
            <w:pPr>
              <w:spacing w:line="240" w:lineRule="auto"/>
              <w:ind w:firstLine="0" w:firstLineChars="0"/>
              <w:jc w:val="center"/>
              <w:rPr>
                <w:sz w:val="21"/>
                <w:szCs w:val="21"/>
                <w:highlight w:val="none"/>
              </w:rPr>
            </w:pPr>
            <w:r>
              <w:rPr>
                <w:sz w:val="21"/>
                <w:szCs w:val="21"/>
                <w:highlight w:val="none"/>
              </w:rPr>
              <w:t>1.15</w:t>
            </w:r>
          </w:p>
        </w:tc>
        <w:tc>
          <w:tcPr>
            <w:tcW w:w="785" w:type="dxa"/>
            <w:vAlign w:val="center"/>
          </w:tcPr>
          <w:p>
            <w:pPr>
              <w:spacing w:line="240" w:lineRule="auto"/>
              <w:ind w:firstLine="0" w:firstLineChars="0"/>
              <w:jc w:val="center"/>
              <w:rPr>
                <w:sz w:val="21"/>
                <w:szCs w:val="21"/>
                <w:highlight w:val="none"/>
              </w:rPr>
            </w:pPr>
            <w:r>
              <w:rPr>
                <w:sz w:val="21"/>
                <w:szCs w:val="21"/>
                <w:highlight w:val="none"/>
              </w:rPr>
              <w:t>1.55</w:t>
            </w:r>
          </w:p>
        </w:tc>
        <w:tc>
          <w:tcPr>
            <w:tcW w:w="785" w:type="dxa"/>
            <w:vAlign w:val="center"/>
          </w:tcPr>
          <w:p>
            <w:pPr>
              <w:spacing w:line="240" w:lineRule="auto"/>
              <w:ind w:firstLine="0" w:firstLineChars="0"/>
              <w:jc w:val="center"/>
              <w:rPr>
                <w:sz w:val="21"/>
                <w:szCs w:val="21"/>
                <w:highlight w:val="none"/>
              </w:rPr>
            </w:pPr>
            <w:r>
              <w:rPr>
                <w:sz w:val="21"/>
                <w:szCs w:val="21"/>
                <w:highlight w:val="none"/>
              </w:rPr>
              <w:t>1.65</w:t>
            </w:r>
          </w:p>
        </w:tc>
        <w:tc>
          <w:tcPr>
            <w:tcW w:w="785" w:type="dxa"/>
            <w:vAlign w:val="center"/>
          </w:tcPr>
          <w:p>
            <w:pPr>
              <w:spacing w:line="240" w:lineRule="auto"/>
              <w:ind w:firstLine="0" w:firstLineChars="0"/>
              <w:jc w:val="center"/>
              <w:rPr>
                <w:sz w:val="21"/>
                <w:szCs w:val="21"/>
                <w:highlight w:val="none"/>
              </w:rPr>
            </w:pPr>
            <w:r>
              <w:rPr>
                <w:sz w:val="21"/>
                <w:szCs w:val="21"/>
                <w:highlight w:val="none"/>
              </w:rPr>
              <w:t>1.29</w:t>
            </w:r>
          </w:p>
        </w:tc>
        <w:tc>
          <w:tcPr>
            <w:tcW w:w="785" w:type="dxa"/>
            <w:vAlign w:val="center"/>
          </w:tcPr>
          <w:p>
            <w:pPr>
              <w:spacing w:line="240" w:lineRule="auto"/>
              <w:ind w:firstLine="0" w:firstLineChars="0"/>
              <w:jc w:val="center"/>
              <w:rPr>
                <w:sz w:val="21"/>
                <w:szCs w:val="21"/>
                <w:highlight w:val="none"/>
              </w:rPr>
            </w:pPr>
            <w:r>
              <w:rPr>
                <w:sz w:val="21"/>
                <w:szCs w:val="21"/>
                <w:highlight w:val="none"/>
              </w:rPr>
              <w:t>1.33</w:t>
            </w:r>
          </w:p>
        </w:tc>
        <w:tc>
          <w:tcPr>
            <w:tcW w:w="785" w:type="dxa"/>
            <w:vAlign w:val="center"/>
          </w:tcPr>
          <w:p>
            <w:pPr>
              <w:spacing w:line="240" w:lineRule="auto"/>
              <w:ind w:firstLine="0" w:firstLineChars="0"/>
              <w:jc w:val="center"/>
              <w:rPr>
                <w:sz w:val="21"/>
                <w:szCs w:val="21"/>
                <w:highlight w:val="none"/>
              </w:rPr>
            </w:pPr>
            <w:r>
              <w:rPr>
                <w:sz w:val="21"/>
                <w:szCs w:val="21"/>
                <w:highlight w:val="none"/>
              </w:rPr>
              <w:t>1.48</w:t>
            </w:r>
          </w:p>
        </w:tc>
        <w:tc>
          <w:tcPr>
            <w:tcW w:w="785" w:type="dxa"/>
            <w:vAlign w:val="center"/>
          </w:tcPr>
          <w:p>
            <w:pPr>
              <w:spacing w:line="240" w:lineRule="auto"/>
              <w:ind w:firstLine="0" w:firstLineChars="0"/>
              <w:jc w:val="center"/>
              <w:rPr>
                <w:sz w:val="21"/>
                <w:szCs w:val="21"/>
                <w:highlight w:val="none"/>
              </w:rPr>
            </w:pPr>
            <w:r>
              <w:rPr>
                <w:sz w:val="21"/>
                <w:szCs w:val="21"/>
                <w:highlight w:val="none"/>
              </w:rPr>
              <w:t>1.63</w:t>
            </w:r>
          </w:p>
        </w:tc>
        <w:tc>
          <w:tcPr>
            <w:tcW w:w="785" w:type="dxa"/>
            <w:vAlign w:val="center"/>
          </w:tcPr>
          <w:p>
            <w:pPr>
              <w:spacing w:line="240" w:lineRule="auto"/>
              <w:ind w:firstLine="0" w:firstLineChars="0"/>
              <w:jc w:val="center"/>
              <w:rPr>
                <w:sz w:val="21"/>
                <w:szCs w:val="21"/>
                <w:highlight w:val="none"/>
              </w:rPr>
            </w:pPr>
            <w:r>
              <w:rPr>
                <w:sz w:val="21"/>
                <w:szCs w:val="21"/>
                <w:highlight w:val="none"/>
              </w:rPr>
              <w:t>2.02</w:t>
            </w:r>
          </w:p>
        </w:tc>
        <w:tc>
          <w:tcPr>
            <w:tcW w:w="785" w:type="dxa"/>
            <w:vAlign w:val="center"/>
          </w:tcPr>
          <w:p>
            <w:pPr>
              <w:spacing w:line="240" w:lineRule="auto"/>
              <w:ind w:firstLine="0" w:firstLineChars="0"/>
              <w:jc w:val="center"/>
              <w:rPr>
                <w:sz w:val="21"/>
                <w:szCs w:val="21"/>
                <w:highlight w:val="none"/>
              </w:rPr>
            </w:pPr>
            <w:r>
              <w:rPr>
                <w:sz w:val="21"/>
                <w:szCs w:val="21"/>
                <w:highlight w:val="none"/>
              </w:rPr>
              <w:t>2.29</w:t>
            </w:r>
          </w:p>
        </w:tc>
        <w:tc>
          <w:tcPr>
            <w:tcW w:w="785" w:type="dxa"/>
            <w:vAlign w:val="center"/>
          </w:tcPr>
          <w:p>
            <w:pPr>
              <w:spacing w:line="240" w:lineRule="auto"/>
              <w:ind w:firstLine="0" w:firstLineChars="0"/>
              <w:jc w:val="center"/>
              <w:rPr>
                <w:sz w:val="21"/>
                <w:szCs w:val="21"/>
                <w:highlight w:val="none"/>
              </w:rPr>
            </w:pPr>
            <w:r>
              <w:rPr>
                <w:sz w:val="21"/>
                <w:szCs w:val="21"/>
                <w:highlight w:val="none"/>
              </w:rPr>
              <w:t>2.3</w:t>
            </w:r>
          </w:p>
        </w:tc>
        <w:tc>
          <w:tcPr>
            <w:tcW w:w="785" w:type="dxa"/>
            <w:vAlign w:val="center"/>
          </w:tcPr>
          <w:p>
            <w:pPr>
              <w:spacing w:line="240" w:lineRule="auto"/>
              <w:ind w:firstLine="0" w:firstLineChars="0"/>
              <w:jc w:val="center"/>
              <w:rPr>
                <w:sz w:val="21"/>
                <w:szCs w:val="21"/>
                <w:highlight w:val="none"/>
              </w:rPr>
            </w:pPr>
            <w:r>
              <w:rPr>
                <w:sz w:val="21"/>
                <w:szCs w:val="21"/>
                <w:highlight w:val="none"/>
              </w:rPr>
              <w:t>1.92</w:t>
            </w:r>
          </w:p>
        </w:tc>
        <w:tc>
          <w:tcPr>
            <w:tcW w:w="794" w:type="dxa"/>
            <w:vAlign w:val="center"/>
          </w:tcPr>
          <w:p>
            <w:pPr>
              <w:spacing w:line="240" w:lineRule="auto"/>
              <w:ind w:firstLine="0" w:firstLineChars="0"/>
              <w:jc w:val="center"/>
              <w:rPr>
                <w:sz w:val="21"/>
                <w:szCs w:val="21"/>
                <w:highlight w:val="none"/>
              </w:rPr>
            </w:pPr>
            <w:r>
              <w:rPr>
                <w:sz w:val="21"/>
                <w:szCs w:val="21"/>
                <w:highlight w:val="none"/>
              </w:rPr>
              <w:t>1.91</w:t>
            </w:r>
          </w:p>
        </w:tc>
        <w:tc>
          <w:tcPr>
            <w:tcW w:w="785" w:type="dxa"/>
            <w:vAlign w:val="center"/>
          </w:tcPr>
          <w:p>
            <w:pPr>
              <w:spacing w:line="240" w:lineRule="auto"/>
              <w:ind w:firstLine="0" w:firstLineChars="0"/>
              <w:jc w:val="center"/>
              <w:rPr>
                <w:sz w:val="21"/>
                <w:szCs w:val="21"/>
                <w:highlight w:val="none"/>
              </w:rPr>
            </w:pPr>
            <w:r>
              <w:rPr>
                <w:sz w:val="21"/>
                <w:szCs w:val="21"/>
                <w:highlight w:val="none"/>
              </w:rPr>
              <w:t>2.46</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1.62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春季</w:t>
            </w:r>
          </w:p>
        </w:tc>
        <w:tc>
          <w:tcPr>
            <w:tcW w:w="783" w:type="dxa"/>
            <w:vAlign w:val="center"/>
          </w:tcPr>
          <w:p>
            <w:pPr>
              <w:spacing w:line="240" w:lineRule="auto"/>
              <w:ind w:firstLine="0" w:firstLineChars="0"/>
              <w:jc w:val="center"/>
              <w:rPr>
                <w:sz w:val="21"/>
                <w:szCs w:val="21"/>
                <w:highlight w:val="none"/>
              </w:rPr>
            </w:pPr>
            <w:r>
              <w:rPr>
                <w:sz w:val="21"/>
                <w:szCs w:val="21"/>
                <w:highlight w:val="none"/>
              </w:rPr>
              <w:t>1.49</w:t>
            </w:r>
          </w:p>
        </w:tc>
        <w:tc>
          <w:tcPr>
            <w:tcW w:w="826" w:type="dxa"/>
            <w:vAlign w:val="center"/>
          </w:tcPr>
          <w:p>
            <w:pPr>
              <w:spacing w:line="240" w:lineRule="auto"/>
              <w:ind w:firstLine="0" w:firstLineChars="0"/>
              <w:jc w:val="center"/>
              <w:rPr>
                <w:sz w:val="21"/>
                <w:szCs w:val="21"/>
                <w:highlight w:val="none"/>
              </w:rPr>
            </w:pPr>
            <w:r>
              <w:rPr>
                <w:sz w:val="21"/>
                <w:szCs w:val="21"/>
                <w:highlight w:val="none"/>
              </w:rPr>
              <w:t>1.41</w:t>
            </w:r>
          </w:p>
        </w:tc>
        <w:tc>
          <w:tcPr>
            <w:tcW w:w="783" w:type="dxa"/>
            <w:vAlign w:val="center"/>
          </w:tcPr>
          <w:p>
            <w:pPr>
              <w:spacing w:line="240" w:lineRule="auto"/>
              <w:ind w:firstLine="0" w:firstLineChars="0"/>
              <w:jc w:val="center"/>
              <w:rPr>
                <w:sz w:val="21"/>
                <w:szCs w:val="21"/>
                <w:highlight w:val="none"/>
              </w:rPr>
            </w:pPr>
            <w:r>
              <w:rPr>
                <w:sz w:val="21"/>
                <w:szCs w:val="21"/>
                <w:highlight w:val="none"/>
              </w:rPr>
              <w:t>1.26</w:t>
            </w:r>
          </w:p>
        </w:tc>
        <w:tc>
          <w:tcPr>
            <w:tcW w:w="785" w:type="dxa"/>
            <w:vAlign w:val="center"/>
          </w:tcPr>
          <w:p>
            <w:pPr>
              <w:spacing w:line="240" w:lineRule="auto"/>
              <w:ind w:firstLine="0" w:firstLineChars="0"/>
              <w:jc w:val="center"/>
              <w:rPr>
                <w:sz w:val="21"/>
                <w:szCs w:val="21"/>
                <w:highlight w:val="none"/>
              </w:rPr>
            </w:pPr>
            <w:r>
              <w:rPr>
                <w:sz w:val="21"/>
                <w:szCs w:val="21"/>
                <w:highlight w:val="none"/>
              </w:rPr>
              <w:t>1.95</w:t>
            </w:r>
          </w:p>
        </w:tc>
        <w:tc>
          <w:tcPr>
            <w:tcW w:w="785" w:type="dxa"/>
            <w:vAlign w:val="center"/>
          </w:tcPr>
          <w:p>
            <w:pPr>
              <w:spacing w:line="240" w:lineRule="auto"/>
              <w:ind w:firstLine="0" w:firstLineChars="0"/>
              <w:jc w:val="center"/>
              <w:rPr>
                <w:sz w:val="21"/>
                <w:szCs w:val="21"/>
                <w:highlight w:val="none"/>
              </w:rPr>
            </w:pPr>
            <w:r>
              <w:rPr>
                <w:sz w:val="21"/>
                <w:szCs w:val="21"/>
                <w:highlight w:val="none"/>
              </w:rPr>
              <w:t>2.03</w:t>
            </w:r>
          </w:p>
        </w:tc>
        <w:tc>
          <w:tcPr>
            <w:tcW w:w="785" w:type="dxa"/>
            <w:vAlign w:val="center"/>
          </w:tcPr>
          <w:p>
            <w:pPr>
              <w:spacing w:line="240" w:lineRule="auto"/>
              <w:ind w:firstLine="0" w:firstLineChars="0"/>
              <w:jc w:val="center"/>
              <w:rPr>
                <w:sz w:val="21"/>
                <w:szCs w:val="21"/>
                <w:highlight w:val="none"/>
              </w:rPr>
            </w:pPr>
            <w:r>
              <w:rPr>
                <w:sz w:val="21"/>
                <w:szCs w:val="21"/>
                <w:highlight w:val="none"/>
              </w:rPr>
              <w:t>1.31</w:t>
            </w:r>
          </w:p>
        </w:tc>
        <w:tc>
          <w:tcPr>
            <w:tcW w:w="785" w:type="dxa"/>
            <w:vAlign w:val="center"/>
          </w:tcPr>
          <w:p>
            <w:pPr>
              <w:spacing w:line="240" w:lineRule="auto"/>
              <w:ind w:firstLine="0" w:firstLineChars="0"/>
              <w:jc w:val="center"/>
              <w:rPr>
                <w:sz w:val="21"/>
                <w:szCs w:val="21"/>
                <w:highlight w:val="none"/>
              </w:rPr>
            </w:pPr>
            <w:r>
              <w:rPr>
                <w:sz w:val="21"/>
                <w:szCs w:val="21"/>
                <w:highlight w:val="none"/>
              </w:rPr>
              <w:t>1.46</w:t>
            </w:r>
          </w:p>
        </w:tc>
        <w:tc>
          <w:tcPr>
            <w:tcW w:w="785" w:type="dxa"/>
            <w:vAlign w:val="center"/>
          </w:tcPr>
          <w:p>
            <w:pPr>
              <w:spacing w:line="240" w:lineRule="auto"/>
              <w:ind w:firstLine="0" w:firstLineChars="0"/>
              <w:jc w:val="center"/>
              <w:rPr>
                <w:sz w:val="21"/>
                <w:szCs w:val="21"/>
                <w:highlight w:val="none"/>
              </w:rPr>
            </w:pPr>
            <w:r>
              <w:rPr>
                <w:sz w:val="21"/>
                <w:szCs w:val="21"/>
                <w:highlight w:val="none"/>
              </w:rPr>
              <w:t>1.86</w:t>
            </w:r>
          </w:p>
        </w:tc>
        <w:tc>
          <w:tcPr>
            <w:tcW w:w="785" w:type="dxa"/>
            <w:vAlign w:val="center"/>
          </w:tcPr>
          <w:p>
            <w:pPr>
              <w:spacing w:line="240" w:lineRule="auto"/>
              <w:ind w:firstLine="0" w:firstLineChars="0"/>
              <w:jc w:val="center"/>
              <w:rPr>
                <w:sz w:val="21"/>
                <w:szCs w:val="21"/>
                <w:highlight w:val="none"/>
              </w:rPr>
            </w:pPr>
            <w:r>
              <w:rPr>
                <w:sz w:val="21"/>
                <w:szCs w:val="21"/>
                <w:highlight w:val="none"/>
              </w:rPr>
              <w:t>1.97</w:t>
            </w:r>
          </w:p>
        </w:tc>
        <w:tc>
          <w:tcPr>
            <w:tcW w:w="785" w:type="dxa"/>
            <w:vAlign w:val="center"/>
          </w:tcPr>
          <w:p>
            <w:pPr>
              <w:spacing w:line="240" w:lineRule="auto"/>
              <w:ind w:firstLine="0" w:firstLineChars="0"/>
              <w:jc w:val="center"/>
              <w:rPr>
                <w:sz w:val="21"/>
                <w:szCs w:val="21"/>
                <w:highlight w:val="none"/>
              </w:rPr>
            </w:pPr>
            <w:r>
              <w:rPr>
                <w:sz w:val="21"/>
                <w:szCs w:val="21"/>
                <w:highlight w:val="none"/>
              </w:rPr>
              <w:t>2.25</w:t>
            </w:r>
          </w:p>
        </w:tc>
        <w:tc>
          <w:tcPr>
            <w:tcW w:w="785" w:type="dxa"/>
            <w:vAlign w:val="center"/>
          </w:tcPr>
          <w:p>
            <w:pPr>
              <w:spacing w:line="240" w:lineRule="auto"/>
              <w:ind w:firstLine="0" w:firstLineChars="0"/>
              <w:jc w:val="center"/>
              <w:rPr>
                <w:sz w:val="21"/>
                <w:szCs w:val="21"/>
                <w:highlight w:val="none"/>
              </w:rPr>
            </w:pPr>
            <w:r>
              <w:rPr>
                <w:sz w:val="21"/>
                <w:szCs w:val="21"/>
                <w:highlight w:val="none"/>
              </w:rPr>
              <w:t>2.6</w:t>
            </w:r>
          </w:p>
        </w:tc>
        <w:tc>
          <w:tcPr>
            <w:tcW w:w="785" w:type="dxa"/>
            <w:vAlign w:val="center"/>
          </w:tcPr>
          <w:p>
            <w:pPr>
              <w:spacing w:line="240" w:lineRule="auto"/>
              <w:ind w:firstLine="0" w:firstLineChars="0"/>
              <w:jc w:val="center"/>
              <w:rPr>
                <w:sz w:val="21"/>
                <w:szCs w:val="21"/>
                <w:highlight w:val="none"/>
              </w:rPr>
            </w:pPr>
            <w:r>
              <w:rPr>
                <w:sz w:val="21"/>
                <w:szCs w:val="21"/>
                <w:highlight w:val="none"/>
              </w:rPr>
              <w:t>2.74</w:t>
            </w:r>
          </w:p>
        </w:tc>
        <w:tc>
          <w:tcPr>
            <w:tcW w:w="785" w:type="dxa"/>
            <w:vAlign w:val="center"/>
          </w:tcPr>
          <w:p>
            <w:pPr>
              <w:spacing w:line="240" w:lineRule="auto"/>
              <w:ind w:firstLine="0" w:firstLineChars="0"/>
              <w:jc w:val="center"/>
              <w:rPr>
                <w:sz w:val="21"/>
                <w:szCs w:val="21"/>
                <w:highlight w:val="none"/>
              </w:rPr>
            </w:pPr>
            <w:r>
              <w:rPr>
                <w:sz w:val="21"/>
                <w:szCs w:val="21"/>
                <w:highlight w:val="none"/>
              </w:rPr>
              <w:t>2.46</w:t>
            </w:r>
          </w:p>
        </w:tc>
        <w:tc>
          <w:tcPr>
            <w:tcW w:w="794" w:type="dxa"/>
            <w:vAlign w:val="center"/>
          </w:tcPr>
          <w:p>
            <w:pPr>
              <w:spacing w:line="240" w:lineRule="auto"/>
              <w:ind w:firstLine="0" w:firstLineChars="0"/>
              <w:jc w:val="center"/>
              <w:rPr>
                <w:sz w:val="21"/>
                <w:szCs w:val="21"/>
                <w:highlight w:val="none"/>
              </w:rPr>
            </w:pPr>
            <w:r>
              <w:rPr>
                <w:sz w:val="21"/>
                <w:szCs w:val="21"/>
                <w:highlight w:val="none"/>
              </w:rPr>
              <w:t>2.39</w:t>
            </w:r>
          </w:p>
        </w:tc>
        <w:tc>
          <w:tcPr>
            <w:tcW w:w="785" w:type="dxa"/>
            <w:vAlign w:val="center"/>
          </w:tcPr>
          <w:p>
            <w:pPr>
              <w:spacing w:line="240" w:lineRule="auto"/>
              <w:ind w:firstLine="0" w:firstLineChars="0"/>
              <w:jc w:val="center"/>
              <w:rPr>
                <w:sz w:val="21"/>
                <w:szCs w:val="21"/>
                <w:highlight w:val="none"/>
              </w:rPr>
            </w:pPr>
            <w:r>
              <w:rPr>
                <w:sz w:val="21"/>
                <w:szCs w:val="21"/>
                <w:highlight w:val="none"/>
              </w:rPr>
              <w:t>2.95</w:t>
            </w:r>
          </w:p>
        </w:tc>
        <w:tc>
          <w:tcPr>
            <w:tcW w:w="785" w:type="dxa"/>
            <w:vAlign w:val="center"/>
          </w:tcPr>
          <w:p>
            <w:pPr>
              <w:spacing w:line="240" w:lineRule="auto"/>
              <w:ind w:firstLine="0" w:firstLineChars="0"/>
              <w:jc w:val="center"/>
              <w:rPr>
                <w:sz w:val="21"/>
                <w:szCs w:val="21"/>
                <w:highlight w:val="none"/>
              </w:rPr>
            </w:pPr>
            <w:r>
              <w:rPr>
                <w:sz w:val="21"/>
                <w:szCs w:val="21"/>
                <w:highlight w:val="none"/>
              </w:rPr>
              <w:t>2.66</w:t>
            </w:r>
          </w:p>
        </w:tc>
        <w:tc>
          <w:tcPr>
            <w:tcW w:w="785" w:type="dxa"/>
            <w:vAlign w:val="center"/>
          </w:tcPr>
          <w:p>
            <w:pPr>
              <w:spacing w:line="240" w:lineRule="auto"/>
              <w:ind w:firstLine="0" w:firstLineChars="0"/>
              <w:jc w:val="center"/>
              <w:rPr>
                <w:sz w:val="21"/>
                <w:szCs w:val="21"/>
                <w:highlight w:val="none"/>
              </w:rPr>
            </w:pPr>
            <w:r>
              <w:rPr>
                <w:sz w:val="21"/>
                <w:szCs w:val="21"/>
                <w:highlight w:val="none"/>
              </w:rPr>
              <w:t>1.99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夏季</w:t>
            </w:r>
          </w:p>
        </w:tc>
        <w:tc>
          <w:tcPr>
            <w:tcW w:w="783" w:type="dxa"/>
            <w:vAlign w:val="center"/>
          </w:tcPr>
          <w:p>
            <w:pPr>
              <w:spacing w:line="240" w:lineRule="auto"/>
              <w:ind w:firstLine="0" w:firstLineChars="0"/>
              <w:jc w:val="center"/>
              <w:rPr>
                <w:sz w:val="21"/>
                <w:szCs w:val="21"/>
                <w:highlight w:val="none"/>
              </w:rPr>
            </w:pPr>
            <w:r>
              <w:rPr>
                <w:sz w:val="21"/>
                <w:szCs w:val="21"/>
                <w:highlight w:val="none"/>
              </w:rPr>
              <w:t>1.05</w:t>
            </w:r>
          </w:p>
        </w:tc>
        <w:tc>
          <w:tcPr>
            <w:tcW w:w="826" w:type="dxa"/>
            <w:vAlign w:val="center"/>
          </w:tcPr>
          <w:p>
            <w:pPr>
              <w:spacing w:line="240" w:lineRule="auto"/>
              <w:ind w:firstLine="0" w:firstLineChars="0"/>
              <w:jc w:val="center"/>
              <w:rPr>
                <w:sz w:val="21"/>
                <w:szCs w:val="21"/>
                <w:highlight w:val="none"/>
              </w:rPr>
            </w:pPr>
            <w:r>
              <w:rPr>
                <w:sz w:val="21"/>
                <w:szCs w:val="21"/>
                <w:highlight w:val="none"/>
              </w:rPr>
              <w:t>1.01</w:t>
            </w:r>
          </w:p>
        </w:tc>
        <w:tc>
          <w:tcPr>
            <w:tcW w:w="783"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1.73</w:t>
            </w:r>
          </w:p>
        </w:tc>
        <w:tc>
          <w:tcPr>
            <w:tcW w:w="785" w:type="dxa"/>
            <w:vAlign w:val="center"/>
          </w:tcPr>
          <w:p>
            <w:pPr>
              <w:spacing w:line="240" w:lineRule="auto"/>
              <w:ind w:firstLine="0" w:firstLineChars="0"/>
              <w:jc w:val="center"/>
              <w:rPr>
                <w:sz w:val="21"/>
                <w:szCs w:val="21"/>
                <w:highlight w:val="none"/>
              </w:rPr>
            </w:pPr>
            <w:r>
              <w:rPr>
                <w:sz w:val="21"/>
                <w:szCs w:val="21"/>
                <w:highlight w:val="none"/>
              </w:rPr>
              <w:t>1.83</w:t>
            </w:r>
          </w:p>
        </w:tc>
        <w:tc>
          <w:tcPr>
            <w:tcW w:w="785" w:type="dxa"/>
            <w:vAlign w:val="center"/>
          </w:tcPr>
          <w:p>
            <w:pPr>
              <w:spacing w:line="240" w:lineRule="auto"/>
              <w:ind w:firstLine="0" w:firstLineChars="0"/>
              <w:jc w:val="center"/>
              <w:rPr>
                <w:sz w:val="21"/>
                <w:szCs w:val="21"/>
                <w:highlight w:val="none"/>
              </w:rPr>
            </w:pPr>
            <w:r>
              <w:rPr>
                <w:sz w:val="21"/>
                <w:szCs w:val="21"/>
                <w:highlight w:val="none"/>
              </w:rPr>
              <w:t>1.6</w:t>
            </w:r>
          </w:p>
        </w:tc>
        <w:tc>
          <w:tcPr>
            <w:tcW w:w="785" w:type="dxa"/>
            <w:vAlign w:val="center"/>
          </w:tcPr>
          <w:p>
            <w:pPr>
              <w:spacing w:line="240" w:lineRule="auto"/>
              <w:ind w:firstLine="0" w:firstLineChars="0"/>
              <w:jc w:val="center"/>
              <w:rPr>
                <w:sz w:val="21"/>
                <w:szCs w:val="21"/>
                <w:highlight w:val="none"/>
              </w:rPr>
            </w:pPr>
            <w:r>
              <w:rPr>
                <w:sz w:val="21"/>
                <w:szCs w:val="21"/>
                <w:highlight w:val="none"/>
              </w:rPr>
              <w:t>1.51</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1.89</w:t>
            </w:r>
          </w:p>
        </w:tc>
        <w:tc>
          <w:tcPr>
            <w:tcW w:w="785" w:type="dxa"/>
            <w:vAlign w:val="center"/>
          </w:tcPr>
          <w:p>
            <w:pPr>
              <w:spacing w:line="240" w:lineRule="auto"/>
              <w:ind w:firstLine="0" w:firstLineChars="0"/>
              <w:jc w:val="center"/>
              <w:rPr>
                <w:sz w:val="21"/>
                <w:szCs w:val="21"/>
                <w:highlight w:val="none"/>
              </w:rPr>
            </w:pPr>
            <w:r>
              <w:rPr>
                <w:sz w:val="21"/>
                <w:szCs w:val="21"/>
                <w:highlight w:val="none"/>
              </w:rPr>
              <w:t>2.29</w:t>
            </w:r>
          </w:p>
        </w:tc>
        <w:tc>
          <w:tcPr>
            <w:tcW w:w="785" w:type="dxa"/>
            <w:vAlign w:val="center"/>
          </w:tcPr>
          <w:p>
            <w:pPr>
              <w:spacing w:line="240" w:lineRule="auto"/>
              <w:ind w:firstLine="0" w:firstLineChars="0"/>
              <w:jc w:val="center"/>
              <w:rPr>
                <w:sz w:val="21"/>
                <w:szCs w:val="21"/>
                <w:highlight w:val="none"/>
              </w:rPr>
            </w:pPr>
            <w:r>
              <w:rPr>
                <w:sz w:val="21"/>
                <w:szCs w:val="21"/>
                <w:highlight w:val="none"/>
              </w:rPr>
              <w:t>2.36</w:t>
            </w:r>
          </w:p>
        </w:tc>
        <w:tc>
          <w:tcPr>
            <w:tcW w:w="785" w:type="dxa"/>
            <w:vAlign w:val="center"/>
          </w:tcPr>
          <w:p>
            <w:pPr>
              <w:spacing w:line="240" w:lineRule="auto"/>
              <w:ind w:firstLine="0" w:firstLineChars="0"/>
              <w:jc w:val="center"/>
              <w:rPr>
                <w:sz w:val="21"/>
                <w:szCs w:val="21"/>
                <w:highlight w:val="none"/>
              </w:rPr>
            </w:pPr>
            <w:r>
              <w:rPr>
                <w:sz w:val="21"/>
                <w:szCs w:val="21"/>
                <w:highlight w:val="none"/>
              </w:rPr>
              <w:t>2.34</w:t>
            </w:r>
          </w:p>
        </w:tc>
        <w:tc>
          <w:tcPr>
            <w:tcW w:w="785" w:type="dxa"/>
            <w:vAlign w:val="center"/>
          </w:tcPr>
          <w:p>
            <w:pPr>
              <w:spacing w:line="240" w:lineRule="auto"/>
              <w:ind w:firstLine="0" w:firstLineChars="0"/>
              <w:jc w:val="center"/>
              <w:rPr>
                <w:sz w:val="21"/>
                <w:szCs w:val="21"/>
                <w:highlight w:val="none"/>
              </w:rPr>
            </w:pPr>
            <w:r>
              <w:rPr>
                <w:sz w:val="21"/>
                <w:szCs w:val="21"/>
                <w:highlight w:val="none"/>
              </w:rPr>
              <w:t>1.79</w:t>
            </w:r>
          </w:p>
        </w:tc>
        <w:tc>
          <w:tcPr>
            <w:tcW w:w="794" w:type="dxa"/>
            <w:vAlign w:val="center"/>
          </w:tcPr>
          <w:p>
            <w:pPr>
              <w:spacing w:line="240" w:lineRule="auto"/>
              <w:ind w:firstLine="0" w:firstLineChars="0"/>
              <w:jc w:val="center"/>
              <w:rPr>
                <w:sz w:val="21"/>
                <w:szCs w:val="21"/>
                <w:highlight w:val="none"/>
              </w:rPr>
            </w:pPr>
            <w:r>
              <w:rPr>
                <w:sz w:val="21"/>
                <w:szCs w:val="21"/>
                <w:highlight w:val="none"/>
              </w:rPr>
              <w:t>1.76</w:t>
            </w:r>
          </w:p>
        </w:tc>
        <w:tc>
          <w:tcPr>
            <w:tcW w:w="785" w:type="dxa"/>
            <w:vAlign w:val="center"/>
          </w:tcPr>
          <w:p>
            <w:pPr>
              <w:spacing w:line="240" w:lineRule="auto"/>
              <w:ind w:firstLine="0" w:firstLineChars="0"/>
              <w:jc w:val="center"/>
              <w:rPr>
                <w:sz w:val="21"/>
                <w:szCs w:val="21"/>
                <w:highlight w:val="none"/>
              </w:rPr>
            </w:pPr>
            <w:r>
              <w:rPr>
                <w:sz w:val="21"/>
                <w:szCs w:val="21"/>
                <w:highlight w:val="none"/>
              </w:rPr>
              <w:t>1.36</w:t>
            </w:r>
          </w:p>
        </w:tc>
        <w:tc>
          <w:tcPr>
            <w:tcW w:w="785" w:type="dxa"/>
            <w:vAlign w:val="center"/>
          </w:tcPr>
          <w:p>
            <w:pPr>
              <w:spacing w:line="240" w:lineRule="auto"/>
              <w:ind w:firstLine="0" w:firstLineChars="0"/>
              <w:jc w:val="center"/>
              <w:rPr>
                <w:sz w:val="21"/>
                <w:szCs w:val="21"/>
                <w:highlight w:val="none"/>
              </w:rPr>
            </w:pPr>
            <w:r>
              <w:rPr>
                <w:sz w:val="21"/>
                <w:szCs w:val="21"/>
                <w:highlight w:val="none"/>
              </w:rPr>
              <w:t>1.15</w:t>
            </w:r>
          </w:p>
        </w:tc>
        <w:tc>
          <w:tcPr>
            <w:tcW w:w="785" w:type="dxa"/>
            <w:vAlign w:val="center"/>
          </w:tcPr>
          <w:p>
            <w:pPr>
              <w:spacing w:line="240" w:lineRule="auto"/>
              <w:ind w:firstLine="0" w:firstLineChars="0"/>
              <w:jc w:val="center"/>
              <w:rPr>
                <w:sz w:val="21"/>
                <w:szCs w:val="21"/>
                <w:highlight w:val="none"/>
              </w:rPr>
            </w:pPr>
            <w:r>
              <w:rPr>
                <w:sz w:val="21"/>
                <w:szCs w:val="21"/>
                <w:highlight w:val="none"/>
              </w:rPr>
              <w:t>1.61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秋季</w:t>
            </w:r>
          </w:p>
        </w:tc>
        <w:tc>
          <w:tcPr>
            <w:tcW w:w="783" w:type="dxa"/>
            <w:vAlign w:val="center"/>
          </w:tcPr>
          <w:p>
            <w:pPr>
              <w:spacing w:line="240" w:lineRule="auto"/>
              <w:ind w:firstLine="0" w:firstLineChars="0"/>
              <w:jc w:val="center"/>
              <w:rPr>
                <w:sz w:val="21"/>
                <w:szCs w:val="21"/>
                <w:highlight w:val="none"/>
              </w:rPr>
            </w:pPr>
            <w:r>
              <w:rPr>
                <w:sz w:val="21"/>
                <w:szCs w:val="21"/>
                <w:highlight w:val="none"/>
              </w:rPr>
              <w:t>1.1</w:t>
            </w:r>
          </w:p>
        </w:tc>
        <w:tc>
          <w:tcPr>
            <w:tcW w:w="826" w:type="dxa"/>
            <w:vAlign w:val="center"/>
          </w:tcPr>
          <w:p>
            <w:pPr>
              <w:spacing w:line="240" w:lineRule="auto"/>
              <w:ind w:firstLine="0" w:firstLineChars="0"/>
              <w:jc w:val="center"/>
              <w:rPr>
                <w:sz w:val="21"/>
                <w:szCs w:val="21"/>
                <w:highlight w:val="none"/>
              </w:rPr>
            </w:pPr>
            <w:r>
              <w:rPr>
                <w:sz w:val="21"/>
                <w:szCs w:val="21"/>
                <w:highlight w:val="none"/>
              </w:rPr>
              <w:t>1.05</w:t>
            </w:r>
          </w:p>
        </w:tc>
        <w:tc>
          <w:tcPr>
            <w:tcW w:w="783" w:type="dxa"/>
            <w:vAlign w:val="center"/>
          </w:tcPr>
          <w:p>
            <w:pPr>
              <w:spacing w:line="240" w:lineRule="auto"/>
              <w:ind w:firstLine="0" w:firstLineChars="0"/>
              <w:jc w:val="center"/>
              <w:rPr>
                <w:sz w:val="21"/>
                <w:szCs w:val="21"/>
                <w:highlight w:val="none"/>
              </w:rPr>
            </w:pPr>
            <w:r>
              <w:rPr>
                <w:sz w:val="21"/>
                <w:szCs w:val="21"/>
                <w:highlight w:val="none"/>
              </w:rPr>
              <w:t>1.05</w:t>
            </w:r>
          </w:p>
        </w:tc>
        <w:tc>
          <w:tcPr>
            <w:tcW w:w="785" w:type="dxa"/>
            <w:vAlign w:val="center"/>
          </w:tcPr>
          <w:p>
            <w:pPr>
              <w:spacing w:line="240" w:lineRule="auto"/>
              <w:ind w:firstLine="0" w:firstLineChars="0"/>
              <w:jc w:val="center"/>
              <w:rPr>
                <w:sz w:val="21"/>
                <w:szCs w:val="21"/>
                <w:highlight w:val="none"/>
              </w:rPr>
            </w:pPr>
            <w:r>
              <w:rPr>
                <w:sz w:val="21"/>
                <w:szCs w:val="21"/>
                <w:highlight w:val="none"/>
              </w:rPr>
              <w:t>1.11</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1.16</w:t>
            </w:r>
          </w:p>
        </w:tc>
        <w:tc>
          <w:tcPr>
            <w:tcW w:w="785" w:type="dxa"/>
            <w:vAlign w:val="center"/>
          </w:tcPr>
          <w:p>
            <w:pPr>
              <w:spacing w:line="240" w:lineRule="auto"/>
              <w:ind w:firstLine="0" w:firstLineChars="0"/>
              <w:jc w:val="center"/>
              <w:rPr>
                <w:sz w:val="21"/>
                <w:szCs w:val="21"/>
                <w:highlight w:val="none"/>
              </w:rPr>
            </w:pPr>
            <w:r>
              <w:rPr>
                <w:sz w:val="21"/>
                <w:szCs w:val="21"/>
                <w:highlight w:val="none"/>
              </w:rPr>
              <w:t>1.19</w:t>
            </w:r>
          </w:p>
        </w:tc>
        <w:tc>
          <w:tcPr>
            <w:tcW w:w="785" w:type="dxa"/>
            <w:vAlign w:val="center"/>
          </w:tcPr>
          <w:p>
            <w:pPr>
              <w:spacing w:line="240" w:lineRule="auto"/>
              <w:ind w:firstLine="0" w:firstLineChars="0"/>
              <w:jc w:val="center"/>
              <w:rPr>
                <w:sz w:val="21"/>
                <w:szCs w:val="21"/>
                <w:highlight w:val="none"/>
              </w:rPr>
            </w:pPr>
            <w:r>
              <w:rPr>
                <w:sz w:val="21"/>
                <w:szCs w:val="21"/>
                <w:highlight w:val="none"/>
              </w:rPr>
              <w:t>1.33</w:t>
            </w:r>
          </w:p>
        </w:tc>
        <w:tc>
          <w:tcPr>
            <w:tcW w:w="785" w:type="dxa"/>
            <w:vAlign w:val="center"/>
          </w:tcPr>
          <w:p>
            <w:pPr>
              <w:spacing w:line="240" w:lineRule="auto"/>
              <w:ind w:firstLine="0" w:firstLineChars="0"/>
              <w:jc w:val="center"/>
              <w:rPr>
                <w:sz w:val="21"/>
                <w:szCs w:val="21"/>
                <w:highlight w:val="none"/>
              </w:rPr>
            </w:pPr>
            <w:r>
              <w:rPr>
                <w:sz w:val="21"/>
                <w:szCs w:val="21"/>
                <w:highlight w:val="none"/>
              </w:rPr>
              <w:t>1.51</w:t>
            </w:r>
          </w:p>
        </w:tc>
        <w:tc>
          <w:tcPr>
            <w:tcW w:w="785" w:type="dxa"/>
            <w:vAlign w:val="center"/>
          </w:tcPr>
          <w:p>
            <w:pPr>
              <w:spacing w:line="240" w:lineRule="auto"/>
              <w:ind w:firstLine="0" w:firstLineChars="0"/>
              <w:jc w:val="center"/>
              <w:rPr>
                <w:sz w:val="21"/>
                <w:szCs w:val="21"/>
                <w:highlight w:val="none"/>
              </w:rPr>
            </w:pPr>
            <w:r>
              <w:rPr>
                <w:sz w:val="21"/>
                <w:szCs w:val="21"/>
                <w:highlight w:val="none"/>
              </w:rPr>
              <w:t>1.95</w:t>
            </w:r>
          </w:p>
        </w:tc>
        <w:tc>
          <w:tcPr>
            <w:tcW w:w="785" w:type="dxa"/>
            <w:vAlign w:val="center"/>
          </w:tcPr>
          <w:p>
            <w:pPr>
              <w:spacing w:line="240" w:lineRule="auto"/>
              <w:ind w:firstLine="0" w:firstLineChars="0"/>
              <w:jc w:val="center"/>
              <w:rPr>
                <w:sz w:val="21"/>
                <w:szCs w:val="21"/>
                <w:highlight w:val="none"/>
              </w:rPr>
            </w:pPr>
            <w:r>
              <w:rPr>
                <w:sz w:val="21"/>
                <w:szCs w:val="21"/>
                <w:highlight w:val="none"/>
              </w:rPr>
              <w:t>2.12</w:t>
            </w:r>
          </w:p>
        </w:tc>
        <w:tc>
          <w:tcPr>
            <w:tcW w:w="785" w:type="dxa"/>
            <w:vAlign w:val="center"/>
          </w:tcPr>
          <w:p>
            <w:pPr>
              <w:spacing w:line="240" w:lineRule="auto"/>
              <w:ind w:firstLine="0" w:firstLineChars="0"/>
              <w:jc w:val="center"/>
              <w:rPr>
                <w:sz w:val="21"/>
                <w:szCs w:val="21"/>
                <w:highlight w:val="none"/>
              </w:rPr>
            </w:pPr>
            <w:r>
              <w:rPr>
                <w:sz w:val="21"/>
                <w:szCs w:val="21"/>
                <w:highlight w:val="none"/>
              </w:rPr>
              <w:t>1.91</w:t>
            </w:r>
          </w:p>
        </w:tc>
        <w:tc>
          <w:tcPr>
            <w:tcW w:w="794" w:type="dxa"/>
            <w:vAlign w:val="center"/>
          </w:tcPr>
          <w:p>
            <w:pPr>
              <w:spacing w:line="240" w:lineRule="auto"/>
              <w:ind w:firstLine="0" w:firstLineChars="0"/>
              <w:jc w:val="center"/>
              <w:rPr>
                <w:sz w:val="21"/>
                <w:szCs w:val="21"/>
                <w:highlight w:val="none"/>
              </w:rPr>
            </w:pPr>
            <w:r>
              <w:rPr>
                <w:sz w:val="21"/>
                <w:szCs w:val="21"/>
                <w:highlight w:val="none"/>
              </w:rPr>
              <w:t>1.75</w:t>
            </w:r>
          </w:p>
        </w:tc>
        <w:tc>
          <w:tcPr>
            <w:tcW w:w="785" w:type="dxa"/>
            <w:vAlign w:val="center"/>
          </w:tcPr>
          <w:p>
            <w:pPr>
              <w:spacing w:line="240" w:lineRule="auto"/>
              <w:ind w:firstLine="0" w:firstLineChars="0"/>
              <w:jc w:val="center"/>
              <w:rPr>
                <w:sz w:val="21"/>
                <w:szCs w:val="21"/>
                <w:highlight w:val="none"/>
              </w:rPr>
            </w:pPr>
            <w:r>
              <w:rPr>
                <w:sz w:val="21"/>
                <w:szCs w:val="21"/>
                <w:highlight w:val="none"/>
              </w:rPr>
              <w:t>2.14</w:t>
            </w:r>
          </w:p>
        </w:tc>
        <w:tc>
          <w:tcPr>
            <w:tcW w:w="785" w:type="dxa"/>
            <w:vAlign w:val="center"/>
          </w:tcPr>
          <w:p>
            <w:pPr>
              <w:spacing w:line="240" w:lineRule="auto"/>
              <w:ind w:firstLine="0" w:firstLineChars="0"/>
              <w:jc w:val="center"/>
              <w:rPr>
                <w:sz w:val="21"/>
                <w:szCs w:val="21"/>
                <w:highlight w:val="none"/>
              </w:rPr>
            </w:pPr>
            <w:r>
              <w:rPr>
                <w:sz w:val="21"/>
                <w:szCs w:val="21"/>
                <w:highlight w:val="none"/>
              </w:rPr>
              <w:t>2.27</w:t>
            </w:r>
          </w:p>
        </w:tc>
        <w:tc>
          <w:tcPr>
            <w:tcW w:w="785" w:type="dxa"/>
            <w:vAlign w:val="center"/>
          </w:tcPr>
          <w:p>
            <w:pPr>
              <w:spacing w:line="240" w:lineRule="auto"/>
              <w:ind w:firstLine="0" w:firstLineChars="0"/>
              <w:jc w:val="center"/>
              <w:rPr>
                <w:sz w:val="21"/>
                <w:szCs w:val="21"/>
                <w:highlight w:val="none"/>
              </w:rPr>
            </w:pPr>
            <w:r>
              <w:rPr>
                <w:sz w:val="21"/>
                <w:szCs w:val="21"/>
                <w:highlight w:val="none"/>
              </w:rPr>
              <w:t>1.34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冬季</w:t>
            </w:r>
          </w:p>
        </w:tc>
        <w:tc>
          <w:tcPr>
            <w:tcW w:w="783" w:type="dxa"/>
            <w:vAlign w:val="center"/>
          </w:tcPr>
          <w:p>
            <w:pPr>
              <w:spacing w:line="240" w:lineRule="auto"/>
              <w:ind w:firstLine="0" w:firstLineChars="0"/>
              <w:jc w:val="center"/>
              <w:rPr>
                <w:sz w:val="21"/>
                <w:szCs w:val="21"/>
                <w:highlight w:val="none"/>
              </w:rPr>
            </w:pPr>
            <w:r>
              <w:rPr>
                <w:sz w:val="21"/>
                <w:szCs w:val="21"/>
                <w:highlight w:val="none"/>
              </w:rPr>
              <w:t>2.05</w:t>
            </w:r>
          </w:p>
        </w:tc>
        <w:tc>
          <w:tcPr>
            <w:tcW w:w="826" w:type="dxa"/>
            <w:vAlign w:val="center"/>
          </w:tcPr>
          <w:p>
            <w:pPr>
              <w:spacing w:line="240" w:lineRule="auto"/>
              <w:ind w:firstLine="0" w:firstLineChars="0"/>
              <w:jc w:val="center"/>
              <w:rPr>
                <w:sz w:val="21"/>
                <w:szCs w:val="21"/>
                <w:highlight w:val="none"/>
              </w:rPr>
            </w:pPr>
            <w:r>
              <w:rPr>
                <w:sz w:val="21"/>
                <w:szCs w:val="21"/>
                <w:highlight w:val="none"/>
              </w:rPr>
              <w:t>1.24</w:t>
            </w:r>
          </w:p>
        </w:tc>
        <w:tc>
          <w:tcPr>
            <w:tcW w:w="783" w:type="dxa"/>
            <w:vAlign w:val="center"/>
          </w:tcPr>
          <w:p>
            <w:pPr>
              <w:spacing w:line="240" w:lineRule="auto"/>
              <w:ind w:firstLine="0" w:firstLineChars="0"/>
              <w:jc w:val="center"/>
              <w:rPr>
                <w:sz w:val="21"/>
                <w:szCs w:val="21"/>
                <w:highlight w:val="none"/>
              </w:rPr>
            </w:pPr>
            <w:r>
              <w:rPr>
                <w:sz w:val="21"/>
                <w:szCs w:val="21"/>
                <w:highlight w:val="none"/>
              </w:rPr>
              <w:t>1.14</w:t>
            </w:r>
          </w:p>
        </w:tc>
        <w:tc>
          <w:tcPr>
            <w:tcW w:w="785" w:type="dxa"/>
            <w:vAlign w:val="center"/>
          </w:tcPr>
          <w:p>
            <w:pPr>
              <w:spacing w:line="240" w:lineRule="auto"/>
              <w:ind w:firstLine="0" w:firstLineChars="0"/>
              <w:jc w:val="center"/>
              <w:rPr>
                <w:sz w:val="21"/>
                <w:szCs w:val="21"/>
                <w:highlight w:val="none"/>
              </w:rPr>
            </w:pPr>
            <w:r>
              <w:rPr>
                <w:sz w:val="21"/>
                <w:szCs w:val="21"/>
                <w:highlight w:val="none"/>
              </w:rPr>
              <w:t>1.33</w:t>
            </w:r>
          </w:p>
        </w:tc>
        <w:tc>
          <w:tcPr>
            <w:tcW w:w="785" w:type="dxa"/>
            <w:vAlign w:val="center"/>
          </w:tcPr>
          <w:p>
            <w:pPr>
              <w:spacing w:line="240" w:lineRule="auto"/>
              <w:ind w:firstLine="0" w:firstLineChars="0"/>
              <w:jc w:val="center"/>
              <w:rPr>
                <w:sz w:val="21"/>
                <w:szCs w:val="21"/>
                <w:highlight w:val="none"/>
              </w:rPr>
            </w:pPr>
            <w:r>
              <w:rPr>
                <w:sz w:val="21"/>
                <w:szCs w:val="21"/>
                <w:highlight w:val="none"/>
              </w:rPr>
              <w:t>1.32</w:t>
            </w:r>
          </w:p>
        </w:tc>
        <w:tc>
          <w:tcPr>
            <w:tcW w:w="785" w:type="dxa"/>
            <w:vAlign w:val="center"/>
          </w:tcPr>
          <w:p>
            <w:pPr>
              <w:spacing w:line="240" w:lineRule="auto"/>
              <w:ind w:firstLine="0" w:firstLineChars="0"/>
              <w:jc w:val="center"/>
              <w:rPr>
                <w:sz w:val="21"/>
                <w:szCs w:val="21"/>
                <w:highlight w:val="none"/>
              </w:rPr>
            </w:pPr>
            <w:r>
              <w:rPr>
                <w:sz w:val="21"/>
                <w:szCs w:val="21"/>
                <w:highlight w:val="none"/>
              </w:rPr>
              <w:t>1.08</w:t>
            </w:r>
          </w:p>
        </w:tc>
        <w:tc>
          <w:tcPr>
            <w:tcW w:w="785" w:type="dxa"/>
            <w:vAlign w:val="center"/>
          </w:tcPr>
          <w:p>
            <w:pPr>
              <w:spacing w:line="240" w:lineRule="auto"/>
              <w:ind w:firstLine="0" w:firstLineChars="0"/>
              <w:jc w:val="center"/>
              <w:rPr>
                <w:sz w:val="21"/>
                <w:szCs w:val="21"/>
                <w:highlight w:val="none"/>
              </w:rPr>
            </w:pPr>
            <w:r>
              <w:rPr>
                <w:sz w:val="21"/>
                <w:szCs w:val="21"/>
                <w:highlight w:val="none"/>
              </w:rPr>
              <w:t>1.13</w:t>
            </w:r>
          </w:p>
        </w:tc>
        <w:tc>
          <w:tcPr>
            <w:tcW w:w="785" w:type="dxa"/>
            <w:vAlign w:val="center"/>
          </w:tcPr>
          <w:p>
            <w:pPr>
              <w:spacing w:line="240" w:lineRule="auto"/>
              <w:ind w:firstLine="0" w:firstLineChars="0"/>
              <w:jc w:val="center"/>
              <w:rPr>
                <w:sz w:val="21"/>
                <w:szCs w:val="21"/>
                <w:highlight w:val="none"/>
              </w:rPr>
            </w:pPr>
            <w:r>
              <w:rPr>
                <w:sz w:val="21"/>
                <w:szCs w:val="21"/>
                <w:highlight w:val="none"/>
              </w:rPr>
              <w:t>1.06</w:t>
            </w:r>
          </w:p>
        </w:tc>
        <w:tc>
          <w:tcPr>
            <w:tcW w:w="785" w:type="dxa"/>
            <w:vAlign w:val="center"/>
          </w:tcPr>
          <w:p>
            <w:pPr>
              <w:spacing w:line="240" w:lineRule="auto"/>
              <w:ind w:firstLine="0" w:firstLineChars="0"/>
              <w:jc w:val="center"/>
              <w:rPr>
                <w:sz w:val="21"/>
                <w:szCs w:val="21"/>
                <w:highlight w:val="none"/>
              </w:rPr>
            </w:pPr>
            <w:r>
              <w:rPr>
                <w:sz w:val="21"/>
                <w:szCs w:val="21"/>
                <w:highlight w:val="none"/>
              </w:rPr>
              <w:t>1.12</w:t>
            </w:r>
          </w:p>
        </w:tc>
        <w:tc>
          <w:tcPr>
            <w:tcW w:w="785" w:type="dxa"/>
            <w:vAlign w:val="center"/>
          </w:tcPr>
          <w:p>
            <w:pPr>
              <w:spacing w:line="240" w:lineRule="auto"/>
              <w:ind w:firstLine="0" w:firstLineChars="0"/>
              <w:jc w:val="center"/>
              <w:rPr>
                <w:sz w:val="21"/>
                <w:szCs w:val="21"/>
                <w:highlight w:val="none"/>
              </w:rPr>
            </w:pPr>
            <w:r>
              <w:rPr>
                <w:sz w:val="21"/>
                <w:szCs w:val="21"/>
                <w:highlight w:val="none"/>
              </w:rPr>
              <w:t>1.56</w:t>
            </w:r>
          </w:p>
        </w:tc>
        <w:tc>
          <w:tcPr>
            <w:tcW w:w="785" w:type="dxa"/>
            <w:vAlign w:val="center"/>
          </w:tcPr>
          <w:p>
            <w:pPr>
              <w:spacing w:line="240" w:lineRule="auto"/>
              <w:ind w:firstLine="0" w:firstLineChars="0"/>
              <w:jc w:val="center"/>
              <w:rPr>
                <w:sz w:val="21"/>
                <w:szCs w:val="21"/>
                <w:highlight w:val="none"/>
              </w:rPr>
            </w:pPr>
            <w:r>
              <w:rPr>
                <w:sz w:val="21"/>
                <w:szCs w:val="21"/>
                <w:highlight w:val="none"/>
              </w:rPr>
              <w:t>1.94</w:t>
            </w:r>
          </w:p>
        </w:tc>
        <w:tc>
          <w:tcPr>
            <w:tcW w:w="785" w:type="dxa"/>
            <w:vAlign w:val="center"/>
          </w:tcPr>
          <w:p>
            <w:pPr>
              <w:spacing w:line="240" w:lineRule="auto"/>
              <w:ind w:firstLine="0" w:firstLineChars="0"/>
              <w:jc w:val="center"/>
              <w:rPr>
                <w:sz w:val="21"/>
                <w:szCs w:val="21"/>
                <w:highlight w:val="none"/>
              </w:rPr>
            </w:pPr>
            <w:r>
              <w:rPr>
                <w:sz w:val="21"/>
                <w:szCs w:val="21"/>
                <w:highlight w:val="none"/>
              </w:rPr>
              <w:t>1.88</w:t>
            </w:r>
          </w:p>
        </w:tc>
        <w:tc>
          <w:tcPr>
            <w:tcW w:w="785" w:type="dxa"/>
            <w:vAlign w:val="center"/>
          </w:tcPr>
          <w:p>
            <w:pPr>
              <w:spacing w:line="240" w:lineRule="auto"/>
              <w:ind w:firstLine="0" w:firstLineChars="0"/>
              <w:jc w:val="center"/>
              <w:rPr>
                <w:sz w:val="21"/>
                <w:szCs w:val="21"/>
                <w:highlight w:val="none"/>
              </w:rPr>
            </w:pPr>
            <w:r>
              <w:rPr>
                <w:sz w:val="21"/>
                <w:szCs w:val="21"/>
                <w:highlight w:val="none"/>
              </w:rPr>
              <w:t>1.58</w:t>
            </w:r>
          </w:p>
        </w:tc>
        <w:tc>
          <w:tcPr>
            <w:tcW w:w="794" w:type="dxa"/>
            <w:vAlign w:val="center"/>
          </w:tcPr>
          <w:p>
            <w:pPr>
              <w:spacing w:line="240" w:lineRule="auto"/>
              <w:ind w:firstLine="0" w:firstLineChars="0"/>
              <w:jc w:val="center"/>
              <w:rPr>
                <w:sz w:val="21"/>
                <w:szCs w:val="21"/>
                <w:highlight w:val="none"/>
              </w:rPr>
            </w:pPr>
            <w:r>
              <w:rPr>
                <w:sz w:val="21"/>
                <w:szCs w:val="21"/>
                <w:highlight w:val="none"/>
              </w:rPr>
              <w:t>1.7</w:t>
            </w:r>
          </w:p>
        </w:tc>
        <w:tc>
          <w:tcPr>
            <w:tcW w:w="785" w:type="dxa"/>
            <w:vAlign w:val="center"/>
          </w:tcPr>
          <w:p>
            <w:pPr>
              <w:spacing w:line="240" w:lineRule="auto"/>
              <w:ind w:firstLine="0" w:firstLineChars="0"/>
              <w:jc w:val="center"/>
              <w:rPr>
                <w:sz w:val="21"/>
                <w:szCs w:val="21"/>
                <w:highlight w:val="none"/>
              </w:rPr>
            </w:pPr>
            <w:r>
              <w:rPr>
                <w:sz w:val="21"/>
                <w:szCs w:val="21"/>
                <w:highlight w:val="none"/>
              </w:rPr>
              <w:t>2.62</w:t>
            </w:r>
          </w:p>
        </w:tc>
        <w:tc>
          <w:tcPr>
            <w:tcW w:w="785" w:type="dxa"/>
            <w:vAlign w:val="center"/>
          </w:tcPr>
          <w:p>
            <w:pPr>
              <w:spacing w:line="240" w:lineRule="auto"/>
              <w:ind w:firstLine="0" w:firstLineChars="0"/>
              <w:jc w:val="center"/>
              <w:rPr>
                <w:sz w:val="21"/>
                <w:szCs w:val="21"/>
                <w:highlight w:val="none"/>
              </w:rPr>
            </w:pPr>
            <w:r>
              <w:rPr>
                <w:sz w:val="21"/>
                <w:szCs w:val="21"/>
                <w:highlight w:val="none"/>
              </w:rPr>
              <w:t>2.9</w:t>
            </w:r>
          </w:p>
        </w:tc>
        <w:tc>
          <w:tcPr>
            <w:tcW w:w="785" w:type="dxa"/>
            <w:vAlign w:val="center"/>
          </w:tcPr>
          <w:p>
            <w:pPr>
              <w:spacing w:line="240" w:lineRule="auto"/>
              <w:ind w:firstLine="0" w:firstLineChars="0"/>
              <w:jc w:val="center"/>
              <w:rPr>
                <w:sz w:val="21"/>
                <w:szCs w:val="21"/>
                <w:highlight w:val="none"/>
              </w:rPr>
            </w:pPr>
            <w:r>
              <w:rPr>
                <w:sz w:val="21"/>
                <w:szCs w:val="21"/>
                <w:highlight w:val="none"/>
              </w:rPr>
              <w:t>1.53</w:t>
            </w:r>
          </w:p>
        </w:tc>
      </w:tr>
    </w:tbl>
    <w:p>
      <w:pPr>
        <w:numPr>
          <w:ilvl w:val="0"/>
          <w:numId w:val="1"/>
        </w:numPr>
        <w:ind w:firstLineChars="0"/>
        <w:jc w:val="both"/>
        <w:rPr>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linePitch="312" w:charSpace="0"/>
        </w:sectPr>
      </w:pPr>
    </w:p>
    <w:p>
      <w:pPr>
        <w:spacing w:line="240" w:lineRule="auto"/>
        <w:ind w:firstLine="0" w:firstLineChars="0"/>
        <w:rPr>
          <w:highlight w:val="none"/>
        </w:rPr>
      </w:pPr>
    </w:p>
    <w:p>
      <w:pPr>
        <w:spacing w:line="240" w:lineRule="auto"/>
        <w:ind w:left="425" w:firstLine="0" w:firstLineChars="0"/>
        <w:rPr>
          <w:highlight w:val="none"/>
        </w:rPr>
      </w:pPr>
    </w:p>
    <w:p>
      <w:pPr>
        <w:spacing w:line="240" w:lineRule="auto"/>
        <w:ind w:firstLine="0" w:firstLineChars="0"/>
        <w:jc w:val="center"/>
        <w:rPr>
          <w:highlight w:val="none"/>
        </w:rPr>
      </w:pPr>
      <w:r>
        <w:rPr>
          <w:highlight w:val="none"/>
        </w:rPr>
        <w:drawing>
          <wp:inline distT="0" distB="0" distL="0" distR="0">
            <wp:extent cx="2979420" cy="5189220"/>
            <wp:effectExtent l="19050" t="0" r="0" b="0"/>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noChangeArrowheads="1"/>
                    </pic:cNvPicPr>
                  </pic:nvPicPr>
                  <pic:blipFill>
                    <a:blip r:embed="rId41" cstate="print"/>
                    <a:srcRect/>
                    <a:stretch>
                      <a:fillRect/>
                    </a:stretch>
                  </pic:blipFill>
                  <pic:spPr>
                    <a:xfrm>
                      <a:off x="0" y="0"/>
                      <a:ext cx="2979420" cy="5189220"/>
                    </a:xfrm>
                    <a:prstGeom prst="rect">
                      <a:avLst/>
                    </a:prstGeom>
                    <a:noFill/>
                    <a:ln w="9525">
                      <a:noFill/>
                      <a:miter lim="800000"/>
                      <a:headEnd/>
                      <a:tailEnd/>
                    </a:ln>
                  </pic:spPr>
                </pic:pic>
              </a:graphicData>
            </a:graphic>
          </wp:inline>
        </w:drawing>
      </w:r>
    </w:p>
    <w:p>
      <w:pPr>
        <w:spacing w:line="240" w:lineRule="auto"/>
        <w:ind w:left="425" w:firstLine="0" w:firstLineChars="0"/>
        <w:jc w:val="center"/>
        <w:rPr>
          <w:highlight w:val="none"/>
        </w:rPr>
      </w:pPr>
    </w:p>
    <w:p>
      <w:pPr>
        <w:pStyle w:val="66"/>
        <w:spacing w:line="360" w:lineRule="auto"/>
        <w:ind w:firstLine="0"/>
        <w:jc w:val="center"/>
        <w:rPr>
          <w:rFonts w:eastAsia="黑体"/>
          <w:sz w:val="21"/>
          <w:szCs w:val="21"/>
          <w:highlight w:val="none"/>
        </w:rPr>
      </w:pPr>
      <w:r>
        <w:rPr>
          <w:rFonts w:eastAsia="黑体"/>
          <w:sz w:val="21"/>
          <w:szCs w:val="21"/>
          <w:highlight w:val="none"/>
        </w:rPr>
        <w:t>图5.2-1    风频玫瑰图</w:t>
      </w:r>
    </w:p>
    <w:p>
      <w:pPr>
        <w:ind w:left="425" w:firstLine="0" w:firstLineChars="0"/>
        <w:jc w:val="both"/>
        <w:rPr>
          <w:highlight w:val="none"/>
        </w:rPr>
      </w:pPr>
    </w:p>
    <w:p>
      <w:pPr>
        <w:ind w:firstLineChars="0"/>
        <w:jc w:val="both"/>
        <w:rPr>
          <w:highlight w:val="none"/>
        </w:rPr>
      </w:pPr>
    </w:p>
    <w:p>
      <w:pPr>
        <w:ind w:left="425" w:firstLine="0" w:firstLineChars="0"/>
        <w:jc w:val="both"/>
        <w:rPr>
          <w:highlight w:val="none"/>
        </w:rPr>
      </w:pPr>
    </w:p>
    <w:p>
      <w:pPr>
        <w:ind w:left="425" w:firstLine="0" w:firstLineChars="0"/>
        <w:jc w:val="both"/>
        <w:rPr>
          <w:highlight w:val="none"/>
        </w:rPr>
      </w:pPr>
    </w:p>
    <w:p>
      <w:pPr>
        <w:ind w:firstLineChars="0"/>
        <w:jc w:val="both"/>
        <w:rPr>
          <w:highlight w:val="none"/>
        </w:rPr>
      </w:pPr>
    </w:p>
    <w:p>
      <w:pPr>
        <w:spacing w:line="240" w:lineRule="auto"/>
        <w:ind w:left="425" w:firstLine="0" w:firstLineChars="0"/>
        <w:jc w:val="center"/>
        <w:rPr>
          <w:rFonts w:eastAsia="黑体"/>
          <w:sz w:val="21"/>
          <w:szCs w:val="21"/>
          <w:highlight w:val="none"/>
        </w:rPr>
      </w:pPr>
      <w:r>
        <w:rPr>
          <w:rFonts w:eastAsia="黑体"/>
          <w:sz w:val="21"/>
          <w:szCs w:val="21"/>
          <w:highlight w:val="none"/>
        </w:rPr>
        <w:drawing>
          <wp:inline distT="0" distB="0" distL="0" distR="0">
            <wp:extent cx="2900680" cy="4800600"/>
            <wp:effectExtent l="0" t="0" r="0" b="0"/>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noChangeArrowheads="1"/>
                    </pic:cNvPicPr>
                  </pic:nvPicPr>
                  <pic:blipFill>
                    <a:blip r:embed="rId42" cstate="print"/>
                    <a:srcRect/>
                    <a:stretch>
                      <a:fillRect/>
                    </a:stretch>
                  </pic:blipFill>
                  <pic:spPr>
                    <a:xfrm>
                      <a:off x="0" y="0"/>
                      <a:ext cx="2900680" cy="4800600"/>
                    </a:xfrm>
                    <a:prstGeom prst="rect">
                      <a:avLst/>
                    </a:prstGeom>
                    <a:noFill/>
                    <a:ln w="9525">
                      <a:noFill/>
                      <a:miter lim="800000"/>
                      <a:headEnd/>
                      <a:tailEnd/>
                    </a:ln>
                  </pic:spPr>
                </pic:pic>
              </a:graphicData>
            </a:graphic>
          </wp:inline>
        </w:drawing>
      </w:r>
    </w:p>
    <w:p>
      <w:pPr>
        <w:spacing w:before="120" w:beforeLines="50"/>
        <w:ind w:left="425" w:firstLine="0" w:firstLineChars="0"/>
        <w:jc w:val="center"/>
        <w:rPr>
          <w:rFonts w:eastAsia="黑体"/>
          <w:sz w:val="21"/>
          <w:szCs w:val="21"/>
          <w:highlight w:val="none"/>
        </w:rPr>
      </w:pPr>
      <w:r>
        <w:rPr>
          <w:rFonts w:eastAsia="黑体"/>
          <w:sz w:val="21"/>
          <w:szCs w:val="21"/>
          <w:highlight w:val="none"/>
        </w:rPr>
        <w:t>图5.2-2    风速玫瑰图</w:t>
      </w:r>
    </w:p>
    <w:p>
      <w:pPr>
        <w:spacing w:line="480" w:lineRule="exact"/>
        <w:ind w:firstLineChars="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7</w:t>
      </w:r>
      <w:r>
        <w:rPr>
          <w:rFonts w:eastAsia="黑体"/>
          <w:sz w:val="21"/>
          <w:szCs w:val="21"/>
          <w:highlight w:val="none"/>
        </w:rPr>
        <w:t>平均风速月变化表单位：m/s</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13"/>
        <w:gridCol w:w="584"/>
        <w:gridCol w:w="584"/>
        <w:gridCol w:w="584"/>
        <w:gridCol w:w="584"/>
        <w:gridCol w:w="575"/>
        <w:gridCol w:w="584"/>
        <w:gridCol w:w="584"/>
        <w:gridCol w:w="584"/>
        <w:gridCol w:w="584"/>
        <w:gridCol w:w="679"/>
        <w:gridCol w:w="679"/>
        <w:gridCol w:w="679"/>
        <w:gridCol w:w="63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13" w:type="dxa"/>
            <w:vAlign w:val="center"/>
          </w:tcPr>
          <w:p>
            <w:pPr>
              <w:spacing w:line="240" w:lineRule="auto"/>
              <w:ind w:firstLine="0" w:firstLineChars="0"/>
              <w:jc w:val="center"/>
              <w:rPr>
                <w:sz w:val="21"/>
                <w:szCs w:val="21"/>
                <w:highlight w:val="none"/>
              </w:rPr>
            </w:pPr>
            <w:r>
              <w:rPr>
                <w:sz w:val="21"/>
                <w:szCs w:val="21"/>
                <w:highlight w:val="none"/>
              </w:rPr>
              <w:t>月份</w:t>
            </w:r>
          </w:p>
        </w:tc>
        <w:tc>
          <w:tcPr>
            <w:tcW w:w="584" w:type="dxa"/>
            <w:vAlign w:val="center"/>
          </w:tcPr>
          <w:p>
            <w:pPr>
              <w:spacing w:line="240" w:lineRule="auto"/>
              <w:ind w:firstLine="0" w:firstLineChars="0"/>
              <w:jc w:val="center"/>
              <w:rPr>
                <w:sz w:val="21"/>
                <w:szCs w:val="21"/>
                <w:highlight w:val="none"/>
              </w:rPr>
            </w:pPr>
            <w:r>
              <w:rPr>
                <w:sz w:val="21"/>
                <w:szCs w:val="21"/>
                <w:highlight w:val="none"/>
              </w:rPr>
              <w:t>1月</w:t>
            </w:r>
          </w:p>
        </w:tc>
        <w:tc>
          <w:tcPr>
            <w:tcW w:w="584" w:type="dxa"/>
            <w:vAlign w:val="center"/>
          </w:tcPr>
          <w:p>
            <w:pPr>
              <w:spacing w:line="240" w:lineRule="auto"/>
              <w:ind w:firstLine="0" w:firstLineChars="0"/>
              <w:jc w:val="center"/>
              <w:rPr>
                <w:sz w:val="21"/>
                <w:szCs w:val="21"/>
                <w:highlight w:val="none"/>
              </w:rPr>
            </w:pPr>
            <w:r>
              <w:rPr>
                <w:sz w:val="21"/>
                <w:szCs w:val="21"/>
                <w:highlight w:val="none"/>
              </w:rPr>
              <w:t>2月</w:t>
            </w:r>
          </w:p>
        </w:tc>
        <w:tc>
          <w:tcPr>
            <w:tcW w:w="584" w:type="dxa"/>
            <w:vAlign w:val="center"/>
          </w:tcPr>
          <w:p>
            <w:pPr>
              <w:spacing w:line="240" w:lineRule="auto"/>
              <w:ind w:firstLine="0" w:firstLineChars="0"/>
              <w:jc w:val="center"/>
              <w:rPr>
                <w:sz w:val="21"/>
                <w:szCs w:val="21"/>
                <w:highlight w:val="none"/>
              </w:rPr>
            </w:pPr>
            <w:r>
              <w:rPr>
                <w:sz w:val="21"/>
                <w:szCs w:val="21"/>
                <w:highlight w:val="none"/>
              </w:rPr>
              <w:t>3月</w:t>
            </w:r>
          </w:p>
        </w:tc>
        <w:tc>
          <w:tcPr>
            <w:tcW w:w="584" w:type="dxa"/>
            <w:vAlign w:val="center"/>
          </w:tcPr>
          <w:p>
            <w:pPr>
              <w:spacing w:line="240" w:lineRule="auto"/>
              <w:ind w:firstLine="0" w:firstLineChars="0"/>
              <w:jc w:val="center"/>
              <w:rPr>
                <w:sz w:val="21"/>
                <w:szCs w:val="21"/>
                <w:highlight w:val="none"/>
              </w:rPr>
            </w:pPr>
            <w:r>
              <w:rPr>
                <w:sz w:val="21"/>
                <w:szCs w:val="21"/>
                <w:highlight w:val="none"/>
              </w:rPr>
              <w:t>4月</w:t>
            </w:r>
          </w:p>
        </w:tc>
        <w:tc>
          <w:tcPr>
            <w:tcW w:w="575" w:type="dxa"/>
            <w:vAlign w:val="center"/>
          </w:tcPr>
          <w:p>
            <w:pPr>
              <w:spacing w:line="240" w:lineRule="auto"/>
              <w:ind w:firstLine="0" w:firstLineChars="0"/>
              <w:jc w:val="center"/>
              <w:rPr>
                <w:sz w:val="21"/>
                <w:szCs w:val="21"/>
                <w:highlight w:val="none"/>
              </w:rPr>
            </w:pPr>
            <w:r>
              <w:rPr>
                <w:sz w:val="21"/>
                <w:szCs w:val="21"/>
                <w:highlight w:val="none"/>
              </w:rPr>
              <w:t>5月</w:t>
            </w:r>
          </w:p>
        </w:tc>
        <w:tc>
          <w:tcPr>
            <w:tcW w:w="584" w:type="dxa"/>
            <w:vAlign w:val="center"/>
          </w:tcPr>
          <w:p>
            <w:pPr>
              <w:spacing w:line="240" w:lineRule="auto"/>
              <w:ind w:firstLine="0" w:firstLineChars="0"/>
              <w:jc w:val="center"/>
              <w:rPr>
                <w:sz w:val="21"/>
                <w:szCs w:val="21"/>
                <w:highlight w:val="none"/>
              </w:rPr>
            </w:pPr>
            <w:r>
              <w:rPr>
                <w:sz w:val="21"/>
                <w:szCs w:val="21"/>
                <w:highlight w:val="none"/>
              </w:rPr>
              <w:t>6月</w:t>
            </w:r>
          </w:p>
        </w:tc>
        <w:tc>
          <w:tcPr>
            <w:tcW w:w="584" w:type="dxa"/>
            <w:vAlign w:val="center"/>
          </w:tcPr>
          <w:p>
            <w:pPr>
              <w:spacing w:line="240" w:lineRule="auto"/>
              <w:ind w:firstLine="0" w:firstLineChars="0"/>
              <w:jc w:val="center"/>
              <w:rPr>
                <w:sz w:val="21"/>
                <w:szCs w:val="21"/>
                <w:highlight w:val="none"/>
              </w:rPr>
            </w:pPr>
            <w:r>
              <w:rPr>
                <w:sz w:val="21"/>
                <w:szCs w:val="21"/>
                <w:highlight w:val="none"/>
              </w:rPr>
              <w:t>7月</w:t>
            </w:r>
          </w:p>
        </w:tc>
        <w:tc>
          <w:tcPr>
            <w:tcW w:w="584" w:type="dxa"/>
            <w:vAlign w:val="center"/>
          </w:tcPr>
          <w:p>
            <w:pPr>
              <w:spacing w:line="240" w:lineRule="auto"/>
              <w:ind w:firstLine="0" w:firstLineChars="0"/>
              <w:jc w:val="center"/>
              <w:rPr>
                <w:sz w:val="21"/>
                <w:szCs w:val="21"/>
                <w:highlight w:val="none"/>
              </w:rPr>
            </w:pPr>
            <w:r>
              <w:rPr>
                <w:sz w:val="21"/>
                <w:szCs w:val="21"/>
                <w:highlight w:val="none"/>
              </w:rPr>
              <w:t>8月</w:t>
            </w:r>
          </w:p>
        </w:tc>
        <w:tc>
          <w:tcPr>
            <w:tcW w:w="584" w:type="dxa"/>
            <w:vAlign w:val="center"/>
          </w:tcPr>
          <w:p>
            <w:pPr>
              <w:spacing w:line="240" w:lineRule="auto"/>
              <w:ind w:firstLine="0" w:firstLineChars="0"/>
              <w:jc w:val="center"/>
              <w:rPr>
                <w:sz w:val="21"/>
                <w:szCs w:val="21"/>
                <w:highlight w:val="none"/>
              </w:rPr>
            </w:pPr>
            <w:r>
              <w:rPr>
                <w:sz w:val="21"/>
                <w:szCs w:val="21"/>
                <w:highlight w:val="none"/>
              </w:rPr>
              <w:t>9月</w:t>
            </w:r>
          </w:p>
        </w:tc>
        <w:tc>
          <w:tcPr>
            <w:tcW w:w="679" w:type="dxa"/>
            <w:vAlign w:val="center"/>
          </w:tcPr>
          <w:p>
            <w:pPr>
              <w:spacing w:line="240" w:lineRule="auto"/>
              <w:ind w:firstLine="0" w:firstLineChars="0"/>
              <w:jc w:val="center"/>
              <w:rPr>
                <w:sz w:val="21"/>
                <w:szCs w:val="21"/>
                <w:highlight w:val="none"/>
              </w:rPr>
            </w:pPr>
            <w:r>
              <w:rPr>
                <w:sz w:val="21"/>
                <w:szCs w:val="21"/>
                <w:highlight w:val="none"/>
              </w:rPr>
              <w:t>10月</w:t>
            </w:r>
          </w:p>
        </w:tc>
        <w:tc>
          <w:tcPr>
            <w:tcW w:w="679" w:type="dxa"/>
            <w:vAlign w:val="center"/>
          </w:tcPr>
          <w:p>
            <w:pPr>
              <w:spacing w:line="240" w:lineRule="auto"/>
              <w:ind w:firstLine="0" w:firstLineChars="0"/>
              <w:jc w:val="center"/>
              <w:rPr>
                <w:sz w:val="21"/>
                <w:szCs w:val="21"/>
                <w:highlight w:val="none"/>
              </w:rPr>
            </w:pPr>
            <w:r>
              <w:rPr>
                <w:sz w:val="21"/>
                <w:szCs w:val="21"/>
                <w:highlight w:val="none"/>
              </w:rPr>
              <w:t>11月</w:t>
            </w:r>
          </w:p>
        </w:tc>
        <w:tc>
          <w:tcPr>
            <w:tcW w:w="679" w:type="dxa"/>
            <w:vAlign w:val="center"/>
          </w:tcPr>
          <w:p>
            <w:pPr>
              <w:spacing w:line="240" w:lineRule="auto"/>
              <w:ind w:firstLine="0" w:firstLineChars="0"/>
              <w:jc w:val="center"/>
              <w:rPr>
                <w:sz w:val="21"/>
                <w:szCs w:val="21"/>
                <w:highlight w:val="none"/>
              </w:rPr>
            </w:pPr>
            <w:r>
              <w:rPr>
                <w:sz w:val="21"/>
                <w:szCs w:val="21"/>
                <w:highlight w:val="none"/>
              </w:rPr>
              <w:t>12月</w:t>
            </w:r>
          </w:p>
        </w:tc>
        <w:tc>
          <w:tcPr>
            <w:tcW w:w="631" w:type="dxa"/>
            <w:vAlign w:val="center"/>
          </w:tcPr>
          <w:p>
            <w:pPr>
              <w:spacing w:line="240" w:lineRule="auto"/>
              <w:ind w:firstLine="0" w:firstLineChars="0"/>
              <w:jc w:val="center"/>
              <w:rPr>
                <w:sz w:val="21"/>
                <w:szCs w:val="21"/>
                <w:highlight w:val="none"/>
              </w:rPr>
            </w:pPr>
            <w:r>
              <w:rPr>
                <w:sz w:val="21"/>
                <w:szCs w:val="21"/>
                <w:highlight w:val="none"/>
              </w:rPr>
              <w:t>全年</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13" w:type="dxa"/>
            <w:vAlign w:val="center"/>
          </w:tcPr>
          <w:p>
            <w:pPr>
              <w:spacing w:line="240" w:lineRule="auto"/>
              <w:ind w:firstLine="0" w:firstLineChars="0"/>
              <w:jc w:val="center"/>
              <w:rPr>
                <w:sz w:val="21"/>
                <w:szCs w:val="21"/>
                <w:highlight w:val="none"/>
              </w:rPr>
            </w:pPr>
            <w:r>
              <w:rPr>
                <w:sz w:val="21"/>
                <w:szCs w:val="21"/>
                <w:highlight w:val="none"/>
              </w:rPr>
              <w:t>风速</w:t>
            </w:r>
          </w:p>
        </w:tc>
        <w:tc>
          <w:tcPr>
            <w:tcW w:w="584" w:type="dxa"/>
            <w:vAlign w:val="center"/>
          </w:tcPr>
          <w:p>
            <w:pPr>
              <w:spacing w:line="240" w:lineRule="auto"/>
              <w:ind w:firstLine="0" w:firstLineChars="0"/>
              <w:jc w:val="center"/>
              <w:rPr>
                <w:sz w:val="21"/>
                <w:szCs w:val="21"/>
                <w:highlight w:val="none"/>
              </w:rPr>
            </w:pPr>
            <w:r>
              <w:rPr>
                <w:sz w:val="21"/>
                <w:szCs w:val="21"/>
                <w:highlight w:val="none"/>
              </w:rPr>
              <w:t>1.36</w:t>
            </w:r>
          </w:p>
        </w:tc>
        <w:tc>
          <w:tcPr>
            <w:tcW w:w="584" w:type="dxa"/>
            <w:vAlign w:val="center"/>
          </w:tcPr>
          <w:p>
            <w:pPr>
              <w:spacing w:line="240" w:lineRule="auto"/>
              <w:ind w:firstLine="0" w:firstLineChars="0"/>
              <w:jc w:val="center"/>
              <w:rPr>
                <w:sz w:val="21"/>
                <w:szCs w:val="21"/>
                <w:highlight w:val="none"/>
              </w:rPr>
            </w:pPr>
            <w:r>
              <w:rPr>
                <w:sz w:val="21"/>
                <w:szCs w:val="21"/>
                <w:highlight w:val="none"/>
              </w:rPr>
              <w:t>1.69</w:t>
            </w:r>
          </w:p>
        </w:tc>
        <w:tc>
          <w:tcPr>
            <w:tcW w:w="584" w:type="dxa"/>
            <w:vAlign w:val="center"/>
          </w:tcPr>
          <w:p>
            <w:pPr>
              <w:spacing w:line="240" w:lineRule="auto"/>
              <w:ind w:firstLine="0" w:firstLineChars="0"/>
              <w:jc w:val="center"/>
              <w:rPr>
                <w:sz w:val="21"/>
                <w:szCs w:val="21"/>
                <w:highlight w:val="none"/>
              </w:rPr>
            </w:pPr>
            <w:r>
              <w:rPr>
                <w:sz w:val="21"/>
                <w:szCs w:val="21"/>
                <w:highlight w:val="none"/>
              </w:rPr>
              <w:t>1.96</w:t>
            </w:r>
          </w:p>
        </w:tc>
        <w:tc>
          <w:tcPr>
            <w:tcW w:w="584" w:type="dxa"/>
            <w:vAlign w:val="center"/>
          </w:tcPr>
          <w:p>
            <w:pPr>
              <w:spacing w:line="240" w:lineRule="auto"/>
              <w:ind w:firstLine="0" w:firstLineChars="0"/>
              <w:jc w:val="center"/>
              <w:rPr>
                <w:sz w:val="21"/>
                <w:szCs w:val="21"/>
                <w:highlight w:val="none"/>
              </w:rPr>
            </w:pPr>
            <w:r>
              <w:rPr>
                <w:sz w:val="21"/>
                <w:szCs w:val="21"/>
                <w:highlight w:val="none"/>
              </w:rPr>
              <w:t>2.22</w:t>
            </w:r>
          </w:p>
        </w:tc>
        <w:tc>
          <w:tcPr>
            <w:tcW w:w="575" w:type="dxa"/>
            <w:vAlign w:val="center"/>
          </w:tcPr>
          <w:p>
            <w:pPr>
              <w:spacing w:line="240" w:lineRule="auto"/>
              <w:ind w:firstLine="0" w:firstLineChars="0"/>
              <w:jc w:val="center"/>
              <w:rPr>
                <w:sz w:val="21"/>
                <w:szCs w:val="21"/>
                <w:highlight w:val="none"/>
              </w:rPr>
            </w:pPr>
            <w:r>
              <w:rPr>
                <w:sz w:val="21"/>
                <w:szCs w:val="21"/>
                <w:highlight w:val="none"/>
              </w:rPr>
              <w:t>1.8</w:t>
            </w:r>
          </w:p>
        </w:tc>
        <w:tc>
          <w:tcPr>
            <w:tcW w:w="584" w:type="dxa"/>
            <w:vAlign w:val="center"/>
          </w:tcPr>
          <w:p>
            <w:pPr>
              <w:spacing w:line="240" w:lineRule="auto"/>
              <w:ind w:firstLine="0" w:firstLineChars="0"/>
              <w:jc w:val="center"/>
              <w:rPr>
                <w:sz w:val="21"/>
                <w:szCs w:val="21"/>
                <w:highlight w:val="none"/>
              </w:rPr>
            </w:pPr>
            <w:r>
              <w:rPr>
                <w:sz w:val="21"/>
                <w:szCs w:val="21"/>
                <w:highlight w:val="none"/>
              </w:rPr>
              <w:t>1.73</w:t>
            </w:r>
          </w:p>
        </w:tc>
        <w:tc>
          <w:tcPr>
            <w:tcW w:w="584" w:type="dxa"/>
            <w:vAlign w:val="center"/>
          </w:tcPr>
          <w:p>
            <w:pPr>
              <w:spacing w:line="240" w:lineRule="auto"/>
              <w:ind w:firstLine="0" w:firstLineChars="0"/>
              <w:jc w:val="center"/>
              <w:rPr>
                <w:sz w:val="21"/>
                <w:szCs w:val="21"/>
                <w:highlight w:val="none"/>
              </w:rPr>
            </w:pPr>
            <w:r>
              <w:rPr>
                <w:sz w:val="21"/>
                <w:szCs w:val="21"/>
                <w:highlight w:val="none"/>
              </w:rPr>
              <w:t>1.56</w:t>
            </w:r>
          </w:p>
        </w:tc>
        <w:tc>
          <w:tcPr>
            <w:tcW w:w="584" w:type="dxa"/>
            <w:vAlign w:val="center"/>
          </w:tcPr>
          <w:p>
            <w:pPr>
              <w:spacing w:line="240" w:lineRule="auto"/>
              <w:ind w:firstLine="0" w:firstLineChars="0"/>
              <w:jc w:val="center"/>
              <w:rPr>
                <w:sz w:val="21"/>
                <w:szCs w:val="21"/>
                <w:highlight w:val="none"/>
              </w:rPr>
            </w:pPr>
            <w:r>
              <w:rPr>
                <w:sz w:val="21"/>
                <w:szCs w:val="21"/>
                <w:highlight w:val="none"/>
              </w:rPr>
              <w:t>1.55</w:t>
            </w:r>
          </w:p>
        </w:tc>
        <w:tc>
          <w:tcPr>
            <w:tcW w:w="584" w:type="dxa"/>
            <w:vAlign w:val="center"/>
          </w:tcPr>
          <w:p>
            <w:pPr>
              <w:spacing w:line="240" w:lineRule="auto"/>
              <w:ind w:firstLine="0" w:firstLineChars="0"/>
              <w:jc w:val="center"/>
              <w:rPr>
                <w:sz w:val="21"/>
                <w:szCs w:val="21"/>
                <w:highlight w:val="none"/>
              </w:rPr>
            </w:pPr>
            <w:r>
              <w:rPr>
                <w:sz w:val="21"/>
                <w:szCs w:val="21"/>
                <w:highlight w:val="none"/>
              </w:rPr>
              <w:t>1.41</w:t>
            </w:r>
          </w:p>
        </w:tc>
        <w:tc>
          <w:tcPr>
            <w:tcW w:w="679" w:type="dxa"/>
            <w:vAlign w:val="center"/>
          </w:tcPr>
          <w:p>
            <w:pPr>
              <w:spacing w:line="240" w:lineRule="auto"/>
              <w:ind w:firstLine="0" w:firstLineChars="0"/>
              <w:jc w:val="center"/>
              <w:rPr>
                <w:sz w:val="21"/>
                <w:szCs w:val="21"/>
                <w:highlight w:val="none"/>
              </w:rPr>
            </w:pPr>
            <w:r>
              <w:rPr>
                <w:sz w:val="21"/>
                <w:szCs w:val="21"/>
                <w:highlight w:val="none"/>
              </w:rPr>
              <w:t>1.21</w:t>
            </w:r>
          </w:p>
        </w:tc>
        <w:tc>
          <w:tcPr>
            <w:tcW w:w="679" w:type="dxa"/>
            <w:vAlign w:val="center"/>
          </w:tcPr>
          <w:p>
            <w:pPr>
              <w:spacing w:line="240" w:lineRule="auto"/>
              <w:ind w:firstLine="0" w:firstLineChars="0"/>
              <w:jc w:val="center"/>
              <w:rPr>
                <w:sz w:val="21"/>
                <w:szCs w:val="21"/>
                <w:highlight w:val="none"/>
              </w:rPr>
            </w:pPr>
            <w:r>
              <w:rPr>
                <w:sz w:val="21"/>
                <w:szCs w:val="21"/>
                <w:highlight w:val="none"/>
              </w:rPr>
              <w:t>1.41</w:t>
            </w:r>
          </w:p>
        </w:tc>
        <w:tc>
          <w:tcPr>
            <w:tcW w:w="679" w:type="dxa"/>
            <w:vAlign w:val="center"/>
          </w:tcPr>
          <w:p>
            <w:pPr>
              <w:spacing w:line="240" w:lineRule="auto"/>
              <w:ind w:firstLine="0" w:firstLineChars="0"/>
              <w:jc w:val="center"/>
              <w:rPr>
                <w:sz w:val="21"/>
                <w:szCs w:val="21"/>
                <w:highlight w:val="none"/>
              </w:rPr>
            </w:pPr>
            <w:r>
              <w:rPr>
                <w:sz w:val="21"/>
                <w:szCs w:val="21"/>
                <w:highlight w:val="none"/>
              </w:rPr>
              <w:t>1.55</w:t>
            </w:r>
          </w:p>
        </w:tc>
        <w:tc>
          <w:tcPr>
            <w:tcW w:w="631" w:type="dxa"/>
            <w:vAlign w:val="center"/>
          </w:tcPr>
          <w:p>
            <w:pPr>
              <w:spacing w:line="240" w:lineRule="auto"/>
              <w:ind w:firstLine="0" w:firstLineChars="0"/>
              <w:jc w:val="center"/>
              <w:rPr>
                <w:sz w:val="21"/>
                <w:szCs w:val="21"/>
                <w:highlight w:val="none"/>
              </w:rPr>
            </w:pPr>
            <w:r>
              <w:rPr>
                <w:sz w:val="21"/>
                <w:szCs w:val="21"/>
                <w:highlight w:val="none"/>
              </w:rPr>
              <w:t>1.62</w:t>
            </w:r>
          </w:p>
        </w:tc>
      </w:tr>
    </w:tbl>
    <w:p>
      <w:pPr>
        <w:spacing w:line="240" w:lineRule="auto"/>
        <w:ind w:firstLine="0" w:firstLineChars="0"/>
        <w:rPr>
          <w:b/>
          <w:szCs w:val="21"/>
          <w:highlight w:val="none"/>
        </w:rPr>
      </w:pPr>
      <w:r>
        <w:rPr>
          <w:highlight w:val="none"/>
        </w:rPr>
        <w:drawing>
          <wp:inline distT="0" distB="0" distL="0" distR="0">
            <wp:extent cx="5131435" cy="2231390"/>
            <wp:effectExtent l="0" t="0" r="12065" b="1651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noChangeArrowheads="1"/>
                    </pic:cNvPicPr>
                  </pic:nvPicPr>
                  <pic:blipFill>
                    <a:blip r:embed="rId43" cstate="print"/>
                    <a:srcRect/>
                    <a:stretch>
                      <a:fillRect/>
                    </a:stretch>
                  </pic:blipFill>
                  <pic:spPr>
                    <a:xfrm>
                      <a:off x="0" y="0"/>
                      <a:ext cx="5131724" cy="2232000"/>
                    </a:xfrm>
                    <a:prstGeom prst="rect">
                      <a:avLst/>
                    </a:prstGeom>
                    <a:noFill/>
                    <a:ln w="9525">
                      <a:noFill/>
                      <a:miter lim="800000"/>
                      <a:headEnd/>
                      <a:tailEnd/>
                    </a:ln>
                  </pic:spPr>
                </pic:pic>
              </a:graphicData>
            </a:graphic>
          </wp:inline>
        </w:drawing>
      </w:r>
    </w:p>
    <w:p>
      <w:pPr>
        <w:pStyle w:val="66"/>
        <w:ind w:firstLine="0"/>
        <w:jc w:val="center"/>
        <w:rPr>
          <w:rFonts w:eastAsia="黑体"/>
          <w:sz w:val="21"/>
          <w:szCs w:val="21"/>
          <w:highlight w:val="none"/>
        </w:rPr>
      </w:pPr>
      <w:r>
        <w:rPr>
          <w:rFonts w:eastAsia="黑体"/>
          <w:sz w:val="21"/>
          <w:szCs w:val="21"/>
          <w:highlight w:val="none"/>
        </w:rPr>
        <w:t>图5.2-3    平均风速月变化曲线图</w:t>
      </w:r>
    </w:p>
    <w:p>
      <w:pPr>
        <w:spacing w:line="480" w:lineRule="exact"/>
        <w:ind w:firstLine="0" w:firstLineChars="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8</w:t>
      </w:r>
      <w:r>
        <w:rPr>
          <w:rFonts w:eastAsia="黑体"/>
          <w:sz w:val="21"/>
          <w:szCs w:val="21"/>
          <w:highlight w:val="none"/>
        </w:rPr>
        <w:t>季小时平均风速的日变化表单位：m/s</w:t>
      </w:r>
    </w:p>
    <w:tbl>
      <w:tblPr>
        <w:tblStyle w:val="48"/>
        <w:tblW w:w="8529"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3"/>
        <w:gridCol w:w="649"/>
        <w:gridCol w:w="651"/>
        <w:gridCol w:w="652"/>
        <w:gridCol w:w="652"/>
        <w:gridCol w:w="652"/>
        <w:gridCol w:w="652"/>
        <w:gridCol w:w="652"/>
        <w:gridCol w:w="652"/>
        <w:gridCol w:w="652"/>
        <w:gridCol w:w="652"/>
        <w:gridCol w:w="652"/>
        <w:gridCol w:w="65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小时</w:t>
            </w:r>
          </w:p>
        </w:tc>
        <w:tc>
          <w:tcPr>
            <w:tcW w:w="649" w:type="dxa"/>
            <w:vAlign w:val="center"/>
          </w:tcPr>
          <w:p>
            <w:pPr>
              <w:spacing w:line="240" w:lineRule="auto"/>
              <w:ind w:firstLine="0" w:firstLineChars="0"/>
              <w:jc w:val="center"/>
              <w:rPr>
                <w:sz w:val="21"/>
                <w:szCs w:val="21"/>
                <w:highlight w:val="none"/>
              </w:rPr>
            </w:pPr>
            <w:r>
              <w:rPr>
                <w:sz w:val="21"/>
                <w:szCs w:val="21"/>
                <w:highlight w:val="none"/>
              </w:rPr>
              <w:t>1</w:t>
            </w:r>
          </w:p>
        </w:tc>
        <w:tc>
          <w:tcPr>
            <w:tcW w:w="651" w:type="dxa"/>
            <w:vAlign w:val="center"/>
          </w:tcPr>
          <w:p>
            <w:pPr>
              <w:spacing w:line="240" w:lineRule="auto"/>
              <w:ind w:firstLine="0" w:firstLineChars="0"/>
              <w:jc w:val="center"/>
              <w:rPr>
                <w:sz w:val="21"/>
                <w:szCs w:val="21"/>
                <w:highlight w:val="none"/>
              </w:rPr>
            </w:pPr>
            <w:r>
              <w:rPr>
                <w:sz w:val="21"/>
                <w:szCs w:val="21"/>
                <w:highlight w:val="none"/>
              </w:rPr>
              <w:t>2</w:t>
            </w:r>
          </w:p>
        </w:tc>
        <w:tc>
          <w:tcPr>
            <w:tcW w:w="652" w:type="dxa"/>
            <w:vAlign w:val="center"/>
          </w:tcPr>
          <w:p>
            <w:pPr>
              <w:spacing w:line="240" w:lineRule="auto"/>
              <w:ind w:firstLine="0" w:firstLineChars="0"/>
              <w:jc w:val="center"/>
              <w:rPr>
                <w:sz w:val="21"/>
                <w:szCs w:val="21"/>
                <w:highlight w:val="none"/>
              </w:rPr>
            </w:pPr>
            <w:r>
              <w:rPr>
                <w:sz w:val="21"/>
                <w:szCs w:val="21"/>
                <w:highlight w:val="none"/>
              </w:rPr>
              <w:t>3</w:t>
            </w:r>
          </w:p>
        </w:tc>
        <w:tc>
          <w:tcPr>
            <w:tcW w:w="652" w:type="dxa"/>
            <w:vAlign w:val="center"/>
          </w:tcPr>
          <w:p>
            <w:pPr>
              <w:spacing w:line="240" w:lineRule="auto"/>
              <w:ind w:firstLine="0" w:firstLineChars="0"/>
              <w:jc w:val="center"/>
              <w:rPr>
                <w:sz w:val="21"/>
                <w:szCs w:val="21"/>
                <w:highlight w:val="none"/>
              </w:rPr>
            </w:pPr>
            <w:r>
              <w:rPr>
                <w:sz w:val="21"/>
                <w:szCs w:val="21"/>
                <w:highlight w:val="none"/>
              </w:rPr>
              <w:t>4</w:t>
            </w:r>
          </w:p>
        </w:tc>
        <w:tc>
          <w:tcPr>
            <w:tcW w:w="652" w:type="dxa"/>
            <w:vAlign w:val="center"/>
          </w:tcPr>
          <w:p>
            <w:pPr>
              <w:spacing w:line="240" w:lineRule="auto"/>
              <w:ind w:firstLine="0" w:firstLineChars="0"/>
              <w:jc w:val="center"/>
              <w:rPr>
                <w:sz w:val="21"/>
                <w:szCs w:val="21"/>
                <w:highlight w:val="none"/>
              </w:rPr>
            </w:pPr>
            <w:r>
              <w:rPr>
                <w:sz w:val="21"/>
                <w:szCs w:val="21"/>
                <w:highlight w:val="none"/>
              </w:rPr>
              <w:t>5</w:t>
            </w:r>
          </w:p>
        </w:tc>
        <w:tc>
          <w:tcPr>
            <w:tcW w:w="652" w:type="dxa"/>
            <w:vAlign w:val="center"/>
          </w:tcPr>
          <w:p>
            <w:pPr>
              <w:spacing w:line="240" w:lineRule="auto"/>
              <w:ind w:firstLine="0" w:firstLineChars="0"/>
              <w:jc w:val="center"/>
              <w:rPr>
                <w:sz w:val="21"/>
                <w:szCs w:val="21"/>
                <w:highlight w:val="none"/>
              </w:rPr>
            </w:pPr>
            <w:r>
              <w:rPr>
                <w:sz w:val="21"/>
                <w:szCs w:val="21"/>
                <w:highlight w:val="none"/>
              </w:rPr>
              <w:t>6</w:t>
            </w:r>
          </w:p>
        </w:tc>
        <w:tc>
          <w:tcPr>
            <w:tcW w:w="652" w:type="dxa"/>
            <w:vAlign w:val="center"/>
          </w:tcPr>
          <w:p>
            <w:pPr>
              <w:spacing w:line="240" w:lineRule="auto"/>
              <w:ind w:firstLine="0" w:firstLineChars="0"/>
              <w:jc w:val="center"/>
              <w:rPr>
                <w:sz w:val="21"/>
                <w:szCs w:val="21"/>
                <w:highlight w:val="none"/>
              </w:rPr>
            </w:pPr>
            <w:r>
              <w:rPr>
                <w:sz w:val="21"/>
                <w:szCs w:val="21"/>
                <w:highlight w:val="none"/>
              </w:rPr>
              <w:t>7</w:t>
            </w:r>
          </w:p>
        </w:tc>
        <w:tc>
          <w:tcPr>
            <w:tcW w:w="652" w:type="dxa"/>
            <w:vAlign w:val="center"/>
          </w:tcPr>
          <w:p>
            <w:pPr>
              <w:spacing w:line="240" w:lineRule="auto"/>
              <w:ind w:firstLine="0" w:firstLineChars="0"/>
              <w:jc w:val="center"/>
              <w:rPr>
                <w:sz w:val="21"/>
                <w:szCs w:val="21"/>
                <w:highlight w:val="none"/>
              </w:rPr>
            </w:pPr>
            <w:r>
              <w:rPr>
                <w:sz w:val="21"/>
                <w:szCs w:val="21"/>
                <w:highlight w:val="none"/>
              </w:rPr>
              <w:t>8</w:t>
            </w:r>
          </w:p>
        </w:tc>
        <w:tc>
          <w:tcPr>
            <w:tcW w:w="652" w:type="dxa"/>
            <w:vAlign w:val="center"/>
          </w:tcPr>
          <w:p>
            <w:pPr>
              <w:spacing w:line="240" w:lineRule="auto"/>
              <w:ind w:firstLine="0" w:firstLineChars="0"/>
              <w:jc w:val="center"/>
              <w:rPr>
                <w:sz w:val="21"/>
                <w:szCs w:val="21"/>
                <w:highlight w:val="none"/>
              </w:rPr>
            </w:pPr>
            <w:r>
              <w:rPr>
                <w:sz w:val="21"/>
                <w:szCs w:val="21"/>
                <w:highlight w:val="none"/>
              </w:rPr>
              <w:t>9</w:t>
            </w:r>
          </w:p>
        </w:tc>
        <w:tc>
          <w:tcPr>
            <w:tcW w:w="652" w:type="dxa"/>
            <w:vAlign w:val="center"/>
          </w:tcPr>
          <w:p>
            <w:pPr>
              <w:spacing w:line="240" w:lineRule="auto"/>
              <w:ind w:firstLine="0" w:firstLineChars="0"/>
              <w:jc w:val="center"/>
              <w:rPr>
                <w:sz w:val="21"/>
                <w:szCs w:val="21"/>
                <w:highlight w:val="none"/>
              </w:rPr>
            </w:pPr>
            <w:r>
              <w:rPr>
                <w:sz w:val="21"/>
                <w:szCs w:val="21"/>
                <w:highlight w:val="none"/>
              </w:rPr>
              <w:t>10</w:t>
            </w:r>
          </w:p>
        </w:tc>
        <w:tc>
          <w:tcPr>
            <w:tcW w:w="652" w:type="dxa"/>
            <w:vAlign w:val="center"/>
          </w:tcPr>
          <w:p>
            <w:pPr>
              <w:spacing w:line="240" w:lineRule="auto"/>
              <w:ind w:firstLine="0" w:firstLineChars="0"/>
              <w:jc w:val="center"/>
              <w:rPr>
                <w:sz w:val="21"/>
                <w:szCs w:val="21"/>
                <w:highlight w:val="none"/>
              </w:rPr>
            </w:pPr>
            <w:r>
              <w:rPr>
                <w:sz w:val="21"/>
                <w:szCs w:val="21"/>
                <w:highlight w:val="none"/>
              </w:rPr>
              <w:t>11</w:t>
            </w:r>
          </w:p>
        </w:tc>
        <w:tc>
          <w:tcPr>
            <w:tcW w:w="658" w:type="dxa"/>
            <w:vAlign w:val="center"/>
          </w:tcPr>
          <w:p>
            <w:pPr>
              <w:spacing w:line="240" w:lineRule="auto"/>
              <w:ind w:firstLine="0" w:firstLineChars="0"/>
              <w:jc w:val="center"/>
              <w:rPr>
                <w:sz w:val="21"/>
                <w:szCs w:val="21"/>
                <w:highlight w:val="none"/>
              </w:rPr>
            </w:pPr>
            <w:r>
              <w:rPr>
                <w:sz w:val="21"/>
                <w:szCs w:val="21"/>
                <w:highlight w:val="none"/>
              </w:rPr>
              <w:t>12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春季</w:t>
            </w:r>
          </w:p>
        </w:tc>
        <w:tc>
          <w:tcPr>
            <w:tcW w:w="649" w:type="dxa"/>
            <w:vAlign w:val="center"/>
          </w:tcPr>
          <w:p>
            <w:pPr>
              <w:spacing w:line="240" w:lineRule="auto"/>
              <w:ind w:firstLine="0" w:firstLineChars="0"/>
              <w:jc w:val="center"/>
              <w:rPr>
                <w:sz w:val="21"/>
                <w:szCs w:val="21"/>
                <w:highlight w:val="none"/>
              </w:rPr>
            </w:pPr>
            <w:r>
              <w:rPr>
                <w:sz w:val="21"/>
                <w:szCs w:val="21"/>
                <w:highlight w:val="none"/>
              </w:rPr>
              <w:t>1.21</w:t>
            </w:r>
          </w:p>
        </w:tc>
        <w:tc>
          <w:tcPr>
            <w:tcW w:w="651" w:type="dxa"/>
            <w:vAlign w:val="center"/>
          </w:tcPr>
          <w:p>
            <w:pPr>
              <w:spacing w:line="240" w:lineRule="auto"/>
              <w:ind w:firstLine="0" w:firstLineChars="0"/>
              <w:jc w:val="center"/>
              <w:rPr>
                <w:sz w:val="21"/>
                <w:szCs w:val="21"/>
                <w:highlight w:val="none"/>
              </w:rPr>
            </w:pPr>
            <w:r>
              <w:rPr>
                <w:sz w:val="21"/>
                <w:szCs w:val="21"/>
                <w:highlight w:val="none"/>
              </w:rPr>
              <w:t>1.32</w:t>
            </w:r>
          </w:p>
        </w:tc>
        <w:tc>
          <w:tcPr>
            <w:tcW w:w="652" w:type="dxa"/>
            <w:vAlign w:val="center"/>
          </w:tcPr>
          <w:p>
            <w:pPr>
              <w:spacing w:line="240" w:lineRule="auto"/>
              <w:ind w:firstLine="0" w:firstLineChars="0"/>
              <w:jc w:val="center"/>
              <w:rPr>
                <w:sz w:val="21"/>
                <w:szCs w:val="21"/>
                <w:highlight w:val="none"/>
              </w:rPr>
            </w:pPr>
            <w:r>
              <w:rPr>
                <w:sz w:val="21"/>
                <w:szCs w:val="21"/>
                <w:highlight w:val="none"/>
              </w:rPr>
              <w:t>1.36</w:t>
            </w:r>
          </w:p>
        </w:tc>
        <w:tc>
          <w:tcPr>
            <w:tcW w:w="652" w:type="dxa"/>
            <w:vAlign w:val="center"/>
          </w:tcPr>
          <w:p>
            <w:pPr>
              <w:spacing w:line="240" w:lineRule="auto"/>
              <w:ind w:firstLine="0" w:firstLineChars="0"/>
              <w:jc w:val="center"/>
              <w:rPr>
                <w:sz w:val="21"/>
                <w:szCs w:val="21"/>
                <w:highlight w:val="none"/>
              </w:rPr>
            </w:pPr>
            <w:r>
              <w:rPr>
                <w:sz w:val="21"/>
                <w:szCs w:val="21"/>
                <w:highlight w:val="none"/>
              </w:rPr>
              <w:t>1.24</w:t>
            </w:r>
          </w:p>
        </w:tc>
        <w:tc>
          <w:tcPr>
            <w:tcW w:w="652" w:type="dxa"/>
            <w:vAlign w:val="center"/>
          </w:tcPr>
          <w:p>
            <w:pPr>
              <w:spacing w:line="240" w:lineRule="auto"/>
              <w:ind w:firstLine="0" w:firstLineChars="0"/>
              <w:jc w:val="center"/>
              <w:rPr>
                <w:sz w:val="21"/>
                <w:szCs w:val="21"/>
                <w:highlight w:val="none"/>
              </w:rPr>
            </w:pPr>
            <w:r>
              <w:rPr>
                <w:sz w:val="21"/>
                <w:szCs w:val="21"/>
                <w:highlight w:val="none"/>
              </w:rPr>
              <w:t>1.34</w:t>
            </w:r>
          </w:p>
        </w:tc>
        <w:tc>
          <w:tcPr>
            <w:tcW w:w="652" w:type="dxa"/>
            <w:vAlign w:val="center"/>
          </w:tcPr>
          <w:p>
            <w:pPr>
              <w:spacing w:line="240" w:lineRule="auto"/>
              <w:ind w:firstLine="0" w:firstLineChars="0"/>
              <w:jc w:val="center"/>
              <w:rPr>
                <w:sz w:val="21"/>
                <w:szCs w:val="21"/>
                <w:highlight w:val="none"/>
              </w:rPr>
            </w:pPr>
            <w:r>
              <w:rPr>
                <w:sz w:val="21"/>
                <w:szCs w:val="21"/>
                <w:highlight w:val="none"/>
              </w:rPr>
              <w:t>1.34</w:t>
            </w:r>
          </w:p>
        </w:tc>
        <w:tc>
          <w:tcPr>
            <w:tcW w:w="652" w:type="dxa"/>
            <w:vAlign w:val="center"/>
          </w:tcPr>
          <w:p>
            <w:pPr>
              <w:spacing w:line="240" w:lineRule="auto"/>
              <w:ind w:firstLine="0" w:firstLineChars="0"/>
              <w:jc w:val="center"/>
              <w:rPr>
                <w:sz w:val="21"/>
                <w:szCs w:val="21"/>
                <w:highlight w:val="none"/>
              </w:rPr>
            </w:pPr>
            <w:r>
              <w:rPr>
                <w:sz w:val="21"/>
                <w:szCs w:val="21"/>
                <w:highlight w:val="none"/>
              </w:rPr>
              <w:t>1.28</w:t>
            </w:r>
          </w:p>
        </w:tc>
        <w:tc>
          <w:tcPr>
            <w:tcW w:w="652" w:type="dxa"/>
            <w:vAlign w:val="center"/>
          </w:tcPr>
          <w:p>
            <w:pPr>
              <w:spacing w:line="240" w:lineRule="auto"/>
              <w:ind w:firstLine="0" w:firstLineChars="0"/>
              <w:jc w:val="center"/>
              <w:rPr>
                <w:sz w:val="21"/>
                <w:szCs w:val="21"/>
                <w:highlight w:val="none"/>
              </w:rPr>
            </w:pPr>
            <w:r>
              <w:rPr>
                <w:sz w:val="21"/>
                <w:szCs w:val="21"/>
                <w:highlight w:val="none"/>
              </w:rPr>
              <w:t>1.6</w:t>
            </w:r>
          </w:p>
        </w:tc>
        <w:tc>
          <w:tcPr>
            <w:tcW w:w="652" w:type="dxa"/>
            <w:vAlign w:val="center"/>
          </w:tcPr>
          <w:p>
            <w:pPr>
              <w:spacing w:line="240" w:lineRule="auto"/>
              <w:ind w:firstLine="0" w:firstLineChars="0"/>
              <w:jc w:val="center"/>
              <w:rPr>
                <w:sz w:val="21"/>
                <w:szCs w:val="21"/>
                <w:highlight w:val="none"/>
              </w:rPr>
            </w:pPr>
            <w:r>
              <w:rPr>
                <w:sz w:val="21"/>
                <w:szCs w:val="21"/>
                <w:highlight w:val="none"/>
              </w:rPr>
              <w:t>1.79</w:t>
            </w:r>
          </w:p>
        </w:tc>
        <w:tc>
          <w:tcPr>
            <w:tcW w:w="652" w:type="dxa"/>
            <w:vAlign w:val="center"/>
          </w:tcPr>
          <w:p>
            <w:pPr>
              <w:spacing w:line="240" w:lineRule="auto"/>
              <w:ind w:firstLine="0" w:firstLineChars="0"/>
              <w:jc w:val="center"/>
              <w:rPr>
                <w:sz w:val="21"/>
                <w:szCs w:val="21"/>
                <w:highlight w:val="none"/>
              </w:rPr>
            </w:pPr>
            <w:r>
              <w:rPr>
                <w:sz w:val="21"/>
                <w:szCs w:val="21"/>
                <w:highlight w:val="none"/>
              </w:rPr>
              <w:t>2.09</w:t>
            </w:r>
          </w:p>
        </w:tc>
        <w:tc>
          <w:tcPr>
            <w:tcW w:w="652" w:type="dxa"/>
            <w:vAlign w:val="center"/>
          </w:tcPr>
          <w:p>
            <w:pPr>
              <w:spacing w:line="240" w:lineRule="auto"/>
              <w:ind w:firstLine="0" w:firstLineChars="0"/>
              <w:jc w:val="center"/>
              <w:rPr>
                <w:sz w:val="21"/>
                <w:szCs w:val="21"/>
                <w:highlight w:val="none"/>
              </w:rPr>
            </w:pPr>
            <w:r>
              <w:rPr>
                <w:sz w:val="21"/>
                <w:szCs w:val="21"/>
                <w:highlight w:val="none"/>
              </w:rPr>
              <w:t>2.4</w:t>
            </w:r>
          </w:p>
        </w:tc>
        <w:tc>
          <w:tcPr>
            <w:tcW w:w="658" w:type="dxa"/>
            <w:vAlign w:val="center"/>
          </w:tcPr>
          <w:p>
            <w:pPr>
              <w:spacing w:line="240" w:lineRule="auto"/>
              <w:ind w:firstLine="0" w:firstLineChars="0"/>
              <w:jc w:val="center"/>
              <w:rPr>
                <w:sz w:val="21"/>
                <w:szCs w:val="21"/>
                <w:highlight w:val="none"/>
              </w:rPr>
            </w:pPr>
            <w:r>
              <w:rPr>
                <w:sz w:val="21"/>
                <w:szCs w:val="21"/>
                <w:highlight w:val="none"/>
              </w:rPr>
              <w:t>2.63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夏季</w:t>
            </w:r>
          </w:p>
        </w:tc>
        <w:tc>
          <w:tcPr>
            <w:tcW w:w="649" w:type="dxa"/>
            <w:vAlign w:val="center"/>
          </w:tcPr>
          <w:p>
            <w:pPr>
              <w:spacing w:line="240" w:lineRule="auto"/>
              <w:ind w:firstLine="0" w:firstLineChars="0"/>
              <w:jc w:val="center"/>
              <w:rPr>
                <w:sz w:val="21"/>
                <w:szCs w:val="21"/>
                <w:highlight w:val="none"/>
              </w:rPr>
            </w:pPr>
            <w:r>
              <w:rPr>
                <w:sz w:val="21"/>
                <w:szCs w:val="21"/>
                <w:highlight w:val="none"/>
              </w:rPr>
              <w:t>1.06</w:t>
            </w:r>
          </w:p>
        </w:tc>
        <w:tc>
          <w:tcPr>
            <w:tcW w:w="651" w:type="dxa"/>
            <w:vAlign w:val="center"/>
          </w:tcPr>
          <w:p>
            <w:pPr>
              <w:spacing w:line="240" w:lineRule="auto"/>
              <w:ind w:firstLine="0" w:firstLineChars="0"/>
              <w:jc w:val="center"/>
              <w:rPr>
                <w:sz w:val="21"/>
                <w:szCs w:val="21"/>
                <w:highlight w:val="none"/>
              </w:rPr>
            </w:pPr>
            <w:r>
              <w:rPr>
                <w:sz w:val="21"/>
                <w:szCs w:val="21"/>
                <w:highlight w:val="none"/>
              </w:rPr>
              <w:t>1.05</w:t>
            </w:r>
          </w:p>
        </w:tc>
        <w:tc>
          <w:tcPr>
            <w:tcW w:w="652" w:type="dxa"/>
            <w:vAlign w:val="center"/>
          </w:tcPr>
          <w:p>
            <w:pPr>
              <w:spacing w:line="240" w:lineRule="auto"/>
              <w:ind w:firstLine="0" w:firstLineChars="0"/>
              <w:jc w:val="center"/>
              <w:rPr>
                <w:sz w:val="21"/>
                <w:szCs w:val="21"/>
                <w:highlight w:val="none"/>
              </w:rPr>
            </w:pPr>
            <w:r>
              <w:rPr>
                <w:sz w:val="21"/>
                <w:szCs w:val="21"/>
                <w:highlight w:val="none"/>
              </w:rPr>
              <w:t>1.12</w:t>
            </w:r>
          </w:p>
        </w:tc>
        <w:tc>
          <w:tcPr>
            <w:tcW w:w="652" w:type="dxa"/>
            <w:vAlign w:val="center"/>
          </w:tcPr>
          <w:p>
            <w:pPr>
              <w:spacing w:line="240" w:lineRule="auto"/>
              <w:ind w:firstLine="0" w:firstLineChars="0"/>
              <w:jc w:val="center"/>
              <w:rPr>
                <w:sz w:val="21"/>
                <w:szCs w:val="21"/>
                <w:highlight w:val="none"/>
              </w:rPr>
            </w:pPr>
            <w:r>
              <w:rPr>
                <w:sz w:val="21"/>
                <w:szCs w:val="21"/>
                <w:highlight w:val="none"/>
              </w:rPr>
              <w:t>1.03</w:t>
            </w:r>
          </w:p>
        </w:tc>
        <w:tc>
          <w:tcPr>
            <w:tcW w:w="652" w:type="dxa"/>
            <w:vAlign w:val="center"/>
          </w:tcPr>
          <w:p>
            <w:pPr>
              <w:spacing w:line="240" w:lineRule="auto"/>
              <w:ind w:firstLine="0" w:firstLineChars="0"/>
              <w:jc w:val="center"/>
              <w:rPr>
                <w:sz w:val="21"/>
                <w:szCs w:val="21"/>
                <w:highlight w:val="none"/>
              </w:rPr>
            </w:pPr>
            <w:r>
              <w:rPr>
                <w:sz w:val="21"/>
                <w:szCs w:val="21"/>
                <w:highlight w:val="none"/>
              </w:rPr>
              <w:t>1.04</w:t>
            </w:r>
          </w:p>
        </w:tc>
        <w:tc>
          <w:tcPr>
            <w:tcW w:w="652" w:type="dxa"/>
            <w:vAlign w:val="center"/>
          </w:tcPr>
          <w:p>
            <w:pPr>
              <w:spacing w:line="240" w:lineRule="auto"/>
              <w:ind w:firstLine="0" w:firstLineChars="0"/>
              <w:jc w:val="center"/>
              <w:rPr>
                <w:sz w:val="21"/>
                <w:szCs w:val="21"/>
                <w:highlight w:val="none"/>
              </w:rPr>
            </w:pPr>
            <w:r>
              <w:rPr>
                <w:sz w:val="21"/>
                <w:szCs w:val="21"/>
                <w:highlight w:val="none"/>
              </w:rPr>
              <w:t>1.03</w:t>
            </w:r>
          </w:p>
        </w:tc>
        <w:tc>
          <w:tcPr>
            <w:tcW w:w="652" w:type="dxa"/>
            <w:vAlign w:val="center"/>
          </w:tcPr>
          <w:p>
            <w:pPr>
              <w:spacing w:line="240" w:lineRule="auto"/>
              <w:ind w:firstLine="0" w:firstLineChars="0"/>
              <w:jc w:val="center"/>
              <w:rPr>
                <w:sz w:val="21"/>
                <w:szCs w:val="21"/>
                <w:highlight w:val="none"/>
              </w:rPr>
            </w:pPr>
            <w:r>
              <w:rPr>
                <w:sz w:val="21"/>
                <w:szCs w:val="21"/>
                <w:highlight w:val="none"/>
              </w:rPr>
              <w:t>1.14</w:t>
            </w:r>
          </w:p>
        </w:tc>
        <w:tc>
          <w:tcPr>
            <w:tcW w:w="652" w:type="dxa"/>
            <w:vAlign w:val="center"/>
          </w:tcPr>
          <w:p>
            <w:pPr>
              <w:spacing w:line="240" w:lineRule="auto"/>
              <w:ind w:firstLine="0" w:firstLineChars="0"/>
              <w:jc w:val="center"/>
              <w:rPr>
                <w:sz w:val="21"/>
                <w:szCs w:val="21"/>
                <w:highlight w:val="none"/>
              </w:rPr>
            </w:pPr>
            <w:r>
              <w:rPr>
                <w:sz w:val="21"/>
                <w:szCs w:val="21"/>
                <w:highlight w:val="none"/>
              </w:rPr>
              <w:t>1.27</w:t>
            </w:r>
          </w:p>
        </w:tc>
        <w:tc>
          <w:tcPr>
            <w:tcW w:w="652" w:type="dxa"/>
            <w:vAlign w:val="center"/>
          </w:tcPr>
          <w:p>
            <w:pPr>
              <w:spacing w:line="240" w:lineRule="auto"/>
              <w:ind w:firstLine="0" w:firstLineChars="0"/>
              <w:jc w:val="center"/>
              <w:rPr>
                <w:sz w:val="21"/>
                <w:szCs w:val="21"/>
                <w:highlight w:val="none"/>
              </w:rPr>
            </w:pPr>
            <w:r>
              <w:rPr>
                <w:sz w:val="21"/>
                <w:szCs w:val="21"/>
                <w:highlight w:val="none"/>
              </w:rPr>
              <w:t>1.48</w:t>
            </w:r>
          </w:p>
        </w:tc>
        <w:tc>
          <w:tcPr>
            <w:tcW w:w="652" w:type="dxa"/>
            <w:vAlign w:val="center"/>
          </w:tcPr>
          <w:p>
            <w:pPr>
              <w:spacing w:line="240" w:lineRule="auto"/>
              <w:ind w:firstLine="0" w:firstLineChars="0"/>
              <w:jc w:val="center"/>
              <w:rPr>
                <w:sz w:val="21"/>
                <w:szCs w:val="21"/>
                <w:highlight w:val="none"/>
              </w:rPr>
            </w:pPr>
            <w:r>
              <w:rPr>
                <w:sz w:val="21"/>
                <w:szCs w:val="21"/>
                <w:highlight w:val="none"/>
              </w:rPr>
              <w:t>1.68</w:t>
            </w:r>
          </w:p>
        </w:tc>
        <w:tc>
          <w:tcPr>
            <w:tcW w:w="652" w:type="dxa"/>
            <w:vAlign w:val="center"/>
          </w:tcPr>
          <w:p>
            <w:pPr>
              <w:spacing w:line="240" w:lineRule="auto"/>
              <w:ind w:firstLine="0" w:firstLineChars="0"/>
              <w:jc w:val="center"/>
              <w:rPr>
                <w:sz w:val="21"/>
                <w:szCs w:val="21"/>
                <w:highlight w:val="none"/>
              </w:rPr>
            </w:pPr>
            <w:r>
              <w:rPr>
                <w:sz w:val="21"/>
                <w:szCs w:val="21"/>
                <w:highlight w:val="none"/>
              </w:rPr>
              <w:t>1.92</w:t>
            </w:r>
          </w:p>
        </w:tc>
        <w:tc>
          <w:tcPr>
            <w:tcW w:w="658" w:type="dxa"/>
            <w:vAlign w:val="center"/>
          </w:tcPr>
          <w:p>
            <w:pPr>
              <w:spacing w:line="240" w:lineRule="auto"/>
              <w:ind w:firstLine="0" w:firstLineChars="0"/>
              <w:jc w:val="center"/>
              <w:rPr>
                <w:sz w:val="21"/>
                <w:szCs w:val="21"/>
                <w:highlight w:val="none"/>
              </w:rPr>
            </w:pPr>
            <w:r>
              <w:rPr>
                <w:sz w:val="21"/>
                <w:szCs w:val="21"/>
                <w:highlight w:val="none"/>
              </w:rPr>
              <w:t>2.35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秋季</w:t>
            </w:r>
          </w:p>
        </w:tc>
        <w:tc>
          <w:tcPr>
            <w:tcW w:w="649" w:type="dxa"/>
            <w:vAlign w:val="center"/>
          </w:tcPr>
          <w:p>
            <w:pPr>
              <w:spacing w:line="240" w:lineRule="auto"/>
              <w:ind w:firstLine="0" w:firstLineChars="0"/>
              <w:jc w:val="center"/>
              <w:rPr>
                <w:sz w:val="21"/>
                <w:szCs w:val="21"/>
                <w:highlight w:val="none"/>
              </w:rPr>
            </w:pPr>
            <w:r>
              <w:rPr>
                <w:sz w:val="21"/>
                <w:szCs w:val="21"/>
                <w:highlight w:val="none"/>
              </w:rPr>
              <w:t>0.96</w:t>
            </w:r>
          </w:p>
        </w:tc>
        <w:tc>
          <w:tcPr>
            <w:tcW w:w="651" w:type="dxa"/>
            <w:vAlign w:val="center"/>
          </w:tcPr>
          <w:p>
            <w:pPr>
              <w:spacing w:line="240" w:lineRule="auto"/>
              <w:ind w:firstLine="0" w:firstLineChars="0"/>
              <w:jc w:val="center"/>
              <w:rPr>
                <w:sz w:val="21"/>
                <w:szCs w:val="21"/>
                <w:highlight w:val="none"/>
              </w:rPr>
            </w:pPr>
            <w:r>
              <w:rPr>
                <w:sz w:val="21"/>
                <w:szCs w:val="21"/>
                <w:highlight w:val="none"/>
              </w:rPr>
              <w:t>1</w:t>
            </w:r>
          </w:p>
        </w:tc>
        <w:tc>
          <w:tcPr>
            <w:tcW w:w="652" w:type="dxa"/>
            <w:vAlign w:val="center"/>
          </w:tcPr>
          <w:p>
            <w:pPr>
              <w:spacing w:line="240" w:lineRule="auto"/>
              <w:ind w:firstLine="0" w:firstLineChars="0"/>
              <w:jc w:val="center"/>
              <w:rPr>
                <w:sz w:val="21"/>
                <w:szCs w:val="21"/>
                <w:highlight w:val="none"/>
              </w:rPr>
            </w:pPr>
            <w:r>
              <w:rPr>
                <w:sz w:val="21"/>
                <w:szCs w:val="21"/>
                <w:highlight w:val="none"/>
              </w:rPr>
              <w:t>0.94</w:t>
            </w:r>
          </w:p>
        </w:tc>
        <w:tc>
          <w:tcPr>
            <w:tcW w:w="652" w:type="dxa"/>
            <w:vAlign w:val="center"/>
          </w:tcPr>
          <w:p>
            <w:pPr>
              <w:spacing w:line="240" w:lineRule="auto"/>
              <w:ind w:firstLine="0" w:firstLineChars="0"/>
              <w:jc w:val="center"/>
              <w:rPr>
                <w:sz w:val="21"/>
                <w:szCs w:val="21"/>
                <w:highlight w:val="none"/>
              </w:rPr>
            </w:pPr>
            <w:r>
              <w:rPr>
                <w:sz w:val="21"/>
                <w:szCs w:val="21"/>
                <w:highlight w:val="none"/>
              </w:rPr>
              <w:t>0.94</w:t>
            </w:r>
          </w:p>
        </w:tc>
        <w:tc>
          <w:tcPr>
            <w:tcW w:w="652" w:type="dxa"/>
            <w:vAlign w:val="center"/>
          </w:tcPr>
          <w:p>
            <w:pPr>
              <w:spacing w:line="240" w:lineRule="auto"/>
              <w:ind w:firstLine="0" w:firstLineChars="0"/>
              <w:jc w:val="center"/>
              <w:rPr>
                <w:sz w:val="21"/>
                <w:szCs w:val="21"/>
                <w:highlight w:val="none"/>
              </w:rPr>
            </w:pPr>
            <w:r>
              <w:rPr>
                <w:sz w:val="21"/>
                <w:szCs w:val="21"/>
                <w:highlight w:val="none"/>
              </w:rPr>
              <w:t>0.92</w:t>
            </w:r>
          </w:p>
        </w:tc>
        <w:tc>
          <w:tcPr>
            <w:tcW w:w="652" w:type="dxa"/>
            <w:vAlign w:val="center"/>
          </w:tcPr>
          <w:p>
            <w:pPr>
              <w:spacing w:line="240" w:lineRule="auto"/>
              <w:ind w:firstLine="0" w:firstLineChars="0"/>
              <w:jc w:val="center"/>
              <w:rPr>
                <w:sz w:val="21"/>
                <w:szCs w:val="21"/>
                <w:highlight w:val="none"/>
              </w:rPr>
            </w:pPr>
            <w:r>
              <w:rPr>
                <w:sz w:val="21"/>
                <w:szCs w:val="21"/>
                <w:highlight w:val="none"/>
              </w:rPr>
              <w:t>0.9</w:t>
            </w:r>
          </w:p>
        </w:tc>
        <w:tc>
          <w:tcPr>
            <w:tcW w:w="652" w:type="dxa"/>
            <w:vAlign w:val="center"/>
          </w:tcPr>
          <w:p>
            <w:pPr>
              <w:spacing w:line="240" w:lineRule="auto"/>
              <w:ind w:firstLine="0" w:firstLineChars="0"/>
              <w:jc w:val="center"/>
              <w:rPr>
                <w:sz w:val="21"/>
                <w:szCs w:val="21"/>
                <w:highlight w:val="none"/>
              </w:rPr>
            </w:pPr>
            <w:r>
              <w:rPr>
                <w:sz w:val="21"/>
                <w:szCs w:val="21"/>
                <w:highlight w:val="none"/>
              </w:rPr>
              <w:t>0.95</w:t>
            </w:r>
          </w:p>
        </w:tc>
        <w:tc>
          <w:tcPr>
            <w:tcW w:w="652" w:type="dxa"/>
            <w:vAlign w:val="center"/>
          </w:tcPr>
          <w:p>
            <w:pPr>
              <w:spacing w:line="240" w:lineRule="auto"/>
              <w:ind w:firstLine="0" w:firstLineChars="0"/>
              <w:jc w:val="center"/>
              <w:rPr>
                <w:sz w:val="21"/>
                <w:szCs w:val="21"/>
                <w:highlight w:val="none"/>
              </w:rPr>
            </w:pPr>
            <w:r>
              <w:rPr>
                <w:sz w:val="21"/>
                <w:szCs w:val="21"/>
                <w:highlight w:val="none"/>
              </w:rPr>
              <w:t>1.06</w:t>
            </w:r>
          </w:p>
        </w:tc>
        <w:tc>
          <w:tcPr>
            <w:tcW w:w="652" w:type="dxa"/>
            <w:vAlign w:val="center"/>
          </w:tcPr>
          <w:p>
            <w:pPr>
              <w:spacing w:line="240" w:lineRule="auto"/>
              <w:ind w:firstLine="0" w:firstLineChars="0"/>
              <w:jc w:val="center"/>
              <w:rPr>
                <w:sz w:val="21"/>
                <w:szCs w:val="21"/>
                <w:highlight w:val="none"/>
              </w:rPr>
            </w:pPr>
            <w:r>
              <w:rPr>
                <w:sz w:val="21"/>
                <w:szCs w:val="21"/>
                <w:highlight w:val="none"/>
              </w:rPr>
              <w:t>1.13</w:t>
            </w:r>
          </w:p>
        </w:tc>
        <w:tc>
          <w:tcPr>
            <w:tcW w:w="652" w:type="dxa"/>
            <w:vAlign w:val="center"/>
          </w:tcPr>
          <w:p>
            <w:pPr>
              <w:spacing w:line="240" w:lineRule="auto"/>
              <w:ind w:firstLine="0" w:firstLineChars="0"/>
              <w:jc w:val="center"/>
              <w:rPr>
                <w:sz w:val="21"/>
                <w:szCs w:val="21"/>
                <w:highlight w:val="none"/>
              </w:rPr>
            </w:pPr>
            <w:r>
              <w:rPr>
                <w:sz w:val="21"/>
                <w:szCs w:val="21"/>
                <w:highlight w:val="none"/>
              </w:rPr>
              <w:t>1.37</w:t>
            </w:r>
          </w:p>
        </w:tc>
        <w:tc>
          <w:tcPr>
            <w:tcW w:w="652" w:type="dxa"/>
            <w:vAlign w:val="center"/>
          </w:tcPr>
          <w:p>
            <w:pPr>
              <w:spacing w:line="240" w:lineRule="auto"/>
              <w:ind w:firstLine="0" w:firstLineChars="0"/>
              <w:jc w:val="center"/>
              <w:rPr>
                <w:sz w:val="21"/>
                <w:szCs w:val="21"/>
                <w:highlight w:val="none"/>
              </w:rPr>
            </w:pPr>
            <w:r>
              <w:rPr>
                <w:sz w:val="21"/>
                <w:szCs w:val="21"/>
                <w:highlight w:val="none"/>
              </w:rPr>
              <w:t>1.71</w:t>
            </w:r>
          </w:p>
        </w:tc>
        <w:tc>
          <w:tcPr>
            <w:tcW w:w="658" w:type="dxa"/>
            <w:vAlign w:val="center"/>
          </w:tcPr>
          <w:p>
            <w:pPr>
              <w:spacing w:line="240" w:lineRule="auto"/>
              <w:ind w:firstLine="0" w:firstLineChars="0"/>
              <w:jc w:val="center"/>
              <w:rPr>
                <w:sz w:val="21"/>
                <w:szCs w:val="21"/>
                <w:highlight w:val="none"/>
              </w:rPr>
            </w:pPr>
            <w:r>
              <w:rPr>
                <w:sz w:val="21"/>
                <w:szCs w:val="21"/>
                <w:highlight w:val="none"/>
              </w:rPr>
              <w:t>1.81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冬季</w:t>
            </w:r>
          </w:p>
        </w:tc>
        <w:tc>
          <w:tcPr>
            <w:tcW w:w="649" w:type="dxa"/>
            <w:vAlign w:val="center"/>
          </w:tcPr>
          <w:p>
            <w:pPr>
              <w:spacing w:line="240" w:lineRule="auto"/>
              <w:ind w:firstLine="0" w:firstLineChars="0"/>
              <w:jc w:val="center"/>
              <w:rPr>
                <w:sz w:val="21"/>
                <w:szCs w:val="21"/>
                <w:highlight w:val="none"/>
              </w:rPr>
            </w:pPr>
            <w:r>
              <w:rPr>
                <w:sz w:val="21"/>
                <w:szCs w:val="21"/>
                <w:highlight w:val="none"/>
              </w:rPr>
              <w:t>1.39</w:t>
            </w:r>
          </w:p>
        </w:tc>
        <w:tc>
          <w:tcPr>
            <w:tcW w:w="651" w:type="dxa"/>
            <w:vAlign w:val="center"/>
          </w:tcPr>
          <w:p>
            <w:pPr>
              <w:spacing w:line="240" w:lineRule="auto"/>
              <w:ind w:firstLine="0" w:firstLineChars="0"/>
              <w:jc w:val="center"/>
              <w:rPr>
                <w:sz w:val="21"/>
                <w:szCs w:val="21"/>
                <w:highlight w:val="none"/>
              </w:rPr>
            </w:pPr>
            <w:r>
              <w:rPr>
                <w:sz w:val="21"/>
                <w:szCs w:val="21"/>
                <w:highlight w:val="none"/>
              </w:rPr>
              <w:t>1.37</w:t>
            </w:r>
          </w:p>
        </w:tc>
        <w:tc>
          <w:tcPr>
            <w:tcW w:w="652" w:type="dxa"/>
            <w:vAlign w:val="center"/>
          </w:tcPr>
          <w:p>
            <w:pPr>
              <w:spacing w:line="240" w:lineRule="auto"/>
              <w:ind w:firstLine="0" w:firstLineChars="0"/>
              <w:jc w:val="center"/>
              <w:rPr>
                <w:sz w:val="21"/>
                <w:szCs w:val="21"/>
                <w:highlight w:val="none"/>
              </w:rPr>
            </w:pPr>
            <w:r>
              <w:rPr>
                <w:sz w:val="21"/>
                <w:szCs w:val="21"/>
                <w:highlight w:val="none"/>
              </w:rPr>
              <w:t>1.22</w:t>
            </w:r>
          </w:p>
        </w:tc>
        <w:tc>
          <w:tcPr>
            <w:tcW w:w="652" w:type="dxa"/>
            <w:vAlign w:val="center"/>
          </w:tcPr>
          <w:p>
            <w:pPr>
              <w:spacing w:line="240" w:lineRule="auto"/>
              <w:ind w:firstLine="0" w:firstLineChars="0"/>
              <w:jc w:val="center"/>
              <w:rPr>
                <w:sz w:val="21"/>
                <w:szCs w:val="21"/>
                <w:highlight w:val="none"/>
              </w:rPr>
            </w:pPr>
            <w:r>
              <w:rPr>
                <w:sz w:val="21"/>
                <w:szCs w:val="21"/>
                <w:highlight w:val="none"/>
              </w:rPr>
              <w:t>1.18</w:t>
            </w:r>
          </w:p>
        </w:tc>
        <w:tc>
          <w:tcPr>
            <w:tcW w:w="652" w:type="dxa"/>
            <w:vAlign w:val="center"/>
          </w:tcPr>
          <w:p>
            <w:pPr>
              <w:spacing w:line="240" w:lineRule="auto"/>
              <w:ind w:firstLine="0" w:firstLineChars="0"/>
              <w:jc w:val="center"/>
              <w:rPr>
                <w:sz w:val="21"/>
                <w:szCs w:val="21"/>
                <w:highlight w:val="none"/>
              </w:rPr>
            </w:pPr>
            <w:r>
              <w:rPr>
                <w:sz w:val="21"/>
                <w:szCs w:val="21"/>
                <w:highlight w:val="none"/>
              </w:rPr>
              <w:t>1.14</w:t>
            </w:r>
          </w:p>
        </w:tc>
        <w:tc>
          <w:tcPr>
            <w:tcW w:w="652" w:type="dxa"/>
            <w:vAlign w:val="center"/>
          </w:tcPr>
          <w:p>
            <w:pPr>
              <w:spacing w:line="240" w:lineRule="auto"/>
              <w:ind w:firstLine="0" w:firstLineChars="0"/>
              <w:jc w:val="center"/>
              <w:rPr>
                <w:sz w:val="21"/>
                <w:szCs w:val="21"/>
                <w:highlight w:val="none"/>
              </w:rPr>
            </w:pPr>
            <w:r>
              <w:rPr>
                <w:sz w:val="21"/>
                <w:szCs w:val="21"/>
                <w:highlight w:val="none"/>
              </w:rPr>
              <w:t>1.22</w:t>
            </w:r>
          </w:p>
        </w:tc>
        <w:tc>
          <w:tcPr>
            <w:tcW w:w="652" w:type="dxa"/>
            <w:vAlign w:val="center"/>
          </w:tcPr>
          <w:p>
            <w:pPr>
              <w:spacing w:line="240" w:lineRule="auto"/>
              <w:ind w:firstLine="0" w:firstLineChars="0"/>
              <w:jc w:val="center"/>
              <w:rPr>
                <w:sz w:val="21"/>
                <w:szCs w:val="21"/>
                <w:highlight w:val="none"/>
              </w:rPr>
            </w:pPr>
            <w:r>
              <w:rPr>
                <w:sz w:val="21"/>
                <w:szCs w:val="21"/>
                <w:highlight w:val="none"/>
              </w:rPr>
              <w:t>1.22</w:t>
            </w:r>
          </w:p>
        </w:tc>
        <w:tc>
          <w:tcPr>
            <w:tcW w:w="652" w:type="dxa"/>
            <w:vAlign w:val="center"/>
          </w:tcPr>
          <w:p>
            <w:pPr>
              <w:spacing w:line="240" w:lineRule="auto"/>
              <w:ind w:firstLine="0" w:firstLineChars="0"/>
              <w:jc w:val="center"/>
              <w:rPr>
                <w:sz w:val="21"/>
                <w:szCs w:val="21"/>
                <w:highlight w:val="none"/>
              </w:rPr>
            </w:pPr>
            <w:r>
              <w:rPr>
                <w:sz w:val="21"/>
                <w:szCs w:val="21"/>
                <w:highlight w:val="none"/>
              </w:rPr>
              <w:t>1.18</w:t>
            </w:r>
          </w:p>
        </w:tc>
        <w:tc>
          <w:tcPr>
            <w:tcW w:w="652" w:type="dxa"/>
            <w:vAlign w:val="center"/>
          </w:tcPr>
          <w:p>
            <w:pPr>
              <w:spacing w:line="240" w:lineRule="auto"/>
              <w:ind w:firstLine="0" w:firstLineChars="0"/>
              <w:jc w:val="center"/>
              <w:rPr>
                <w:sz w:val="21"/>
                <w:szCs w:val="21"/>
                <w:highlight w:val="none"/>
              </w:rPr>
            </w:pPr>
            <w:r>
              <w:rPr>
                <w:sz w:val="21"/>
                <w:szCs w:val="21"/>
                <w:highlight w:val="none"/>
              </w:rPr>
              <w:t>1.43</w:t>
            </w:r>
          </w:p>
        </w:tc>
        <w:tc>
          <w:tcPr>
            <w:tcW w:w="652" w:type="dxa"/>
            <w:vAlign w:val="center"/>
          </w:tcPr>
          <w:p>
            <w:pPr>
              <w:spacing w:line="240" w:lineRule="auto"/>
              <w:ind w:firstLine="0" w:firstLineChars="0"/>
              <w:jc w:val="center"/>
              <w:rPr>
                <w:sz w:val="21"/>
                <w:szCs w:val="21"/>
                <w:highlight w:val="none"/>
              </w:rPr>
            </w:pPr>
            <w:r>
              <w:rPr>
                <w:sz w:val="21"/>
                <w:szCs w:val="21"/>
                <w:highlight w:val="none"/>
              </w:rPr>
              <w:t>1.54</w:t>
            </w:r>
          </w:p>
        </w:tc>
        <w:tc>
          <w:tcPr>
            <w:tcW w:w="652" w:type="dxa"/>
            <w:vAlign w:val="center"/>
          </w:tcPr>
          <w:p>
            <w:pPr>
              <w:spacing w:line="240" w:lineRule="auto"/>
              <w:ind w:firstLine="0" w:firstLineChars="0"/>
              <w:jc w:val="center"/>
              <w:rPr>
                <w:sz w:val="21"/>
                <w:szCs w:val="21"/>
                <w:highlight w:val="none"/>
              </w:rPr>
            </w:pPr>
            <w:r>
              <w:rPr>
                <w:sz w:val="21"/>
                <w:szCs w:val="21"/>
                <w:highlight w:val="none"/>
              </w:rPr>
              <w:t>1.74</w:t>
            </w:r>
          </w:p>
        </w:tc>
        <w:tc>
          <w:tcPr>
            <w:tcW w:w="658" w:type="dxa"/>
            <w:vAlign w:val="center"/>
          </w:tcPr>
          <w:p>
            <w:pPr>
              <w:spacing w:line="240" w:lineRule="auto"/>
              <w:ind w:firstLine="0" w:firstLineChars="0"/>
              <w:jc w:val="center"/>
              <w:rPr>
                <w:sz w:val="21"/>
                <w:szCs w:val="21"/>
                <w:highlight w:val="none"/>
              </w:rPr>
            </w:pPr>
            <w:r>
              <w:rPr>
                <w:sz w:val="21"/>
                <w:szCs w:val="21"/>
                <w:highlight w:val="none"/>
              </w:rPr>
              <w:t>1.88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529" w:type="dxa"/>
            <w:gridSpan w:val="13"/>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小时</w:t>
            </w:r>
          </w:p>
        </w:tc>
        <w:tc>
          <w:tcPr>
            <w:tcW w:w="649" w:type="dxa"/>
            <w:vAlign w:val="center"/>
          </w:tcPr>
          <w:p>
            <w:pPr>
              <w:spacing w:line="240" w:lineRule="auto"/>
              <w:ind w:firstLine="0" w:firstLineChars="0"/>
              <w:jc w:val="center"/>
              <w:rPr>
                <w:sz w:val="21"/>
                <w:szCs w:val="21"/>
                <w:highlight w:val="none"/>
              </w:rPr>
            </w:pPr>
            <w:r>
              <w:rPr>
                <w:sz w:val="21"/>
                <w:szCs w:val="21"/>
                <w:highlight w:val="none"/>
              </w:rPr>
              <w:t>13</w:t>
            </w:r>
          </w:p>
        </w:tc>
        <w:tc>
          <w:tcPr>
            <w:tcW w:w="651" w:type="dxa"/>
            <w:vAlign w:val="center"/>
          </w:tcPr>
          <w:p>
            <w:pPr>
              <w:spacing w:line="240" w:lineRule="auto"/>
              <w:ind w:firstLine="0" w:firstLineChars="0"/>
              <w:jc w:val="center"/>
              <w:rPr>
                <w:sz w:val="21"/>
                <w:szCs w:val="21"/>
                <w:highlight w:val="none"/>
              </w:rPr>
            </w:pPr>
            <w:r>
              <w:rPr>
                <w:sz w:val="21"/>
                <w:szCs w:val="21"/>
                <w:highlight w:val="none"/>
              </w:rPr>
              <w:t>14</w:t>
            </w:r>
          </w:p>
        </w:tc>
        <w:tc>
          <w:tcPr>
            <w:tcW w:w="652" w:type="dxa"/>
            <w:vAlign w:val="center"/>
          </w:tcPr>
          <w:p>
            <w:pPr>
              <w:spacing w:line="240" w:lineRule="auto"/>
              <w:ind w:firstLine="0" w:firstLineChars="0"/>
              <w:jc w:val="center"/>
              <w:rPr>
                <w:sz w:val="21"/>
                <w:szCs w:val="21"/>
                <w:highlight w:val="none"/>
              </w:rPr>
            </w:pPr>
            <w:r>
              <w:rPr>
                <w:sz w:val="21"/>
                <w:szCs w:val="21"/>
                <w:highlight w:val="none"/>
              </w:rPr>
              <w:t>15</w:t>
            </w:r>
          </w:p>
        </w:tc>
        <w:tc>
          <w:tcPr>
            <w:tcW w:w="652" w:type="dxa"/>
            <w:vAlign w:val="center"/>
          </w:tcPr>
          <w:p>
            <w:pPr>
              <w:spacing w:line="240" w:lineRule="auto"/>
              <w:ind w:firstLine="0" w:firstLineChars="0"/>
              <w:jc w:val="center"/>
              <w:rPr>
                <w:sz w:val="21"/>
                <w:szCs w:val="21"/>
                <w:highlight w:val="none"/>
              </w:rPr>
            </w:pPr>
            <w:r>
              <w:rPr>
                <w:sz w:val="21"/>
                <w:szCs w:val="21"/>
                <w:highlight w:val="none"/>
              </w:rPr>
              <w:t>16</w:t>
            </w:r>
          </w:p>
        </w:tc>
        <w:tc>
          <w:tcPr>
            <w:tcW w:w="652" w:type="dxa"/>
            <w:vAlign w:val="center"/>
          </w:tcPr>
          <w:p>
            <w:pPr>
              <w:spacing w:line="240" w:lineRule="auto"/>
              <w:ind w:firstLine="0" w:firstLineChars="0"/>
              <w:jc w:val="center"/>
              <w:rPr>
                <w:sz w:val="21"/>
                <w:szCs w:val="21"/>
                <w:highlight w:val="none"/>
              </w:rPr>
            </w:pPr>
            <w:r>
              <w:rPr>
                <w:sz w:val="21"/>
                <w:szCs w:val="21"/>
                <w:highlight w:val="none"/>
              </w:rPr>
              <w:t>17</w:t>
            </w:r>
          </w:p>
        </w:tc>
        <w:tc>
          <w:tcPr>
            <w:tcW w:w="652" w:type="dxa"/>
            <w:vAlign w:val="center"/>
          </w:tcPr>
          <w:p>
            <w:pPr>
              <w:spacing w:line="240" w:lineRule="auto"/>
              <w:ind w:firstLine="0" w:firstLineChars="0"/>
              <w:jc w:val="center"/>
              <w:rPr>
                <w:sz w:val="21"/>
                <w:szCs w:val="21"/>
                <w:highlight w:val="none"/>
              </w:rPr>
            </w:pPr>
            <w:r>
              <w:rPr>
                <w:sz w:val="21"/>
                <w:szCs w:val="21"/>
                <w:highlight w:val="none"/>
              </w:rPr>
              <w:t>18</w:t>
            </w:r>
          </w:p>
        </w:tc>
        <w:tc>
          <w:tcPr>
            <w:tcW w:w="652" w:type="dxa"/>
            <w:vAlign w:val="center"/>
          </w:tcPr>
          <w:p>
            <w:pPr>
              <w:spacing w:line="240" w:lineRule="auto"/>
              <w:ind w:firstLine="0" w:firstLineChars="0"/>
              <w:jc w:val="center"/>
              <w:rPr>
                <w:sz w:val="21"/>
                <w:szCs w:val="21"/>
                <w:highlight w:val="none"/>
              </w:rPr>
            </w:pPr>
            <w:r>
              <w:rPr>
                <w:sz w:val="21"/>
                <w:szCs w:val="21"/>
                <w:highlight w:val="none"/>
              </w:rPr>
              <w:t>19</w:t>
            </w:r>
          </w:p>
        </w:tc>
        <w:tc>
          <w:tcPr>
            <w:tcW w:w="652" w:type="dxa"/>
            <w:vAlign w:val="center"/>
          </w:tcPr>
          <w:p>
            <w:pPr>
              <w:spacing w:line="240" w:lineRule="auto"/>
              <w:ind w:firstLine="0" w:firstLineChars="0"/>
              <w:jc w:val="center"/>
              <w:rPr>
                <w:sz w:val="21"/>
                <w:szCs w:val="21"/>
                <w:highlight w:val="none"/>
              </w:rPr>
            </w:pPr>
            <w:r>
              <w:rPr>
                <w:sz w:val="21"/>
                <w:szCs w:val="21"/>
                <w:highlight w:val="none"/>
              </w:rPr>
              <w:t>20</w:t>
            </w:r>
          </w:p>
        </w:tc>
        <w:tc>
          <w:tcPr>
            <w:tcW w:w="652" w:type="dxa"/>
            <w:vAlign w:val="center"/>
          </w:tcPr>
          <w:p>
            <w:pPr>
              <w:spacing w:line="240" w:lineRule="auto"/>
              <w:ind w:firstLine="0" w:firstLineChars="0"/>
              <w:jc w:val="center"/>
              <w:rPr>
                <w:sz w:val="21"/>
                <w:szCs w:val="21"/>
                <w:highlight w:val="none"/>
              </w:rPr>
            </w:pPr>
            <w:r>
              <w:rPr>
                <w:sz w:val="21"/>
                <w:szCs w:val="21"/>
                <w:highlight w:val="none"/>
              </w:rPr>
              <w:t>21</w:t>
            </w:r>
          </w:p>
        </w:tc>
        <w:tc>
          <w:tcPr>
            <w:tcW w:w="652" w:type="dxa"/>
            <w:vAlign w:val="center"/>
          </w:tcPr>
          <w:p>
            <w:pPr>
              <w:spacing w:line="240" w:lineRule="auto"/>
              <w:ind w:firstLine="0" w:firstLineChars="0"/>
              <w:jc w:val="center"/>
              <w:rPr>
                <w:sz w:val="21"/>
                <w:szCs w:val="21"/>
                <w:highlight w:val="none"/>
              </w:rPr>
            </w:pPr>
            <w:r>
              <w:rPr>
                <w:sz w:val="21"/>
                <w:szCs w:val="21"/>
                <w:highlight w:val="none"/>
              </w:rPr>
              <w:t>22</w:t>
            </w:r>
          </w:p>
        </w:tc>
        <w:tc>
          <w:tcPr>
            <w:tcW w:w="652" w:type="dxa"/>
            <w:vAlign w:val="center"/>
          </w:tcPr>
          <w:p>
            <w:pPr>
              <w:spacing w:line="240" w:lineRule="auto"/>
              <w:ind w:firstLine="0" w:firstLineChars="0"/>
              <w:jc w:val="center"/>
              <w:rPr>
                <w:sz w:val="21"/>
                <w:szCs w:val="21"/>
                <w:highlight w:val="none"/>
              </w:rPr>
            </w:pPr>
            <w:r>
              <w:rPr>
                <w:sz w:val="21"/>
                <w:szCs w:val="21"/>
                <w:highlight w:val="none"/>
              </w:rPr>
              <w:t>23</w:t>
            </w:r>
          </w:p>
        </w:tc>
        <w:tc>
          <w:tcPr>
            <w:tcW w:w="658" w:type="dxa"/>
            <w:vAlign w:val="center"/>
          </w:tcPr>
          <w:p>
            <w:pPr>
              <w:spacing w:line="240" w:lineRule="auto"/>
              <w:ind w:firstLine="0" w:firstLineChars="0"/>
              <w:jc w:val="center"/>
              <w:rPr>
                <w:sz w:val="21"/>
                <w:szCs w:val="21"/>
                <w:highlight w:val="none"/>
              </w:rPr>
            </w:pPr>
            <w:r>
              <w:rPr>
                <w:sz w:val="21"/>
                <w:szCs w:val="21"/>
                <w:highlight w:val="none"/>
              </w:rPr>
              <w:t>24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春季</w:t>
            </w:r>
          </w:p>
        </w:tc>
        <w:tc>
          <w:tcPr>
            <w:tcW w:w="649" w:type="dxa"/>
            <w:vAlign w:val="center"/>
          </w:tcPr>
          <w:p>
            <w:pPr>
              <w:spacing w:line="240" w:lineRule="auto"/>
              <w:ind w:firstLine="0" w:firstLineChars="0"/>
              <w:jc w:val="center"/>
              <w:rPr>
                <w:sz w:val="21"/>
                <w:szCs w:val="21"/>
                <w:highlight w:val="none"/>
              </w:rPr>
            </w:pPr>
            <w:r>
              <w:rPr>
                <w:sz w:val="21"/>
                <w:szCs w:val="21"/>
                <w:highlight w:val="none"/>
              </w:rPr>
              <w:t>2.89</w:t>
            </w:r>
          </w:p>
        </w:tc>
        <w:tc>
          <w:tcPr>
            <w:tcW w:w="651" w:type="dxa"/>
            <w:vAlign w:val="center"/>
          </w:tcPr>
          <w:p>
            <w:pPr>
              <w:spacing w:line="240" w:lineRule="auto"/>
              <w:ind w:firstLine="0" w:firstLineChars="0"/>
              <w:jc w:val="center"/>
              <w:rPr>
                <w:sz w:val="21"/>
                <w:szCs w:val="21"/>
                <w:highlight w:val="none"/>
              </w:rPr>
            </w:pPr>
            <w:r>
              <w:rPr>
                <w:sz w:val="21"/>
                <w:szCs w:val="21"/>
                <w:highlight w:val="none"/>
              </w:rPr>
              <w:t>3.19</w:t>
            </w:r>
          </w:p>
        </w:tc>
        <w:tc>
          <w:tcPr>
            <w:tcW w:w="652" w:type="dxa"/>
            <w:vAlign w:val="center"/>
          </w:tcPr>
          <w:p>
            <w:pPr>
              <w:spacing w:line="240" w:lineRule="auto"/>
              <w:ind w:firstLine="0" w:firstLineChars="0"/>
              <w:jc w:val="center"/>
              <w:rPr>
                <w:sz w:val="21"/>
                <w:szCs w:val="21"/>
                <w:highlight w:val="none"/>
              </w:rPr>
            </w:pPr>
            <w:r>
              <w:rPr>
                <w:sz w:val="21"/>
                <w:szCs w:val="21"/>
                <w:highlight w:val="none"/>
              </w:rPr>
              <w:t>3.12</w:t>
            </w:r>
          </w:p>
        </w:tc>
        <w:tc>
          <w:tcPr>
            <w:tcW w:w="652" w:type="dxa"/>
            <w:vAlign w:val="center"/>
          </w:tcPr>
          <w:p>
            <w:pPr>
              <w:spacing w:line="240" w:lineRule="auto"/>
              <w:ind w:firstLine="0" w:firstLineChars="0"/>
              <w:jc w:val="center"/>
              <w:rPr>
                <w:sz w:val="21"/>
                <w:szCs w:val="21"/>
                <w:highlight w:val="none"/>
              </w:rPr>
            </w:pPr>
            <w:r>
              <w:rPr>
                <w:sz w:val="21"/>
                <w:szCs w:val="21"/>
                <w:highlight w:val="none"/>
              </w:rPr>
              <w:t>3.07</w:t>
            </w:r>
          </w:p>
        </w:tc>
        <w:tc>
          <w:tcPr>
            <w:tcW w:w="652" w:type="dxa"/>
            <w:vAlign w:val="center"/>
          </w:tcPr>
          <w:p>
            <w:pPr>
              <w:spacing w:line="240" w:lineRule="auto"/>
              <w:ind w:firstLine="0" w:firstLineChars="0"/>
              <w:jc w:val="center"/>
              <w:rPr>
                <w:sz w:val="21"/>
                <w:szCs w:val="21"/>
                <w:highlight w:val="none"/>
              </w:rPr>
            </w:pPr>
            <w:r>
              <w:rPr>
                <w:sz w:val="21"/>
                <w:szCs w:val="21"/>
                <w:highlight w:val="none"/>
              </w:rPr>
              <w:t>3.09</w:t>
            </w:r>
          </w:p>
        </w:tc>
        <w:tc>
          <w:tcPr>
            <w:tcW w:w="652" w:type="dxa"/>
            <w:vAlign w:val="center"/>
          </w:tcPr>
          <w:p>
            <w:pPr>
              <w:spacing w:line="240" w:lineRule="auto"/>
              <w:ind w:firstLine="0" w:firstLineChars="0"/>
              <w:jc w:val="center"/>
              <w:rPr>
                <w:sz w:val="21"/>
                <w:szCs w:val="21"/>
                <w:highlight w:val="none"/>
              </w:rPr>
            </w:pPr>
            <w:r>
              <w:rPr>
                <w:sz w:val="21"/>
                <w:szCs w:val="21"/>
                <w:highlight w:val="none"/>
              </w:rPr>
              <w:t>2.73</w:t>
            </w:r>
          </w:p>
        </w:tc>
        <w:tc>
          <w:tcPr>
            <w:tcW w:w="652" w:type="dxa"/>
            <w:vAlign w:val="center"/>
          </w:tcPr>
          <w:p>
            <w:pPr>
              <w:spacing w:line="240" w:lineRule="auto"/>
              <w:ind w:firstLine="0" w:firstLineChars="0"/>
              <w:jc w:val="center"/>
              <w:rPr>
                <w:sz w:val="21"/>
                <w:szCs w:val="21"/>
                <w:highlight w:val="none"/>
              </w:rPr>
            </w:pPr>
            <w:r>
              <w:rPr>
                <w:sz w:val="21"/>
                <w:szCs w:val="21"/>
                <w:highlight w:val="none"/>
              </w:rPr>
              <w:t>2.12</w:t>
            </w:r>
          </w:p>
        </w:tc>
        <w:tc>
          <w:tcPr>
            <w:tcW w:w="652" w:type="dxa"/>
            <w:vAlign w:val="center"/>
          </w:tcPr>
          <w:p>
            <w:pPr>
              <w:spacing w:line="240" w:lineRule="auto"/>
              <w:ind w:firstLine="0" w:firstLineChars="0"/>
              <w:jc w:val="center"/>
              <w:rPr>
                <w:sz w:val="21"/>
                <w:szCs w:val="21"/>
                <w:highlight w:val="none"/>
              </w:rPr>
            </w:pPr>
            <w:r>
              <w:rPr>
                <w:sz w:val="21"/>
                <w:szCs w:val="21"/>
                <w:highlight w:val="none"/>
              </w:rPr>
              <w:t>1.89</w:t>
            </w:r>
          </w:p>
        </w:tc>
        <w:tc>
          <w:tcPr>
            <w:tcW w:w="652" w:type="dxa"/>
            <w:vAlign w:val="center"/>
          </w:tcPr>
          <w:p>
            <w:pPr>
              <w:spacing w:line="240" w:lineRule="auto"/>
              <w:ind w:firstLine="0" w:firstLineChars="0"/>
              <w:jc w:val="center"/>
              <w:rPr>
                <w:sz w:val="21"/>
                <w:szCs w:val="21"/>
                <w:highlight w:val="none"/>
              </w:rPr>
            </w:pPr>
            <w:r>
              <w:rPr>
                <w:sz w:val="21"/>
                <w:szCs w:val="21"/>
                <w:highlight w:val="none"/>
              </w:rPr>
              <w:t>1.68</w:t>
            </w:r>
          </w:p>
        </w:tc>
        <w:tc>
          <w:tcPr>
            <w:tcW w:w="652" w:type="dxa"/>
            <w:vAlign w:val="center"/>
          </w:tcPr>
          <w:p>
            <w:pPr>
              <w:spacing w:line="240" w:lineRule="auto"/>
              <w:ind w:firstLine="0" w:firstLineChars="0"/>
              <w:jc w:val="center"/>
              <w:rPr>
                <w:sz w:val="21"/>
                <w:szCs w:val="21"/>
                <w:highlight w:val="none"/>
              </w:rPr>
            </w:pPr>
            <w:r>
              <w:rPr>
                <w:sz w:val="21"/>
                <w:szCs w:val="21"/>
                <w:highlight w:val="none"/>
              </w:rPr>
              <w:t>1.65</w:t>
            </w:r>
          </w:p>
        </w:tc>
        <w:tc>
          <w:tcPr>
            <w:tcW w:w="652" w:type="dxa"/>
            <w:vAlign w:val="center"/>
          </w:tcPr>
          <w:p>
            <w:pPr>
              <w:spacing w:line="240" w:lineRule="auto"/>
              <w:ind w:firstLine="0" w:firstLineChars="0"/>
              <w:jc w:val="center"/>
              <w:rPr>
                <w:sz w:val="21"/>
                <w:szCs w:val="21"/>
                <w:highlight w:val="none"/>
              </w:rPr>
            </w:pPr>
            <w:r>
              <w:rPr>
                <w:sz w:val="21"/>
                <w:szCs w:val="21"/>
                <w:highlight w:val="none"/>
              </w:rPr>
              <w:t>1.38</w:t>
            </w:r>
          </w:p>
        </w:tc>
        <w:tc>
          <w:tcPr>
            <w:tcW w:w="658" w:type="dxa"/>
            <w:vAlign w:val="center"/>
          </w:tcPr>
          <w:p>
            <w:pPr>
              <w:spacing w:line="240" w:lineRule="auto"/>
              <w:ind w:firstLine="0" w:firstLineChars="0"/>
              <w:jc w:val="center"/>
              <w:rPr>
                <w:sz w:val="21"/>
                <w:szCs w:val="21"/>
                <w:highlight w:val="none"/>
              </w:rPr>
            </w:pPr>
            <w:r>
              <w:rPr>
                <w:sz w:val="21"/>
                <w:szCs w:val="21"/>
                <w:highlight w:val="none"/>
              </w:rPr>
              <w:t>1.34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夏季</w:t>
            </w:r>
          </w:p>
        </w:tc>
        <w:tc>
          <w:tcPr>
            <w:tcW w:w="649" w:type="dxa"/>
            <w:vAlign w:val="center"/>
          </w:tcPr>
          <w:p>
            <w:pPr>
              <w:spacing w:line="240" w:lineRule="auto"/>
              <w:ind w:firstLine="0" w:firstLineChars="0"/>
              <w:jc w:val="center"/>
              <w:rPr>
                <w:sz w:val="21"/>
                <w:szCs w:val="21"/>
                <w:highlight w:val="none"/>
              </w:rPr>
            </w:pPr>
            <w:r>
              <w:rPr>
                <w:sz w:val="21"/>
                <w:szCs w:val="21"/>
                <w:highlight w:val="none"/>
              </w:rPr>
              <w:t>2.31</w:t>
            </w:r>
          </w:p>
        </w:tc>
        <w:tc>
          <w:tcPr>
            <w:tcW w:w="651" w:type="dxa"/>
            <w:vAlign w:val="center"/>
          </w:tcPr>
          <w:p>
            <w:pPr>
              <w:spacing w:line="240" w:lineRule="auto"/>
              <w:ind w:firstLine="0" w:firstLineChars="0"/>
              <w:jc w:val="center"/>
              <w:rPr>
                <w:sz w:val="21"/>
                <w:szCs w:val="21"/>
                <w:highlight w:val="none"/>
              </w:rPr>
            </w:pPr>
            <w:r>
              <w:rPr>
                <w:sz w:val="21"/>
                <w:szCs w:val="21"/>
                <w:highlight w:val="none"/>
              </w:rPr>
              <w:t>2.27</w:t>
            </w:r>
          </w:p>
        </w:tc>
        <w:tc>
          <w:tcPr>
            <w:tcW w:w="652" w:type="dxa"/>
            <w:vAlign w:val="center"/>
          </w:tcPr>
          <w:p>
            <w:pPr>
              <w:spacing w:line="240" w:lineRule="auto"/>
              <w:ind w:firstLine="0" w:firstLineChars="0"/>
              <w:jc w:val="center"/>
              <w:rPr>
                <w:sz w:val="21"/>
                <w:szCs w:val="21"/>
                <w:highlight w:val="none"/>
              </w:rPr>
            </w:pPr>
            <w:r>
              <w:rPr>
                <w:sz w:val="21"/>
                <w:szCs w:val="21"/>
                <w:highlight w:val="none"/>
              </w:rPr>
              <w:t>2.34</w:t>
            </w:r>
          </w:p>
        </w:tc>
        <w:tc>
          <w:tcPr>
            <w:tcW w:w="652" w:type="dxa"/>
            <w:vAlign w:val="center"/>
          </w:tcPr>
          <w:p>
            <w:pPr>
              <w:spacing w:line="240" w:lineRule="auto"/>
              <w:ind w:firstLine="0" w:firstLineChars="0"/>
              <w:jc w:val="center"/>
              <w:rPr>
                <w:sz w:val="21"/>
                <w:szCs w:val="21"/>
                <w:highlight w:val="none"/>
              </w:rPr>
            </w:pPr>
            <w:r>
              <w:rPr>
                <w:sz w:val="21"/>
                <w:szCs w:val="21"/>
                <w:highlight w:val="none"/>
              </w:rPr>
              <w:t>2.37</w:t>
            </w:r>
          </w:p>
        </w:tc>
        <w:tc>
          <w:tcPr>
            <w:tcW w:w="652" w:type="dxa"/>
            <w:vAlign w:val="center"/>
          </w:tcPr>
          <w:p>
            <w:pPr>
              <w:spacing w:line="240" w:lineRule="auto"/>
              <w:ind w:firstLine="0" w:firstLineChars="0"/>
              <w:jc w:val="center"/>
              <w:rPr>
                <w:sz w:val="21"/>
                <w:szCs w:val="21"/>
                <w:highlight w:val="none"/>
              </w:rPr>
            </w:pPr>
            <w:r>
              <w:rPr>
                <w:sz w:val="21"/>
                <w:szCs w:val="21"/>
                <w:highlight w:val="none"/>
              </w:rPr>
              <w:t>2.35</w:t>
            </w:r>
          </w:p>
        </w:tc>
        <w:tc>
          <w:tcPr>
            <w:tcW w:w="652" w:type="dxa"/>
            <w:vAlign w:val="center"/>
          </w:tcPr>
          <w:p>
            <w:pPr>
              <w:spacing w:line="240" w:lineRule="auto"/>
              <w:ind w:firstLine="0" w:firstLineChars="0"/>
              <w:jc w:val="center"/>
              <w:rPr>
                <w:sz w:val="21"/>
                <w:szCs w:val="21"/>
                <w:highlight w:val="none"/>
              </w:rPr>
            </w:pPr>
            <w:r>
              <w:rPr>
                <w:sz w:val="21"/>
                <w:szCs w:val="21"/>
                <w:highlight w:val="none"/>
              </w:rPr>
              <w:t>2.28</w:t>
            </w:r>
          </w:p>
        </w:tc>
        <w:tc>
          <w:tcPr>
            <w:tcW w:w="652" w:type="dxa"/>
            <w:vAlign w:val="center"/>
          </w:tcPr>
          <w:p>
            <w:pPr>
              <w:spacing w:line="240" w:lineRule="auto"/>
              <w:ind w:firstLine="0" w:firstLineChars="0"/>
              <w:jc w:val="center"/>
              <w:rPr>
                <w:sz w:val="21"/>
                <w:szCs w:val="21"/>
                <w:highlight w:val="none"/>
              </w:rPr>
            </w:pPr>
            <w:r>
              <w:rPr>
                <w:sz w:val="21"/>
                <w:szCs w:val="21"/>
                <w:highlight w:val="none"/>
              </w:rPr>
              <w:t>1.86</w:t>
            </w:r>
          </w:p>
        </w:tc>
        <w:tc>
          <w:tcPr>
            <w:tcW w:w="652" w:type="dxa"/>
            <w:vAlign w:val="center"/>
          </w:tcPr>
          <w:p>
            <w:pPr>
              <w:spacing w:line="240" w:lineRule="auto"/>
              <w:ind w:firstLine="0" w:firstLineChars="0"/>
              <w:jc w:val="center"/>
              <w:rPr>
                <w:sz w:val="21"/>
                <w:szCs w:val="21"/>
                <w:highlight w:val="none"/>
              </w:rPr>
            </w:pPr>
            <w:r>
              <w:rPr>
                <w:sz w:val="21"/>
                <w:szCs w:val="21"/>
                <w:highlight w:val="none"/>
              </w:rPr>
              <w:t>1.67</w:t>
            </w:r>
          </w:p>
        </w:tc>
        <w:tc>
          <w:tcPr>
            <w:tcW w:w="652" w:type="dxa"/>
            <w:vAlign w:val="center"/>
          </w:tcPr>
          <w:p>
            <w:pPr>
              <w:spacing w:line="240" w:lineRule="auto"/>
              <w:ind w:firstLine="0" w:firstLineChars="0"/>
              <w:jc w:val="center"/>
              <w:rPr>
                <w:sz w:val="21"/>
                <w:szCs w:val="21"/>
                <w:highlight w:val="none"/>
              </w:rPr>
            </w:pPr>
            <w:r>
              <w:rPr>
                <w:sz w:val="21"/>
                <w:szCs w:val="21"/>
                <w:highlight w:val="none"/>
              </w:rPr>
              <w:t>1.48</w:t>
            </w:r>
          </w:p>
        </w:tc>
        <w:tc>
          <w:tcPr>
            <w:tcW w:w="652" w:type="dxa"/>
            <w:vAlign w:val="center"/>
          </w:tcPr>
          <w:p>
            <w:pPr>
              <w:spacing w:line="240" w:lineRule="auto"/>
              <w:ind w:firstLine="0" w:firstLineChars="0"/>
              <w:jc w:val="center"/>
              <w:rPr>
                <w:sz w:val="21"/>
                <w:szCs w:val="21"/>
                <w:highlight w:val="none"/>
              </w:rPr>
            </w:pPr>
            <w:r>
              <w:rPr>
                <w:sz w:val="21"/>
                <w:szCs w:val="21"/>
                <w:highlight w:val="none"/>
              </w:rPr>
              <w:t>1.22</w:t>
            </w:r>
          </w:p>
        </w:tc>
        <w:tc>
          <w:tcPr>
            <w:tcW w:w="652" w:type="dxa"/>
            <w:vAlign w:val="center"/>
          </w:tcPr>
          <w:p>
            <w:pPr>
              <w:spacing w:line="240" w:lineRule="auto"/>
              <w:ind w:firstLine="0" w:firstLineChars="0"/>
              <w:jc w:val="center"/>
              <w:rPr>
                <w:sz w:val="21"/>
                <w:szCs w:val="21"/>
                <w:highlight w:val="none"/>
              </w:rPr>
            </w:pPr>
            <w:r>
              <w:rPr>
                <w:sz w:val="21"/>
                <w:szCs w:val="21"/>
                <w:highlight w:val="none"/>
              </w:rPr>
              <w:t>1.25</w:t>
            </w:r>
          </w:p>
        </w:tc>
        <w:tc>
          <w:tcPr>
            <w:tcW w:w="658" w:type="dxa"/>
            <w:vAlign w:val="center"/>
          </w:tcPr>
          <w:p>
            <w:pPr>
              <w:spacing w:line="240" w:lineRule="auto"/>
              <w:ind w:firstLine="0" w:firstLineChars="0"/>
              <w:jc w:val="center"/>
              <w:rPr>
                <w:sz w:val="21"/>
                <w:szCs w:val="21"/>
                <w:highlight w:val="none"/>
              </w:rPr>
            </w:pPr>
            <w:r>
              <w:rPr>
                <w:sz w:val="21"/>
                <w:szCs w:val="21"/>
                <w:highlight w:val="none"/>
              </w:rPr>
              <w:t>1.16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秋季</w:t>
            </w:r>
          </w:p>
        </w:tc>
        <w:tc>
          <w:tcPr>
            <w:tcW w:w="649" w:type="dxa"/>
            <w:vAlign w:val="center"/>
          </w:tcPr>
          <w:p>
            <w:pPr>
              <w:spacing w:line="240" w:lineRule="auto"/>
              <w:ind w:firstLine="0" w:firstLineChars="0"/>
              <w:jc w:val="center"/>
              <w:rPr>
                <w:sz w:val="21"/>
                <w:szCs w:val="21"/>
                <w:highlight w:val="none"/>
              </w:rPr>
            </w:pPr>
            <w:r>
              <w:rPr>
                <w:sz w:val="21"/>
                <w:szCs w:val="21"/>
                <w:highlight w:val="none"/>
              </w:rPr>
              <w:t>2.08</w:t>
            </w:r>
          </w:p>
        </w:tc>
        <w:tc>
          <w:tcPr>
            <w:tcW w:w="651" w:type="dxa"/>
            <w:vAlign w:val="center"/>
          </w:tcPr>
          <w:p>
            <w:pPr>
              <w:spacing w:line="240" w:lineRule="auto"/>
              <w:ind w:firstLine="0" w:firstLineChars="0"/>
              <w:jc w:val="center"/>
              <w:rPr>
                <w:sz w:val="21"/>
                <w:szCs w:val="21"/>
                <w:highlight w:val="none"/>
              </w:rPr>
            </w:pPr>
            <w:r>
              <w:rPr>
                <w:sz w:val="21"/>
                <w:szCs w:val="21"/>
                <w:highlight w:val="none"/>
              </w:rPr>
              <w:t>2.13</w:t>
            </w:r>
          </w:p>
        </w:tc>
        <w:tc>
          <w:tcPr>
            <w:tcW w:w="652" w:type="dxa"/>
            <w:vAlign w:val="center"/>
          </w:tcPr>
          <w:p>
            <w:pPr>
              <w:spacing w:line="240" w:lineRule="auto"/>
              <w:ind w:firstLine="0" w:firstLineChars="0"/>
              <w:jc w:val="center"/>
              <w:rPr>
                <w:sz w:val="21"/>
                <w:szCs w:val="21"/>
                <w:highlight w:val="none"/>
              </w:rPr>
            </w:pPr>
            <w:r>
              <w:rPr>
                <w:sz w:val="21"/>
                <w:szCs w:val="21"/>
                <w:highlight w:val="none"/>
              </w:rPr>
              <w:t>2.29</w:t>
            </w:r>
          </w:p>
        </w:tc>
        <w:tc>
          <w:tcPr>
            <w:tcW w:w="652" w:type="dxa"/>
            <w:vAlign w:val="center"/>
          </w:tcPr>
          <w:p>
            <w:pPr>
              <w:spacing w:line="240" w:lineRule="auto"/>
              <w:ind w:firstLine="0" w:firstLineChars="0"/>
              <w:jc w:val="center"/>
              <w:rPr>
                <w:sz w:val="21"/>
                <w:szCs w:val="21"/>
                <w:highlight w:val="none"/>
              </w:rPr>
            </w:pPr>
            <w:r>
              <w:rPr>
                <w:sz w:val="21"/>
                <w:szCs w:val="21"/>
                <w:highlight w:val="none"/>
              </w:rPr>
              <w:t>2.19</w:t>
            </w:r>
          </w:p>
        </w:tc>
        <w:tc>
          <w:tcPr>
            <w:tcW w:w="652" w:type="dxa"/>
            <w:vAlign w:val="center"/>
          </w:tcPr>
          <w:p>
            <w:pPr>
              <w:spacing w:line="240" w:lineRule="auto"/>
              <w:ind w:firstLine="0" w:firstLineChars="0"/>
              <w:jc w:val="center"/>
              <w:rPr>
                <w:sz w:val="21"/>
                <w:szCs w:val="21"/>
                <w:highlight w:val="none"/>
              </w:rPr>
            </w:pPr>
            <w:r>
              <w:rPr>
                <w:sz w:val="21"/>
                <w:szCs w:val="21"/>
                <w:highlight w:val="none"/>
              </w:rPr>
              <w:t>1.77</w:t>
            </w:r>
          </w:p>
        </w:tc>
        <w:tc>
          <w:tcPr>
            <w:tcW w:w="652" w:type="dxa"/>
            <w:vAlign w:val="center"/>
          </w:tcPr>
          <w:p>
            <w:pPr>
              <w:spacing w:line="240" w:lineRule="auto"/>
              <w:ind w:firstLine="0" w:firstLineChars="0"/>
              <w:jc w:val="center"/>
              <w:rPr>
                <w:sz w:val="21"/>
                <w:szCs w:val="21"/>
                <w:highlight w:val="none"/>
              </w:rPr>
            </w:pPr>
            <w:r>
              <w:rPr>
                <w:sz w:val="21"/>
                <w:szCs w:val="21"/>
                <w:highlight w:val="none"/>
              </w:rPr>
              <w:t>1.29</w:t>
            </w:r>
          </w:p>
        </w:tc>
        <w:tc>
          <w:tcPr>
            <w:tcW w:w="652" w:type="dxa"/>
            <w:vAlign w:val="center"/>
          </w:tcPr>
          <w:p>
            <w:pPr>
              <w:spacing w:line="240" w:lineRule="auto"/>
              <w:ind w:firstLine="0" w:firstLineChars="0"/>
              <w:jc w:val="center"/>
              <w:rPr>
                <w:sz w:val="21"/>
                <w:szCs w:val="21"/>
                <w:highlight w:val="none"/>
              </w:rPr>
            </w:pPr>
            <w:r>
              <w:rPr>
                <w:sz w:val="21"/>
                <w:szCs w:val="21"/>
                <w:highlight w:val="none"/>
              </w:rPr>
              <w:t>1.29</w:t>
            </w:r>
          </w:p>
        </w:tc>
        <w:tc>
          <w:tcPr>
            <w:tcW w:w="652" w:type="dxa"/>
            <w:vAlign w:val="center"/>
          </w:tcPr>
          <w:p>
            <w:pPr>
              <w:spacing w:line="240" w:lineRule="auto"/>
              <w:ind w:firstLine="0" w:firstLineChars="0"/>
              <w:jc w:val="center"/>
              <w:rPr>
                <w:sz w:val="21"/>
                <w:szCs w:val="21"/>
                <w:highlight w:val="none"/>
              </w:rPr>
            </w:pPr>
            <w:r>
              <w:rPr>
                <w:sz w:val="21"/>
                <w:szCs w:val="21"/>
                <w:highlight w:val="none"/>
              </w:rPr>
              <w:t>1.13</w:t>
            </w:r>
          </w:p>
        </w:tc>
        <w:tc>
          <w:tcPr>
            <w:tcW w:w="652" w:type="dxa"/>
            <w:vAlign w:val="center"/>
          </w:tcPr>
          <w:p>
            <w:pPr>
              <w:spacing w:line="240" w:lineRule="auto"/>
              <w:ind w:firstLine="0" w:firstLineChars="0"/>
              <w:jc w:val="center"/>
              <w:rPr>
                <w:sz w:val="21"/>
                <w:szCs w:val="21"/>
                <w:highlight w:val="none"/>
              </w:rPr>
            </w:pPr>
            <w:r>
              <w:rPr>
                <w:sz w:val="21"/>
                <w:szCs w:val="21"/>
                <w:highlight w:val="none"/>
              </w:rPr>
              <w:t>1.2</w:t>
            </w:r>
          </w:p>
        </w:tc>
        <w:tc>
          <w:tcPr>
            <w:tcW w:w="652" w:type="dxa"/>
            <w:vAlign w:val="center"/>
          </w:tcPr>
          <w:p>
            <w:pPr>
              <w:spacing w:line="240" w:lineRule="auto"/>
              <w:ind w:firstLine="0" w:firstLineChars="0"/>
              <w:jc w:val="center"/>
              <w:rPr>
                <w:sz w:val="21"/>
                <w:szCs w:val="21"/>
                <w:highlight w:val="none"/>
              </w:rPr>
            </w:pPr>
            <w:r>
              <w:rPr>
                <w:sz w:val="21"/>
                <w:szCs w:val="21"/>
                <w:highlight w:val="none"/>
              </w:rPr>
              <w:t>1.01</w:t>
            </w:r>
          </w:p>
        </w:tc>
        <w:tc>
          <w:tcPr>
            <w:tcW w:w="652" w:type="dxa"/>
            <w:vAlign w:val="center"/>
          </w:tcPr>
          <w:p>
            <w:pPr>
              <w:spacing w:line="240" w:lineRule="auto"/>
              <w:ind w:firstLine="0" w:firstLineChars="0"/>
              <w:jc w:val="center"/>
              <w:rPr>
                <w:sz w:val="21"/>
                <w:szCs w:val="21"/>
                <w:highlight w:val="none"/>
              </w:rPr>
            </w:pPr>
            <w:r>
              <w:rPr>
                <w:sz w:val="21"/>
                <w:szCs w:val="21"/>
                <w:highlight w:val="none"/>
              </w:rPr>
              <w:t>1.05</w:t>
            </w:r>
          </w:p>
        </w:tc>
        <w:tc>
          <w:tcPr>
            <w:tcW w:w="658" w:type="dxa"/>
            <w:vAlign w:val="center"/>
          </w:tcPr>
          <w:p>
            <w:pPr>
              <w:spacing w:line="240" w:lineRule="auto"/>
              <w:ind w:firstLine="0" w:firstLineChars="0"/>
              <w:jc w:val="center"/>
              <w:rPr>
                <w:sz w:val="21"/>
                <w:szCs w:val="21"/>
                <w:highlight w:val="none"/>
              </w:rPr>
            </w:pPr>
            <w:r>
              <w:rPr>
                <w:sz w:val="21"/>
                <w:szCs w:val="21"/>
                <w:highlight w:val="none"/>
              </w:rPr>
              <w:t>1.04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冬季</w:t>
            </w:r>
          </w:p>
        </w:tc>
        <w:tc>
          <w:tcPr>
            <w:tcW w:w="649" w:type="dxa"/>
            <w:vAlign w:val="center"/>
          </w:tcPr>
          <w:p>
            <w:pPr>
              <w:spacing w:line="240" w:lineRule="auto"/>
              <w:ind w:firstLine="0" w:firstLineChars="0"/>
              <w:jc w:val="center"/>
              <w:rPr>
                <w:sz w:val="21"/>
                <w:szCs w:val="21"/>
                <w:highlight w:val="none"/>
              </w:rPr>
            </w:pPr>
            <w:r>
              <w:rPr>
                <w:sz w:val="21"/>
                <w:szCs w:val="21"/>
                <w:highlight w:val="none"/>
              </w:rPr>
              <w:t>2.15</w:t>
            </w:r>
          </w:p>
        </w:tc>
        <w:tc>
          <w:tcPr>
            <w:tcW w:w="651" w:type="dxa"/>
            <w:vAlign w:val="center"/>
          </w:tcPr>
          <w:p>
            <w:pPr>
              <w:spacing w:line="240" w:lineRule="auto"/>
              <w:ind w:firstLine="0" w:firstLineChars="0"/>
              <w:jc w:val="center"/>
              <w:rPr>
                <w:sz w:val="21"/>
                <w:szCs w:val="21"/>
                <w:highlight w:val="none"/>
              </w:rPr>
            </w:pPr>
            <w:r>
              <w:rPr>
                <w:sz w:val="21"/>
                <w:szCs w:val="21"/>
                <w:highlight w:val="none"/>
              </w:rPr>
              <w:t>2.26</w:t>
            </w:r>
          </w:p>
        </w:tc>
        <w:tc>
          <w:tcPr>
            <w:tcW w:w="652" w:type="dxa"/>
            <w:vAlign w:val="center"/>
          </w:tcPr>
          <w:p>
            <w:pPr>
              <w:spacing w:line="240" w:lineRule="auto"/>
              <w:ind w:firstLine="0" w:firstLineChars="0"/>
              <w:jc w:val="center"/>
              <w:rPr>
                <w:sz w:val="21"/>
                <w:szCs w:val="21"/>
                <w:highlight w:val="none"/>
              </w:rPr>
            </w:pPr>
            <w:r>
              <w:rPr>
                <w:sz w:val="21"/>
                <w:szCs w:val="21"/>
                <w:highlight w:val="none"/>
              </w:rPr>
              <w:t>2.25</w:t>
            </w:r>
          </w:p>
        </w:tc>
        <w:tc>
          <w:tcPr>
            <w:tcW w:w="652" w:type="dxa"/>
            <w:vAlign w:val="center"/>
          </w:tcPr>
          <w:p>
            <w:pPr>
              <w:spacing w:line="240" w:lineRule="auto"/>
              <w:ind w:firstLine="0" w:firstLineChars="0"/>
              <w:jc w:val="center"/>
              <w:rPr>
                <w:sz w:val="21"/>
                <w:szCs w:val="21"/>
                <w:highlight w:val="none"/>
              </w:rPr>
            </w:pPr>
            <w:r>
              <w:rPr>
                <w:sz w:val="21"/>
                <w:szCs w:val="21"/>
                <w:highlight w:val="none"/>
              </w:rPr>
              <w:t>1.97</w:t>
            </w:r>
          </w:p>
        </w:tc>
        <w:tc>
          <w:tcPr>
            <w:tcW w:w="652" w:type="dxa"/>
            <w:vAlign w:val="center"/>
          </w:tcPr>
          <w:p>
            <w:pPr>
              <w:spacing w:line="240" w:lineRule="auto"/>
              <w:ind w:firstLine="0" w:firstLineChars="0"/>
              <w:jc w:val="center"/>
              <w:rPr>
                <w:sz w:val="21"/>
                <w:szCs w:val="21"/>
                <w:highlight w:val="none"/>
              </w:rPr>
            </w:pPr>
            <w:r>
              <w:rPr>
                <w:sz w:val="21"/>
                <w:szCs w:val="21"/>
                <w:highlight w:val="none"/>
              </w:rPr>
              <w:t>1.83</w:t>
            </w:r>
          </w:p>
        </w:tc>
        <w:tc>
          <w:tcPr>
            <w:tcW w:w="652" w:type="dxa"/>
            <w:vAlign w:val="center"/>
          </w:tcPr>
          <w:p>
            <w:pPr>
              <w:spacing w:line="240" w:lineRule="auto"/>
              <w:ind w:firstLine="0" w:firstLineChars="0"/>
              <w:jc w:val="center"/>
              <w:rPr>
                <w:sz w:val="21"/>
                <w:szCs w:val="21"/>
                <w:highlight w:val="none"/>
              </w:rPr>
            </w:pPr>
            <w:r>
              <w:rPr>
                <w:sz w:val="21"/>
                <w:szCs w:val="21"/>
                <w:highlight w:val="none"/>
              </w:rPr>
              <w:t>1.55</w:t>
            </w:r>
          </w:p>
        </w:tc>
        <w:tc>
          <w:tcPr>
            <w:tcW w:w="652" w:type="dxa"/>
            <w:vAlign w:val="center"/>
          </w:tcPr>
          <w:p>
            <w:pPr>
              <w:spacing w:line="240" w:lineRule="auto"/>
              <w:ind w:firstLine="0" w:firstLineChars="0"/>
              <w:jc w:val="center"/>
              <w:rPr>
                <w:sz w:val="21"/>
                <w:szCs w:val="21"/>
                <w:highlight w:val="none"/>
              </w:rPr>
            </w:pPr>
            <w:r>
              <w:rPr>
                <w:sz w:val="21"/>
                <w:szCs w:val="21"/>
                <w:highlight w:val="none"/>
              </w:rPr>
              <w:t>1.47</w:t>
            </w:r>
          </w:p>
        </w:tc>
        <w:tc>
          <w:tcPr>
            <w:tcW w:w="652" w:type="dxa"/>
            <w:vAlign w:val="center"/>
          </w:tcPr>
          <w:p>
            <w:pPr>
              <w:spacing w:line="240" w:lineRule="auto"/>
              <w:ind w:firstLine="0" w:firstLineChars="0"/>
              <w:jc w:val="center"/>
              <w:rPr>
                <w:sz w:val="21"/>
                <w:szCs w:val="21"/>
                <w:highlight w:val="none"/>
              </w:rPr>
            </w:pPr>
            <w:r>
              <w:rPr>
                <w:sz w:val="21"/>
                <w:szCs w:val="21"/>
                <w:highlight w:val="none"/>
              </w:rPr>
              <w:t>1.38</w:t>
            </w:r>
          </w:p>
        </w:tc>
        <w:tc>
          <w:tcPr>
            <w:tcW w:w="652" w:type="dxa"/>
            <w:vAlign w:val="center"/>
          </w:tcPr>
          <w:p>
            <w:pPr>
              <w:spacing w:line="240" w:lineRule="auto"/>
              <w:ind w:firstLine="0" w:firstLineChars="0"/>
              <w:jc w:val="center"/>
              <w:rPr>
                <w:sz w:val="21"/>
                <w:szCs w:val="21"/>
                <w:highlight w:val="none"/>
              </w:rPr>
            </w:pPr>
            <w:r>
              <w:rPr>
                <w:sz w:val="21"/>
                <w:szCs w:val="21"/>
                <w:highlight w:val="none"/>
              </w:rPr>
              <w:t>1.35</w:t>
            </w:r>
          </w:p>
        </w:tc>
        <w:tc>
          <w:tcPr>
            <w:tcW w:w="652" w:type="dxa"/>
            <w:vAlign w:val="center"/>
          </w:tcPr>
          <w:p>
            <w:pPr>
              <w:spacing w:line="240" w:lineRule="auto"/>
              <w:ind w:firstLine="0" w:firstLineChars="0"/>
              <w:jc w:val="center"/>
              <w:rPr>
                <w:sz w:val="21"/>
                <w:szCs w:val="21"/>
                <w:highlight w:val="none"/>
              </w:rPr>
            </w:pPr>
            <w:r>
              <w:rPr>
                <w:sz w:val="21"/>
                <w:szCs w:val="21"/>
                <w:highlight w:val="none"/>
              </w:rPr>
              <w:t>1.28</w:t>
            </w:r>
          </w:p>
        </w:tc>
        <w:tc>
          <w:tcPr>
            <w:tcW w:w="652" w:type="dxa"/>
            <w:vAlign w:val="center"/>
          </w:tcPr>
          <w:p>
            <w:pPr>
              <w:spacing w:line="240" w:lineRule="auto"/>
              <w:ind w:firstLine="0" w:firstLineChars="0"/>
              <w:jc w:val="center"/>
              <w:rPr>
                <w:sz w:val="21"/>
                <w:szCs w:val="21"/>
                <w:highlight w:val="none"/>
              </w:rPr>
            </w:pPr>
            <w:r>
              <w:rPr>
                <w:sz w:val="21"/>
                <w:szCs w:val="21"/>
                <w:highlight w:val="none"/>
              </w:rPr>
              <w:t>1.36</w:t>
            </w:r>
          </w:p>
        </w:tc>
        <w:tc>
          <w:tcPr>
            <w:tcW w:w="658" w:type="dxa"/>
            <w:vAlign w:val="center"/>
          </w:tcPr>
          <w:p>
            <w:pPr>
              <w:spacing w:line="240" w:lineRule="auto"/>
              <w:ind w:firstLine="0" w:firstLineChars="0"/>
              <w:jc w:val="center"/>
              <w:rPr>
                <w:sz w:val="21"/>
                <w:szCs w:val="21"/>
                <w:highlight w:val="none"/>
              </w:rPr>
            </w:pPr>
            <w:r>
              <w:rPr>
                <w:sz w:val="21"/>
                <w:szCs w:val="21"/>
                <w:highlight w:val="none"/>
              </w:rPr>
              <w:t>1.36</w:t>
            </w:r>
          </w:p>
        </w:tc>
      </w:tr>
    </w:tbl>
    <w:p>
      <w:pPr>
        <w:pStyle w:val="66"/>
        <w:spacing w:before="60" w:after="60" w:line="240" w:lineRule="auto"/>
        <w:ind w:firstLine="0"/>
        <w:jc w:val="center"/>
        <w:rPr>
          <w:highlight w:val="none"/>
        </w:rPr>
      </w:pPr>
      <w:r>
        <w:rPr>
          <w:highlight w:val="none"/>
        </w:rPr>
        <w:drawing>
          <wp:inline distT="0" distB="0" distL="0" distR="0">
            <wp:extent cx="5318760" cy="2118360"/>
            <wp:effectExtent l="19050" t="0" r="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noChangeArrowheads="1"/>
                    </pic:cNvPicPr>
                  </pic:nvPicPr>
                  <pic:blipFill>
                    <a:blip r:embed="rId44" cstate="print"/>
                    <a:srcRect/>
                    <a:stretch>
                      <a:fillRect/>
                    </a:stretch>
                  </pic:blipFill>
                  <pic:spPr>
                    <a:xfrm>
                      <a:off x="0" y="0"/>
                      <a:ext cx="5318760" cy="2118360"/>
                    </a:xfrm>
                    <a:prstGeom prst="rect">
                      <a:avLst/>
                    </a:prstGeom>
                    <a:noFill/>
                    <a:ln w="9525">
                      <a:noFill/>
                      <a:miter lim="800000"/>
                      <a:headEnd/>
                      <a:tailEnd/>
                    </a:ln>
                  </pic:spPr>
                </pic:pic>
              </a:graphicData>
            </a:graphic>
          </wp:inline>
        </w:drawing>
      </w:r>
    </w:p>
    <w:p>
      <w:pPr>
        <w:pStyle w:val="66"/>
        <w:ind w:firstLine="0"/>
        <w:jc w:val="center"/>
        <w:rPr>
          <w:rFonts w:eastAsia="黑体"/>
          <w:sz w:val="21"/>
          <w:szCs w:val="21"/>
          <w:highlight w:val="none"/>
        </w:rPr>
      </w:pPr>
      <w:r>
        <w:rPr>
          <w:rFonts w:eastAsia="黑体"/>
          <w:sz w:val="21"/>
          <w:szCs w:val="21"/>
          <w:highlight w:val="none"/>
        </w:rPr>
        <w:t>图5.2-4    季小时平均风速的日变化曲线图</w:t>
      </w:r>
    </w:p>
    <w:p>
      <w:pPr>
        <w:pStyle w:val="66"/>
        <w:spacing w:line="500" w:lineRule="exact"/>
        <w:ind w:left="425" w:firstLine="0"/>
        <w:rPr>
          <w:sz w:val="24"/>
          <w:szCs w:val="24"/>
          <w:highlight w:val="none"/>
        </w:rPr>
      </w:pPr>
      <w:r>
        <w:rPr>
          <w:sz w:val="24"/>
          <w:szCs w:val="24"/>
          <w:highlight w:val="none"/>
        </w:rPr>
        <w:t>（3）气温</w:t>
      </w:r>
    </w:p>
    <w:p>
      <w:pPr>
        <w:pStyle w:val="66"/>
        <w:spacing w:line="500" w:lineRule="exact"/>
        <w:ind w:firstLine="424" w:firstLineChars="177"/>
        <w:rPr>
          <w:sz w:val="24"/>
          <w:szCs w:val="24"/>
          <w:highlight w:val="none"/>
        </w:rPr>
      </w:pPr>
      <w:r>
        <w:rPr>
          <w:sz w:val="24"/>
          <w:szCs w:val="24"/>
          <w:highlight w:val="none"/>
        </w:rPr>
        <w:t>遵化市年平均气温11.9℃，以</w:t>
      </w:r>
      <w:r>
        <w:rPr>
          <w:rFonts w:hint="eastAsia"/>
          <w:sz w:val="24"/>
          <w:szCs w:val="24"/>
          <w:highlight w:val="none"/>
        </w:rPr>
        <w:t>十二</w:t>
      </w:r>
      <w:r>
        <w:rPr>
          <w:sz w:val="24"/>
          <w:szCs w:val="24"/>
          <w:highlight w:val="none"/>
        </w:rPr>
        <w:t>月最冷，平均气温-</w:t>
      </w:r>
      <w:r>
        <w:rPr>
          <w:rFonts w:hint="eastAsia"/>
          <w:sz w:val="24"/>
          <w:szCs w:val="24"/>
          <w:highlight w:val="none"/>
        </w:rPr>
        <w:t>5.14</w:t>
      </w:r>
      <w:r>
        <w:rPr>
          <w:sz w:val="24"/>
          <w:szCs w:val="24"/>
          <w:highlight w:val="none"/>
        </w:rPr>
        <w:t>℃，以七月份最热，平均气温为26.71℃。</w:t>
      </w:r>
    </w:p>
    <w:p>
      <w:pPr>
        <w:pStyle w:val="66"/>
        <w:spacing w:line="500" w:lineRule="exact"/>
        <w:ind w:firstLine="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9</w:t>
      </w:r>
      <w:r>
        <w:rPr>
          <w:rFonts w:eastAsia="黑体"/>
          <w:sz w:val="21"/>
          <w:szCs w:val="21"/>
          <w:highlight w:val="none"/>
        </w:rPr>
        <w:t>平均温度月变化表单位：℃</w:t>
      </w:r>
    </w:p>
    <w:tbl>
      <w:tblPr>
        <w:tblStyle w:val="48"/>
        <w:tblW w:w="8323"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574"/>
        <w:gridCol w:w="453"/>
        <w:gridCol w:w="454"/>
        <w:gridCol w:w="551"/>
        <w:gridCol w:w="649"/>
        <w:gridCol w:w="649"/>
        <w:gridCol w:w="649"/>
        <w:gridCol w:w="649"/>
        <w:gridCol w:w="649"/>
        <w:gridCol w:w="649"/>
        <w:gridCol w:w="649"/>
        <w:gridCol w:w="551"/>
        <w:gridCol w:w="551"/>
        <w:gridCol w:w="64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574" w:type="dxa"/>
            <w:vAlign w:val="center"/>
          </w:tcPr>
          <w:p>
            <w:pPr>
              <w:spacing w:line="240" w:lineRule="auto"/>
              <w:ind w:firstLine="0" w:firstLineChars="0"/>
              <w:jc w:val="center"/>
              <w:rPr>
                <w:sz w:val="21"/>
                <w:szCs w:val="21"/>
                <w:highlight w:val="none"/>
              </w:rPr>
            </w:pPr>
            <w:r>
              <w:rPr>
                <w:sz w:val="21"/>
                <w:szCs w:val="21"/>
                <w:highlight w:val="none"/>
              </w:rPr>
              <w:t>月份</w:t>
            </w:r>
          </w:p>
        </w:tc>
        <w:tc>
          <w:tcPr>
            <w:tcW w:w="453" w:type="dxa"/>
            <w:vAlign w:val="center"/>
          </w:tcPr>
          <w:p>
            <w:pPr>
              <w:spacing w:line="240" w:lineRule="auto"/>
              <w:ind w:firstLine="0" w:firstLineChars="0"/>
              <w:jc w:val="center"/>
              <w:rPr>
                <w:sz w:val="21"/>
                <w:szCs w:val="21"/>
                <w:highlight w:val="none"/>
              </w:rPr>
            </w:pPr>
            <w:r>
              <w:rPr>
                <w:sz w:val="21"/>
                <w:szCs w:val="21"/>
                <w:highlight w:val="none"/>
              </w:rPr>
              <w:t>1</w:t>
            </w:r>
          </w:p>
        </w:tc>
        <w:tc>
          <w:tcPr>
            <w:tcW w:w="454" w:type="dxa"/>
            <w:vAlign w:val="center"/>
          </w:tcPr>
          <w:p>
            <w:pPr>
              <w:spacing w:line="240" w:lineRule="auto"/>
              <w:ind w:firstLine="0" w:firstLineChars="0"/>
              <w:jc w:val="center"/>
              <w:rPr>
                <w:sz w:val="21"/>
                <w:szCs w:val="21"/>
                <w:highlight w:val="none"/>
              </w:rPr>
            </w:pPr>
            <w:r>
              <w:rPr>
                <w:sz w:val="21"/>
                <w:szCs w:val="21"/>
                <w:highlight w:val="none"/>
              </w:rPr>
              <w:t>2</w:t>
            </w:r>
          </w:p>
        </w:tc>
        <w:tc>
          <w:tcPr>
            <w:tcW w:w="551" w:type="dxa"/>
            <w:vAlign w:val="center"/>
          </w:tcPr>
          <w:p>
            <w:pPr>
              <w:spacing w:line="240" w:lineRule="auto"/>
              <w:ind w:firstLine="0" w:firstLineChars="0"/>
              <w:jc w:val="center"/>
              <w:rPr>
                <w:sz w:val="21"/>
                <w:szCs w:val="21"/>
                <w:highlight w:val="none"/>
              </w:rPr>
            </w:pPr>
            <w:r>
              <w:rPr>
                <w:sz w:val="21"/>
                <w:szCs w:val="21"/>
                <w:highlight w:val="none"/>
              </w:rPr>
              <w:t>3</w:t>
            </w:r>
          </w:p>
        </w:tc>
        <w:tc>
          <w:tcPr>
            <w:tcW w:w="649" w:type="dxa"/>
            <w:vAlign w:val="center"/>
          </w:tcPr>
          <w:p>
            <w:pPr>
              <w:spacing w:line="240" w:lineRule="auto"/>
              <w:ind w:firstLine="0" w:firstLineChars="0"/>
              <w:jc w:val="center"/>
              <w:rPr>
                <w:sz w:val="21"/>
                <w:szCs w:val="21"/>
                <w:highlight w:val="none"/>
              </w:rPr>
            </w:pPr>
            <w:r>
              <w:rPr>
                <w:sz w:val="21"/>
                <w:szCs w:val="21"/>
                <w:highlight w:val="none"/>
              </w:rPr>
              <w:t>4</w:t>
            </w:r>
          </w:p>
        </w:tc>
        <w:tc>
          <w:tcPr>
            <w:tcW w:w="649" w:type="dxa"/>
            <w:vAlign w:val="center"/>
          </w:tcPr>
          <w:p>
            <w:pPr>
              <w:spacing w:line="240" w:lineRule="auto"/>
              <w:ind w:firstLine="0" w:firstLineChars="0"/>
              <w:jc w:val="center"/>
              <w:rPr>
                <w:sz w:val="21"/>
                <w:szCs w:val="21"/>
                <w:highlight w:val="none"/>
              </w:rPr>
            </w:pPr>
            <w:r>
              <w:rPr>
                <w:sz w:val="21"/>
                <w:szCs w:val="21"/>
                <w:highlight w:val="none"/>
              </w:rPr>
              <w:t>5</w:t>
            </w:r>
          </w:p>
        </w:tc>
        <w:tc>
          <w:tcPr>
            <w:tcW w:w="649" w:type="dxa"/>
            <w:vAlign w:val="center"/>
          </w:tcPr>
          <w:p>
            <w:pPr>
              <w:spacing w:line="240" w:lineRule="auto"/>
              <w:ind w:firstLine="0" w:firstLineChars="0"/>
              <w:jc w:val="center"/>
              <w:rPr>
                <w:sz w:val="21"/>
                <w:szCs w:val="21"/>
                <w:highlight w:val="none"/>
              </w:rPr>
            </w:pPr>
            <w:r>
              <w:rPr>
                <w:sz w:val="21"/>
                <w:szCs w:val="21"/>
                <w:highlight w:val="none"/>
              </w:rPr>
              <w:t>6</w:t>
            </w:r>
          </w:p>
        </w:tc>
        <w:tc>
          <w:tcPr>
            <w:tcW w:w="649" w:type="dxa"/>
            <w:vAlign w:val="center"/>
          </w:tcPr>
          <w:p>
            <w:pPr>
              <w:spacing w:line="240" w:lineRule="auto"/>
              <w:ind w:firstLine="0" w:firstLineChars="0"/>
              <w:jc w:val="center"/>
              <w:rPr>
                <w:sz w:val="21"/>
                <w:szCs w:val="21"/>
                <w:highlight w:val="none"/>
              </w:rPr>
            </w:pPr>
            <w:r>
              <w:rPr>
                <w:sz w:val="21"/>
                <w:szCs w:val="21"/>
                <w:highlight w:val="none"/>
              </w:rPr>
              <w:t>7</w:t>
            </w:r>
          </w:p>
        </w:tc>
        <w:tc>
          <w:tcPr>
            <w:tcW w:w="649" w:type="dxa"/>
            <w:vAlign w:val="center"/>
          </w:tcPr>
          <w:p>
            <w:pPr>
              <w:spacing w:line="240" w:lineRule="auto"/>
              <w:ind w:firstLine="0" w:firstLineChars="0"/>
              <w:jc w:val="center"/>
              <w:rPr>
                <w:sz w:val="21"/>
                <w:szCs w:val="21"/>
                <w:highlight w:val="none"/>
              </w:rPr>
            </w:pPr>
            <w:r>
              <w:rPr>
                <w:sz w:val="21"/>
                <w:szCs w:val="21"/>
                <w:highlight w:val="none"/>
              </w:rPr>
              <w:t>8</w:t>
            </w:r>
          </w:p>
        </w:tc>
        <w:tc>
          <w:tcPr>
            <w:tcW w:w="649" w:type="dxa"/>
            <w:vAlign w:val="center"/>
          </w:tcPr>
          <w:p>
            <w:pPr>
              <w:spacing w:line="240" w:lineRule="auto"/>
              <w:ind w:firstLine="0" w:firstLineChars="0"/>
              <w:jc w:val="center"/>
              <w:rPr>
                <w:sz w:val="21"/>
                <w:szCs w:val="21"/>
                <w:highlight w:val="none"/>
              </w:rPr>
            </w:pPr>
            <w:r>
              <w:rPr>
                <w:sz w:val="21"/>
                <w:szCs w:val="21"/>
                <w:highlight w:val="none"/>
              </w:rPr>
              <w:t>9</w:t>
            </w:r>
          </w:p>
        </w:tc>
        <w:tc>
          <w:tcPr>
            <w:tcW w:w="649" w:type="dxa"/>
            <w:vAlign w:val="center"/>
          </w:tcPr>
          <w:p>
            <w:pPr>
              <w:spacing w:line="240" w:lineRule="auto"/>
              <w:ind w:firstLine="0" w:firstLineChars="0"/>
              <w:jc w:val="center"/>
              <w:rPr>
                <w:sz w:val="21"/>
                <w:szCs w:val="21"/>
                <w:highlight w:val="none"/>
              </w:rPr>
            </w:pPr>
            <w:r>
              <w:rPr>
                <w:sz w:val="21"/>
                <w:szCs w:val="21"/>
                <w:highlight w:val="none"/>
              </w:rPr>
              <w:t>10</w:t>
            </w:r>
          </w:p>
        </w:tc>
        <w:tc>
          <w:tcPr>
            <w:tcW w:w="551" w:type="dxa"/>
            <w:vAlign w:val="center"/>
          </w:tcPr>
          <w:p>
            <w:pPr>
              <w:spacing w:line="240" w:lineRule="auto"/>
              <w:ind w:firstLine="0" w:firstLineChars="0"/>
              <w:jc w:val="center"/>
              <w:rPr>
                <w:sz w:val="21"/>
                <w:szCs w:val="21"/>
                <w:highlight w:val="none"/>
              </w:rPr>
            </w:pPr>
            <w:r>
              <w:rPr>
                <w:sz w:val="21"/>
                <w:szCs w:val="21"/>
                <w:highlight w:val="none"/>
              </w:rPr>
              <w:t>11</w:t>
            </w:r>
          </w:p>
        </w:tc>
        <w:tc>
          <w:tcPr>
            <w:tcW w:w="551" w:type="dxa"/>
            <w:vAlign w:val="center"/>
          </w:tcPr>
          <w:p>
            <w:pPr>
              <w:spacing w:line="240" w:lineRule="auto"/>
              <w:ind w:firstLine="0" w:firstLineChars="0"/>
              <w:jc w:val="center"/>
              <w:rPr>
                <w:sz w:val="21"/>
                <w:szCs w:val="21"/>
                <w:highlight w:val="none"/>
              </w:rPr>
            </w:pPr>
            <w:r>
              <w:rPr>
                <w:sz w:val="21"/>
                <w:szCs w:val="21"/>
                <w:highlight w:val="none"/>
              </w:rPr>
              <w:t>12</w:t>
            </w:r>
          </w:p>
        </w:tc>
        <w:tc>
          <w:tcPr>
            <w:tcW w:w="646" w:type="dxa"/>
            <w:vAlign w:val="center"/>
          </w:tcPr>
          <w:p>
            <w:pPr>
              <w:spacing w:line="240" w:lineRule="auto"/>
              <w:ind w:firstLine="0" w:firstLineChars="0"/>
              <w:jc w:val="center"/>
              <w:rPr>
                <w:sz w:val="21"/>
                <w:szCs w:val="21"/>
                <w:highlight w:val="none"/>
              </w:rPr>
            </w:pPr>
            <w:r>
              <w:rPr>
                <w:sz w:val="21"/>
                <w:szCs w:val="21"/>
                <w:highlight w:val="none"/>
              </w:rPr>
              <w:t>全年</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574" w:type="dxa"/>
            <w:vAlign w:val="center"/>
          </w:tcPr>
          <w:p>
            <w:pPr>
              <w:spacing w:line="240" w:lineRule="auto"/>
              <w:ind w:firstLine="0" w:firstLineChars="0"/>
              <w:jc w:val="center"/>
              <w:rPr>
                <w:sz w:val="21"/>
                <w:szCs w:val="21"/>
                <w:highlight w:val="none"/>
              </w:rPr>
            </w:pPr>
            <w:r>
              <w:rPr>
                <w:sz w:val="21"/>
                <w:szCs w:val="21"/>
                <w:highlight w:val="none"/>
              </w:rPr>
              <w:t>温度</w:t>
            </w:r>
          </w:p>
        </w:tc>
        <w:tc>
          <w:tcPr>
            <w:tcW w:w="453" w:type="dxa"/>
            <w:vAlign w:val="center"/>
          </w:tcPr>
          <w:p>
            <w:pPr>
              <w:spacing w:line="240" w:lineRule="auto"/>
              <w:ind w:firstLine="0" w:firstLineChars="0"/>
              <w:jc w:val="center"/>
              <w:rPr>
                <w:sz w:val="21"/>
                <w:szCs w:val="21"/>
                <w:highlight w:val="none"/>
              </w:rPr>
            </w:pPr>
            <w:r>
              <w:rPr>
                <w:sz w:val="21"/>
                <w:szCs w:val="21"/>
                <w:highlight w:val="none"/>
              </w:rPr>
              <w:t>-2.45</w:t>
            </w:r>
          </w:p>
        </w:tc>
        <w:tc>
          <w:tcPr>
            <w:tcW w:w="454" w:type="dxa"/>
            <w:vAlign w:val="center"/>
          </w:tcPr>
          <w:p>
            <w:pPr>
              <w:spacing w:line="240" w:lineRule="auto"/>
              <w:ind w:firstLine="0" w:firstLineChars="0"/>
              <w:jc w:val="center"/>
              <w:rPr>
                <w:sz w:val="21"/>
                <w:szCs w:val="21"/>
                <w:highlight w:val="none"/>
              </w:rPr>
            </w:pPr>
            <w:r>
              <w:rPr>
                <w:sz w:val="21"/>
                <w:szCs w:val="21"/>
                <w:highlight w:val="none"/>
              </w:rPr>
              <w:t>-2.83</w:t>
            </w:r>
          </w:p>
        </w:tc>
        <w:tc>
          <w:tcPr>
            <w:tcW w:w="551" w:type="dxa"/>
            <w:vAlign w:val="center"/>
          </w:tcPr>
          <w:p>
            <w:pPr>
              <w:spacing w:line="240" w:lineRule="auto"/>
              <w:ind w:firstLine="0" w:firstLineChars="0"/>
              <w:jc w:val="center"/>
              <w:rPr>
                <w:sz w:val="21"/>
                <w:szCs w:val="21"/>
                <w:highlight w:val="none"/>
              </w:rPr>
            </w:pPr>
            <w:r>
              <w:rPr>
                <w:sz w:val="21"/>
                <w:szCs w:val="21"/>
                <w:highlight w:val="none"/>
              </w:rPr>
              <w:t>4.94</w:t>
            </w:r>
          </w:p>
        </w:tc>
        <w:tc>
          <w:tcPr>
            <w:tcW w:w="649" w:type="dxa"/>
            <w:vAlign w:val="center"/>
          </w:tcPr>
          <w:p>
            <w:pPr>
              <w:spacing w:line="240" w:lineRule="auto"/>
              <w:ind w:firstLine="0" w:firstLineChars="0"/>
              <w:jc w:val="center"/>
              <w:rPr>
                <w:sz w:val="21"/>
                <w:szCs w:val="21"/>
                <w:highlight w:val="none"/>
              </w:rPr>
            </w:pPr>
            <w:r>
              <w:rPr>
                <w:sz w:val="21"/>
                <w:szCs w:val="21"/>
                <w:highlight w:val="none"/>
              </w:rPr>
              <w:t>14.87</w:t>
            </w:r>
          </w:p>
        </w:tc>
        <w:tc>
          <w:tcPr>
            <w:tcW w:w="649" w:type="dxa"/>
            <w:vAlign w:val="center"/>
          </w:tcPr>
          <w:p>
            <w:pPr>
              <w:spacing w:line="240" w:lineRule="auto"/>
              <w:ind w:firstLine="0" w:firstLineChars="0"/>
              <w:jc w:val="center"/>
              <w:rPr>
                <w:sz w:val="21"/>
                <w:szCs w:val="21"/>
                <w:highlight w:val="none"/>
              </w:rPr>
            </w:pPr>
            <w:r>
              <w:rPr>
                <w:sz w:val="21"/>
                <w:szCs w:val="21"/>
                <w:highlight w:val="none"/>
              </w:rPr>
              <w:t>21.53</w:t>
            </w:r>
          </w:p>
        </w:tc>
        <w:tc>
          <w:tcPr>
            <w:tcW w:w="649" w:type="dxa"/>
            <w:vAlign w:val="center"/>
          </w:tcPr>
          <w:p>
            <w:pPr>
              <w:spacing w:line="240" w:lineRule="auto"/>
              <w:ind w:firstLine="0" w:firstLineChars="0"/>
              <w:jc w:val="center"/>
              <w:rPr>
                <w:sz w:val="21"/>
                <w:szCs w:val="21"/>
                <w:highlight w:val="none"/>
              </w:rPr>
            </w:pPr>
            <w:r>
              <w:rPr>
                <w:sz w:val="21"/>
                <w:szCs w:val="21"/>
                <w:highlight w:val="none"/>
              </w:rPr>
              <w:t>23.54</w:t>
            </w:r>
          </w:p>
        </w:tc>
        <w:tc>
          <w:tcPr>
            <w:tcW w:w="649" w:type="dxa"/>
            <w:vAlign w:val="center"/>
          </w:tcPr>
          <w:p>
            <w:pPr>
              <w:spacing w:line="240" w:lineRule="auto"/>
              <w:ind w:firstLine="0" w:firstLineChars="0"/>
              <w:jc w:val="center"/>
              <w:rPr>
                <w:sz w:val="21"/>
                <w:szCs w:val="21"/>
                <w:highlight w:val="none"/>
              </w:rPr>
            </w:pPr>
            <w:r>
              <w:rPr>
                <w:sz w:val="21"/>
                <w:szCs w:val="21"/>
                <w:highlight w:val="none"/>
              </w:rPr>
              <w:t>26.71</w:t>
            </w:r>
          </w:p>
        </w:tc>
        <w:tc>
          <w:tcPr>
            <w:tcW w:w="649" w:type="dxa"/>
            <w:vAlign w:val="center"/>
          </w:tcPr>
          <w:p>
            <w:pPr>
              <w:spacing w:line="240" w:lineRule="auto"/>
              <w:ind w:firstLine="0" w:firstLineChars="0"/>
              <w:jc w:val="center"/>
              <w:rPr>
                <w:sz w:val="21"/>
                <w:szCs w:val="21"/>
                <w:highlight w:val="none"/>
              </w:rPr>
            </w:pPr>
            <w:r>
              <w:rPr>
                <w:sz w:val="21"/>
                <w:szCs w:val="21"/>
                <w:highlight w:val="none"/>
              </w:rPr>
              <w:t>25.34</w:t>
            </w:r>
          </w:p>
        </w:tc>
        <w:tc>
          <w:tcPr>
            <w:tcW w:w="649" w:type="dxa"/>
            <w:vAlign w:val="center"/>
          </w:tcPr>
          <w:p>
            <w:pPr>
              <w:spacing w:line="240" w:lineRule="auto"/>
              <w:ind w:firstLine="0" w:firstLineChars="0"/>
              <w:jc w:val="center"/>
              <w:rPr>
                <w:sz w:val="21"/>
                <w:szCs w:val="21"/>
                <w:highlight w:val="none"/>
              </w:rPr>
            </w:pPr>
            <w:r>
              <w:rPr>
                <w:sz w:val="21"/>
                <w:szCs w:val="21"/>
                <w:highlight w:val="none"/>
              </w:rPr>
              <w:t>20.22</w:t>
            </w:r>
          </w:p>
        </w:tc>
        <w:tc>
          <w:tcPr>
            <w:tcW w:w="649" w:type="dxa"/>
            <w:vAlign w:val="center"/>
          </w:tcPr>
          <w:p>
            <w:pPr>
              <w:spacing w:line="240" w:lineRule="auto"/>
              <w:ind w:firstLine="0" w:firstLineChars="0"/>
              <w:jc w:val="center"/>
              <w:rPr>
                <w:sz w:val="21"/>
                <w:szCs w:val="21"/>
                <w:highlight w:val="none"/>
              </w:rPr>
            </w:pPr>
            <w:r>
              <w:rPr>
                <w:sz w:val="21"/>
                <w:szCs w:val="21"/>
                <w:highlight w:val="none"/>
              </w:rPr>
              <w:t>13.38</w:t>
            </w:r>
          </w:p>
        </w:tc>
        <w:tc>
          <w:tcPr>
            <w:tcW w:w="551" w:type="dxa"/>
            <w:vAlign w:val="center"/>
          </w:tcPr>
          <w:p>
            <w:pPr>
              <w:spacing w:line="240" w:lineRule="auto"/>
              <w:ind w:firstLine="0" w:firstLineChars="0"/>
              <w:jc w:val="center"/>
              <w:rPr>
                <w:sz w:val="21"/>
                <w:szCs w:val="21"/>
                <w:highlight w:val="none"/>
              </w:rPr>
            </w:pPr>
            <w:r>
              <w:rPr>
                <w:sz w:val="21"/>
                <w:szCs w:val="21"/>
                <w:highlight w:val="none"/>
              </w:rPr>
              <w:t>3.58</w:t>
            </w:r>
          </w:p>
        </w:tc>
        <w:tc>
          <w:tcPr>
            <w:tcW w:w="551" w:type="dxa"/>
            <w:vAlign w:val="center"/>
          </w:tcPr>
          <w:p>
            <w:pPr>
              <w:spacing w:line="240" w:lineRule="auto"/>
              <w:ind w:firstLine="0" w:firstLineChars="0"/>
              <w:jc w:val="center"/>
              <w:rPr>
                <w:sz w:val="21"/>
                <w:szCs w:val="21"/>
                <w:highlight w:val="none"/>
              </w:rPr>
            </w:pPr>
            <w:r>
              <w:rPr>
                <w:sz w:val="21"/>
                <w:szCs w:val="21"/>
                <w:highlight w:val="none"/>
              </w:rPr>
              <w:t>-5.14</w:t>
            </w:r>
          </w:p>
        </w:tc>
        <w:tc>
          <w:tcPr>
            <w:tcW w:w="646" w:type="dxa"/>
            <w:vAlign w:val="center"/>
          </w:tcPr>
          <w:p>
            <w:pPr>
              <w:spacing w:line="240" w:lineRule="auto"/>
              <w:ind w:firstLine="0" w:firstLineChars="0"/>
              <w:jc w:val="center"/>
              <w:rPr>
                <w:sz w:val="21"/>
                <w:szCs w:val="21"/>
                <w:highlight w:val="none"/>
              </w:rPr>
            </w:pPr>
            <w:r>
              <w:rPr>
                <w:sz w:val="21"/>
                <w:szCs w:val="21"/>
                <w:highlight w:val="none"/>
              </w:rPr>
              <w:t>11.9</w:t>
            </w:r>
          </w:p>
        </w:tc>
      </w:tr>
    </w:tbl>
    <w:p>
      <w:pPr>
        <w:pStyle w:val="66"/>
        <w:spacing w:before="60" w:after="60"/>
        <w:ind w:left="425" w:firstLine="0"/>
        <w:rPr>
          <w:highlight w:val="none"/>
        </w:rPr>
      </w:pPr>
    </w:p>
    <w:p>
      <w:pPr>
        <w:pStyle w:val="66"/>
        <w:spacing w:before="60" w:after="60" w:line="240" w:lineRule="auto"/>
        <w:ind w:firstLine="0"/>
        <w:rPr>
          <w:highlight w:val="none"/>
        </w:rPr>
      </w:pPr>
      <w:r>
        <w:rPr>
          <w:highlight w:val="none"/>
        </w:rPr>
        <w:drawing>
          <wp:inline distT="0" distB="0" distL="0" distR="0">
            <wp:extent cx="5433060" cy="2331720"/>
            <wp:effectExtent l="19050" t="0" r="0"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noChangeArrowheads="1"/>
                    </pic:cNvPicPr>
                  </pic:nvPicPr>
                  <pic:blipFill>
                    <a:blip r:embed="rId45" cstate="print"/>
                    <a:srcRect/>
                    <a:stretch>
                      <a:fillRect/>
                    </a:stretch>
                  </pic:blipFill>
                  <pic:spPr>
                    <a:xfrm>
                      <a:off x="0" y="0"/>
                      <a:ext cx="5433060" cy="2331720"/>
                    </a:xfrm>
                    <a:prstGeom prst="rect">
                      <a:avLst/>
                    </a:prstGeom>
                    <a:noFill/>
                    <a:ln w="9525">
                      <a:noFill/>
                      <a:miter lim="800000"/>
                      <a:headEnd/>
                      <a:tailEnd/>
                    </a:ln>
                  </pic:spPr>
                </pic:pic>
              </a:graphicData>
            </a:graphic>
          </wp:inline>
        </w:drawing>
      </w:r>
    </w:p>
    <w:p>
      <w:pPr>
        <w:pStyle w:val="66"/>
        <w:ind w:firstLine="0"/>
        <w:jc w:val="center"/>
        <w:rPr>
          <w:rFonts w:eastAsia="黑体"/>
          <w:sz w:val="21"/>
          <w:szCs w:val="21"/>
          <w:highlight w:val="none"/>
        </w:rPr>
      </w:pPr>
      <w:r>
        <w:rPr>
          <w:rFonts w:eastAsia="黑体"/>
          <w:sz w:val="21"/>
          <w:szCs w:val="21"/>
          <w:highlight w:val="none"/>
        </w:rPr>
        <w:t>图5.2-5    平均温度月变化曲线图</w:t>
      </w:r>
    </w:p>
    <w:p>
      <w:pPr>
        <w:pStyle w:val="3"/>
        <w:numPr>
          <w:ilvl w:val="3"/>
          <w:numId w:val="1"/>
        </w:numPr>
        <w:ind w:left="709" w:hanging="709"/>
        <w:rPr>
          <w:rFonts w:eastAsia="宋体"/>
          <w:b/>
          <w:highlight w:val="none"/>
        </w:rPr>
      </w:pPr>
      <w:r>
        <w:rPr>
          <w:rFonts w:eastAsia="宋体"/>
          <w:b/>
          <w:highlight w:val="none"/>
        </w:rPr>
        <w:t>预测与评价</w:t>
      </w:r>
    </w:p>
    <w:bookmarkEnd w:id="458"/>
    <w:p>
      <w:pPr>
        <w:widowControl/>
        <w:ind w:firstLine="482"/>
        <w:textAlignment w:val="auto"/>
        <w:rPr>
          <w:b/>
          <w:snapToGrid w:val="0"/>
          <w:kern w:val="18"/>
          <w:sz w:val="24"/>
          <w:szCs w:val="24"/>
          <w:highlight w:val="none"/>
        </w:rPr>
      </w:pPr>
      <w:r>
        <w:rPr>
          <w:b/>
          <w:snapToGrid w:val="0"/>
          <w:kern w:val="18"/>
          <w:sz w:val="24"/>
          <w:szCs w:val="24"/>
          <w:highlight w:val="none"/>
        </w:rPr>
        <w:t>（1）预测方案</w:t>
      </w:r>
    </w:p>
    <w:p>
      <w:pPr>
        <w:widowControl/>
        <w:ind w:firstLine="480"/>
        <w:textAlignment w:val="auto"/>
        <w:rPr>
          <w:snapToGrid w:val="0"/>
          <w:kern w:val="18"/>
          <w:sz w:val="24"/>
          <w:szCs w:val="24"/>
          <w:highlight w:val="none"/>
        </w:rPr>
      </w:pPr>
      <w:r>
        <w:rPr>
          <w:snapToGrid w:val="0"/>
          <w:kern w:val="18"/>
          <w:sz w:val="24"/>
          <w:szCs w:val="24"/>
          <w:highlight w:val="none"/>
        </w:rPr>
        <w:t>根据《环境影响评价影响导则大气环境》（HJ2.2-20</w:t>
      </w:r>
      <w:r>
        <w:rPr>
          <w:rFonts w:hint="eastAsia"/>
          <w:snapToGrid w:val="0"/>
          <w:kern w:val="18"/>
          <w:sz w:val="24"/>
          <w:szCs w:val="24"/>
          <w:highlight w:val="none"/>
        </w:rPr>
        <w:t>18</w:t>
      </w:r>
      <w:r>
        <w:rPr>
          <w:snapToGrid w:val="0"/>
          <w:kern w:val="18"/>
          <w:sz w:val="24"/>
          <w:szCs w:val="24"/>
          <w:highlight w:val="none"/>
        </w:rPr>
        <w:t>）中推荐的估算模式对项目排放的</w:t>
      </w:r>
      <w:r>
        <w:rPr>
          <w:rFonts w:hint="eastAsia"/>
          <w:snapToGrid w:val="0"/>
          <w:kern w:val="18"/>
          <w:sz w:val="24"/>
          <w:szCs w:val="24"/>
          <w:highlight w:val="none"/>
        </w:rPr>
        <w:t>颗粒物</w:t>
      </w:r>
      <w:r>
        <w:rPr>
          <w:snapToGrid w:val="0"/>
          <w:kern w:val="18"/>
          <w:sz w:val="24"/>
          <w:szCs w:val="24"/>
          <w:highlight w:val="none"/>
        </w:rPr>
        <w:t>的最大落地浓度进行预测。</w:t>
      </w:r>
    </w:p>
    <w:p>
      <w:pPr>
        <w:widowControl/>
        <w:ind w:firstLine="480"/>
        <w:textAlignment w:val="auto"/>
        <w:rPr>
          <w:snapToGrid w:val="0"/>
          <w:kern w:val="18"/>
          <w:sz w:val="24"/>
          <w:szCs w:val="24"/>
          <w:highlight w:val="none"/>
        </w:rPr>
      </w:pPr>
      <w:r>
        <w:rPr>
          <w:snapToGrid w:val="0"/>
          <w:kern w:val="18"/>
          <w:sz w:val="24"/>
          <w:szCs w:val="24"/>
          <w:highlight w:val="none"/>
        </w:rPr>
        <w:t>本项目大气环境影响预测因子选择PM</w:t>
      </w:r>
      <w:r>
        <w:rPr>
          <w:rFonts w:hint="eastAsia"/>
          <w:snapToGrid w:val="0"/>
          <w:kern w:val="18"/>
          <w:sz w:val="24"/>
          <w:szCs w:val="24"/>
          <w:highlight w:val="none"/>
          <w:vertAlign w:val="subscript"/>
        </w:rPr>
        <w:t>2.5</w:t>
      </w:r>
      <w:r>
        <w:rPr>
          <w:rFonts w:hint="eastAsia"/>
          <w:snapToGrid w:val="0"/>
          <w:kern w:val="18"/>
          <w:sz w:val="24"/>
          <w:szCs w:val="24"/>
          <w:highlight w:val="none"/>
        </w:rPr>
        <w:t>、</w:t>
      </w:r>
      <w:r>
        <w:rPr>
          <w:snapToGrid w:val="0"/>
          <w:kern w:val="18"/>
          <w:sz w:val="24"/>
          <w:szCs w:val="24"/>
          <w:highlight w:val="none"/>
        </w:rPr>
        <w:t>PM</w:t>
      </w:r>
      <w:r>
        <w:rPr>
          <w:snapToGrid w:val="0"/>
          <w:kern w:val="18"/>
          <w:sz w:val="24"/>
          <w:szCs w:val="24"/>
          <w:highlight w:val="none"/>
          <w:vertAlign w:val="subscript"/>
        </w:rPr>
        <w:t>10</w:t>
      </w:r>
      <w:r>
        <w:rPr>
          <w:rFonts w:hint="eastAsia"/>
          <w:snapToGrid w:val="0"/>
          <w:kern w:val="18"/>
          <w:sz w:val="24"/>
          <w:szCs w:val="24"/>
          <w:highlight w:val="none"/>
        </w:rPr>
        <w:t>、TSP</w:t>
      </w:r>
      <w:r>
        <w:rPr>
          <w:snapToGrid w:val="0"/>
          <w:kern w:val="18"/>
          <w:sz w:val="24"/>
          <w:szCs w:val="24"/>
          <w:highlight w:val="none"/>
        </w:rPr>
        <w:t>，主要预测内容如下：</w:t>
      </w:r>
    </w:p>
    <w:p>
      <w:pPr>
        <w:widowControl/>
        <w:ind w:firstLine="480"/>
        <w:textAlignment w:val="auto"/>
        <w:rPr>
          <w:snapToGrid w:val="0"/>
          <w:kern w:val="18"/>
          <w:sz w:val="24"/>
          <w:szCs w:val="24"/>
          <w:highlight w:val="none"/>
        </w:rPr>
      </w:pPr>
      <w:r>
        <w:rPr>
          <w:rFonts w:hint="eastAsia" w:ascii="宋体" w:hAnsi="宋体" w:cs="宋体"/>
          <w:snapToGrid w:val="0"/>
          <w:kern w:val="18"/>
          <w:sz w:val="24"/>
          <w:szCs w:val="24"/>
          <w:highlight w:val="none"/>
        </w:rPr>
        <w:t>①</w:t>
      </w:r>
      <w:r>
        <w:rPr>
          <w:snapToGrid w:val="0"/>
          <w:kern w:val="18"/>
          <w:sz w:val="24"/>
          <w:szCs w:val="24"/>
          <w:highlight w:val="none"/>
        </w:rPr>
        <w:t>有组织排放PM</w:t>
      </w:r>
      <w:r>
        <w:rPr>
          <w:rFonts w:hint="eastAsia"/>
          <w:snapToGrid w:val="0"/>
          <w:kern w:val="18"/>
          <w:sz w:val="24"/>
          <w:szCs w:val="24"/>
          <w:highlight w:val="none"/>
          <w:vertAlign w:val="subscript"/>
        </w:rPr>
        <w:t>2.5</w:t>
      </w:r>
      <w:r>
        <w:rPr>
          <w:rFonts w:hint="eastAsia"/>
          <w:snapToGrid w:val="0"/>
          <w:kern w:val="18"/>
          <w:sz w:val="24"/>
          <w:szCs w:val="24"/>
          <w:highlight w:val="none"/>
        </w:rPr>
        <w:t>、PM</w:t>
      </w:r>
      <w:r>
        <w:rPr>
          <w:rFonts w:hint="eastAsia"/>
          <w:snapToGrid w:val="0"/>
          <w:kern w:val="18"/>
          <w:sz w:val="24"/>
          <w:szCs w:val="24"/>
          <w:highlight w:val="none"/>
          <w:vertAlign w:val="subscript"/>
        </w:rPr>
        <w:t>10</w:t>
      </w:r>
      <w:r>
        <w:rPr>
          <w:snapToGrid w:val="0"/>
          <w:kern w:val="18"/>
          <w:sz w:val="24"/>
          <w:szCs w:val="24"/>
          <w:highlight w:val="none"/>
        </w:rPr>
        <w:t>最大落地浓度及占标率；</w:t>
      </w:r>
    </w:p>
    <w:p>
      <w:pPr>
        <w:widowControl/>
        <w:ind w:firstLine="480"/>
        <w:textAlignment w:val="auto"/>
        <w:rPr>
          <w:snapToGrid w:val="0"/>
          <w:kern w:val="18"/>
          <w:sz w:val="24"/>
          <w:szCs w:val="24"/>
          <w:highlight w:val="none"/>
        </w:rPr>
      </w:pPr>
      <w:r>
        <w:rPr>
          <w:rFonts w:hint="eastAsia" w:ascii="宋体" w:hAnsi="宋体" w:cs="宋体"/>
          <w:snapToGrid w:val="0"/>
          <w:kern w:val="18"/>
          <w:sz w:val="24"/>
          <w:szCs w:val="24"/>
          <w:highlight w:val="none"/>
        </w:rPr>
        <w:t>②</w:t>
      </w:r>
      <w:r>
        <w:rPr>
          <w:snapToGrid w:val="0"/>
          <w:kern w:val="18"/>
          <w:sz w:val="24"/>
          <w:szCs w:val="24"/>
          <w:highlight w:val="none"/>
        </w:rPr>
        <w:t>无组织排放</w:t>
      </w:r>
      <w:r>
        <w:rPr>
          <w:rFonts w:hint="eastAsia"/>
          <w:snapToGrid w:val="0"/>
          <w:kern w:val="18"/>
          <w:sz w:val="24"/>
          <w:szCs w:val="24"/>
          <w:highlight w:val="none"/>
        </w:rPr>
        <w:t>TSP</w:t>
      </w:r>
      <w:r>
        <w:rPr>
          <w:snapToGrid w:val="0"/>
          <w:kern w:val="18"/>
          <w:sz w:val="24"/>
          <w:szCs w:val="24"/>
          <w:highlight w:val="none"/>
        </w:rPr>
        <w:t>厂界达标情况预测，并确定最大落地浓度及占标率</w:t>
      </w:r>
      <w:r>
        <w:rPr>
          <w:rFonts w:hint="eastAsia"/>
          <w:snapToGrid w:val="0"/>
          <w:kern w:val="18"/>
          <w:sz w:val="24"/>
          <w:szCs w:val="24"/>
          <w:highlight w:val="none"/>
        </w:rPr>
        <w:t>。</w:t>
      </w:r>
    </w:p>
    <w:p>
      <w:pPr>
        <w:widowControl/>
        <w:ind w:firstLine="480"/>
        <w:textAlignment w:val="auto"/>
        <w:rPr>
          <w:snapToGrid w:val="0"/>
          <w:kern w:val="18"/>
          <w:sz w:val="24"/>
          <w:szCs w:val="24"/>
          <w:highlight w:val="none"/>
        </w:rPr>
      </w:pPr>
      <w:r>
        <w:rPr>
          <w:rFonts w:hint="eastAsia"/>
          <w:snapToGrid w:val="0"/>
          <w:kern w:val="18"/>
          <w:sz w:val="24"/>
          <w:szCs w:val="24"/>
          <w:highlight w:val="none"/>
        </w:rPr>
        <w:t>③环境敏感目标的颗粒物最大落地浓度及占标率。</w:t>
      </w:r>
    </w:p>
    <w:p>
      <w:pPr>
        <w:widowControl/>
        <w:ind w:firstLine="482"/>
        <w:textAlignment w:val="auto"/>
        <w:rPr>
          <w:b/>
          <w:snapToGrid w:val="0"/>
          <w:kern w:val="18"/>
          <w:sz w:val="24"/>
          <w:szCs w:val="24"/>
          <w:highlight w:val="none"/>
        </w:rPr>
      </w:pPr>
      <w:r>
        <w:rPr>
          <w:b/>
          <w:snapToGrid w:val="0"/>
          <w:kern w:val="18"/>
          <w:sz w:val="24"/>
          <w:szCs w:val="24"/>
          <w:highlight w:val="none"/>
        </w:rPr>
        <w:t>（2）预测参数</w:t>
      </w:r>
    </w:p>
    <w:p>
      <w:pPr>
        <w:widowControl/>
        <w:ind w:firstLine="480"/>
        <w:textAlignment w:val="auto"/>
        <w:rPr>
          <w:snapToGrid w:val="0"/>
          <w:kern w:val="18"/>
          <w:sz w:val="24"/>
          <w:szCs w:val="24"/>
          <w:highlight w:val="none"/>
        </w:rPr>
      </w:pPr>
      <w:bookmarkStart w:id="459" w:name="_Toc503298546"/>
      <w:r>
        <w:rPr>
          <w:snapToGrid w:val="0"/>
          <w:kern w:val="18"/>
          <w:sz w:val="24"/>
          <w:szCs w:val="24"/>
          <w:highlight w:val="none"/>
        </w:rPr>
        <w:t>本项目有组织排放粉尘、无组织排放粉尘预测参数见表5.2-</w:t>
      </w:r>
      <w:r>
        <w:rPr>
          <w:rFonts w:hint="eastAsia"/>
          <w:snapToGrid w:val="0"/>
          <w:kern w:val="18"/>
          <w:sz w:val="24"/>
          <w:szCs w:val="24"/>
          <w:highlight w:val="none"/>
        </w:rPr>
        <w:t>10</w:t>
      </w:r>
      <w:r>
        <w:rPr>
          <w:snapToGrid w:val="0"/>
          <w:kern w:val="18"/>
          <w:sz w:val="24"/>
          <w:szCs w:val="24"/>
          <w:highlight w:val="none"/>
        </w:rPr>
        <w:t>和表5.2-</w:t>
      </w:r>
      <w:r>
        <w:rPr>
          <w:rFonts w:hint="eastAsia"/>
          <w:snapToGrid w:val="0"/>
          <w:kern w:val="18"/>
          <w:sz w:val="24"/>
          <w:szCs w:val="24"/>
          <w:highlight w:val="none"/>
        </w:rPr>
        <w:t>11</w:t>
      </w:r>
      <w:r>
        <w:rPr>
          <w:snapToGrid w:val="0"/>
          <w:kern w:val="18"/>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10</w:t>
      </w:r>
      <w:r>
        <w:rPr>
          <w:rFonts w:eastAsia="黑体"/>
          <w:kern w:val="2"/>
          <w:sz w:val="21"/>
          <w:szCs w:val="21"/>
          <w:highlight w:val="none"/>
        </w:rPr>
        <w:t>正常工况下点源污染源预测参数</w:t>
      </w:r>
    </w:p>
    <w:tbl>
      <w:tblPr>
        <w:tblStyle w:val="48"/>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392"/>
        <w:gridCol w:w="1545"/>
        <w:gridCol w:w="1245"/>
        <w:gridCol w:w="55"/>
        <w:gridCol w:w="11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参数名称</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单位</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破碎筛分生产线排气筒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预测因子</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w:t>
            </w:r>
          </w:p>
        </w:tc>
        <w:tc>
          <w:tcPr>
            <w:tcW w:w="744"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PM</w:t>
            </w:r>
            <w:r>
              <w:rPr>
                <w:sz w:val="21"/>
                <w:szCs w:val="21"/>
                <w:highlight w:val="none"/>
                <w:vertAlign w:val="subscript"/>
              </w:rPr>
              <w:t>10</w:t>
            </w:r>
          </w:p>
        </w:tc>
        <w:tc>
          <w:tcPr>
            <w:tcW w:w="707" w:type="pct"/>
            <w:gridSpan w:val="2"/>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PM</w:t>
            </w:r>
            <w:r>
              <w:rPr>
                <w:rFonts w:hint="eastAsia"/>
                <w:sz w:val="21"/>
                <w:szCs w:val="21"/>
                <w:highlight w:val="none"/>
                <w:vertAlign w:val="subscript"/>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烟气流量（标况）</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Nm</w:t>
            </w:r>
            <w:r>
              <w:rPr>
                <w:snapToGrid w:val="0"/>
                <w:sz w:val="21"/>
                <w:szCs w:val="21"/>
                <w:highlight w:val="none"/>
                <w:vertAlign w:val="superscript"/>
              </w:rPr>
              <w:t>3</w:t>
            </w:r>
            <w:r>
              <w:rPr>
                <w:snapToGrid w:val="0"/>
                <w:sz w:val="21"/>
                <w:szCs w:val="21"/>
                <w:highlight w:val="none"/>
              </w:rPr>
              <w:t>/s</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污染物排放速率</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kg/h</w:t>
            </w:r>
          </w:p>
        </w:tc>
        <w:tc>
          <w:tcPr>
            <w:tcW w:w="744" w:type="pct"/>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0.36</w:t>
            </w:r>
          </w:p>
        </w:tc>
        <w:tc>
          <w:tcPr>
            <w:tcW w:w="707" w:type="pct"/>
            <w:gridSpan w:val="2"/>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0.18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排气筒几何高度</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m</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排气筒出口内径</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m</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排气筒出口处的烟气温度</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排气筒出口处的环境温度</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城市/乡村选项</w:t>
            </w:r>
          </w:p>
        </w:tc>
        <w:tc>
          <w:tcPr>
            <w:tcW w:w="923" w:type="pct"/>
            <w:vAlign w:val="center"/>
          </w:tcPr>
          <w:p>
            <w:pPr>
              <w:spacing w:line="240" w:lineRule="auto"/>
              <w:ind w:firstLine="0" w:firstLineChars="0"/>
              <w:jc w:val="center"/>
              <w:rPr>
                <w:snapToGrid w:val="0"/>
                <w:sz w:val="21"/>
                <w:szCs w:val="21"/>
                <w:highlight w:val="none"/>
              </w:rPr>
            </w:pPr>
            <w:r>
              <w:rPr>
                <w:snapToGrid w:val="0"/>
                <w:sz w:val="21"/>
                <w:szCs w:val="21"/>
                <w:highlight w:val="none"/>
              </w:rPr>
              <w:t>－</w:t>
            </w:r>
          </w:p>
        </w:tc>
        <w:tc>
          <w:tcPr>
            <w:tcW w:w="1451" w:type="pct"/>
            <w:gridSpan w:val="3"/>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乡村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2625" w:type="pct"/>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评价标准</w:t>
            </w:r>
          </w:p>
        </w:tc>
        <w:tc>
          <w:tcPr>
            <w:tcW w:w="923" w:type="pct"/>
            <w:vAlign w:val="center"/>
          </w:tcPr>
          <w:p>
            <w:pPr>
              <w:spacing w:line="240" w:lineRule="auto"/>
              <w:ind w:firstLine="0" w:firstLineChars="0"/>
              <w:jc w:val="center"/>
              <w:rPr>
                <w:snapToGrid w:val="0"/>
                <w:sz w:val="21"/>
                <w:szCs w:val="21"/>
                <w:highlight w:val="none"/>
              </w:rPr>
            </w:pPr>
            <w:r>
              <w:rPr>
                <w:spacing w:val="-10"/>
                <w:sz w:val="21"/>
                <w:szCs w:val="21"/>
                <w:highlight w:val="none"/>
              </w:rPr>
              <w:t>mg/m</w:t>
            </w:r>
            <w:r>
              <w:rPr>
                <w:spacing w:val="-10"/>
                <w:sz w:val="21"/>
                <w:szCs w:val="21"/>
                <w:highlight w:val="none"/>
                <w:vertAlign w:val="superscript"/>
              </w:rPr>
              <w:t>3</w:t>
            </w:r>
          </w:p>
        </w:tc>
        <w:tc>
          <w:tcPr>
            <w:tcW w:w="777" w:type="pct"/>
            <w:gridSpan w:val="2"/>
            <w:vAlign w:val="center"/>
          </w:tcPr>
          <w:p>
            <w:pPr>
              <w:autoSpaceDE w:val="0"/>
              <w:autoSpaceDN w:val="0"/>
              <w:spacing w:line="240" w:lineRule="auto"/>
              <w:ind w:firstLine="0" w:firstLineChars="0"/>
              <w:jc w:val="center"/>
              <w:rPr>
                <w:snapToGrid w:val="0"/>
                <w:sz w:val="21"/>
                <w:szCs w:val="21"/>
                <w:highlight w:val="none"/>
              </w:rPr>
            </w:pPr>
            <w:r>
              <w:rPr>
                <w:snapToGrid w:val="0"/>
                <w:sz w:val="21"/>
                <w:szCs w:val="21"/>
                <w:highlight w:val="none"/>
              </w:rPr>
              <w:t>0.45</w:t>
            </w:r>
          </w:p>
        </w:tc>
        <w:tc>
          <w:tcPr>
            <w:tcW w:w="673" w:type="pct"/>
            <w:vAlign w:val="center"/>
          </w:tcPr>
          <w:p>
            <w:pPr>
              <w:autoSpaceDE w:val="0"/>
              <w:autoSpaceDN w:val="0"/>
              <w:spacing w:line="240" w:lineRule="auto"/>
              <w:ind w:firstLine="0" w:firstLineChars="0"/>
              <w:jc w:val="center"/>
              <w:rPr>
                <w:snapToGrid w:val="0"/>
                <w:sz w:val="21"/>
                <w:szCs w:val="21"/>
                <w:highlight w:val="none"/>
              </w:rPr>
            </w:pPr>
            <w:r>
              <w:rPr>
                <w:rFonts w:hint="eastAsia"/>
                <w:snapToGrid w:val="0"/>
                <w:sz w:val="21"/>
                <w:szCs w:val="21"/>
                <w:highlight w:val="none"/>
              </w:rPr>
              <w:t>0.225</w:t>
            </w:r>
          </w:p>
        </w:tc>
      </w:tr>
    </w:tbl>
    <w:p>
      <w:pPr>
        <w:autoSpaceDE w:val="0"/>
        <w:autoSpaceDN w:val="0"/>
        <w:adjustRightInd w:val="0"/>
        <w:ind w:firstLine="420"/>
        <w:rPr>
          <w:sz w:val="21"/>
          <w:szCs w:val="21"/>
          <w:highlight w:val="none"/>
        </w:rPr>
      </w:pPr>
      <w:r>
        <w:rPr>
          <w:sz w:val="21"/>
          <w:szCs w:val="21"/>
          <w:highlight w:val="none"/>
        </w:rPr>
        <w:t xml:space="preserve">注：* </w:t>
      </w:r>
      <w:r>
        <w:rPr>
          <w:snapToGrid w:val="0"/>
          <w:sz w:val="21"/>
          <w:szCs w:val="21"/>
          <w:highlight w:val="none"/>
        </w:rPr>
        <w:t>PM</w:t>
      </w:r>
      <w:r>
        <w:rPr>
          <w:rFonts w:hint="eastAsia"/>
          <w:sz w:val="21"/>
          <w:szCs w:val="21"/>
          <w:highlight w:val="none"/>
          <w:vertAlign w:val="subscript"/>
        </w:rPr>
        <w:t>2.5</w:t>
      </w:r>
      <w:r>
        <w:rPr>
          <w:rFonts w:hint="eastAsia"/>
          <w:sz w:val="21"/>
          <w:szCs w:val="21"/>
          <w:highlight w:val="none"/>
        </w:rPr>
        <w:t>、</w:t>
      </w:r>
      <w:r>
        <w:rPr>
          <w:sz w:val="21"/>
          <w:szCs w:val="21"/>
          <w:highlight w:val="none"/>
        </w:rPr>
        <w:t xml:space="preserve"> </w:t>
      </w:r>
      <w:r>
        <w:rPr>
          <w:snapToGrid w:val="0"/>
          <w:sz w:val="21"/>
          <w:szCs w:val="21"/>
          <w:highlight w:val="none"/>
        </w:rPr>
        <w:t>PM</w:t>
      </w:r>
      <w:r>
        <w:rPr>
          <w:sz w:val="21"/>
          <w:szCs w:val="21"/>
          <w:highlight w:val="none"/>
          <w:vertAlign w:val="subscript"/>
        </w:rPr>
        <w:t>10</w:t>
      </w:r>
      <w:r>
        <w:rPr>
          <w:sz w:val="21"/>
          <w:szCs w:val="21"/>
          <w:highlight w:val="none"/>
        </w:rPr>
        <w:t>取二级标准日平均浓度的3倍</w:t>
      </w:r>
      <w:r>
        <w:rPr>
          <w:rFonts w:hint="eastAsia"/>
          <w:sz w:val="21"/>
          <w:szCs w:val="21"/>
          <w:highlight w:val="none"/>
        </w:rPr>
        <w:t>，</w:t>
      </w:r>
      <w:r>
        <w:rPr>
          <w:snapToGrid w:val="0"/>
          <w:sz w:val="21"/>
          <w:szCs w:val="21"/>
          <w:highlight w:val="none"/>
        </w:rPr>
        <w:t>PM</w:t>
      </w:r>
      <w:r>
        <w:rPr>
          <w:rFonts w:hint="eastAsia"/>
          <w:sz w:val="21"/>
          <w:szCs w:val="21"/>
          <w:highlight w:val="none"/>
          <w:vertAlign w:val="subscript"/>
        </w:rPr>
        <w:t>2.5</w:t>
      </w:r>
      <w:r>
        <w:rPr>
          <w:rFonts w:hint="eastAsia"/>
          <w:sz w:val="21"/>
          <w:szCs w:val="21"/>
          <w:highlight w:val="none"/>
        </w:rPr>
        <w:t>排放速率取</w:t>
      </w:r>
      <w:r>
        <w:rPr>
          <w:sz w:val="21"/>
          <w:szCs w:val="21"/>
          <w:highlight w:val="none"/>
        </w:rPr>
        <w:t xml:space="preserve"> </w:t>
      </w:r>
      <w:r>
        <w:rPr>
          <w:snapToGrid w:val="0"/>
          <w:sz w:val="21"/>
          <w:szCs w:val="21"/>
          <w:highlight w:val="none"/>
        </w:rPr>
        <w:t>PM</w:t>
      </w:r>
      <w:r>
        <w:rPr>
          <w:sz w:val="21"/>
          <w:szCs w:val="21"/>
          <w:highlight w:val="none"/>
          <w:vertAlign w:val="subscript"/>
        </w:rPr>
        <w:t>10</w:t>
      </w:r>
      <w:r>
        <w:rPr>
          <w:rFonts w:hint="eastAsia"/>
          <w:sz w:val="21"/>
          <w:szCs w:val="21"/>
          <w:highlight w:val="none"/>
        </w:rPr>
        <w:t>的50%</w:t>
      </w:r>
      <w:r>
        <w:rPr>
          <w:sz w:val="21"/>
          <w:szCs w:val="21"/>
          <w:highlight w:val="none"/>
        </w:rPr>
        <w:t>。</w:t>
      </w:r>
    </w:p>
    <w:p>
      <w:pPr>
        <w:widowControl/>
        <w:spacing w:line="240" w:lineRule="auto"/>
        <w:ind w:firstLine="0" w:firstLineChars="0"/>
        <w:textAlignment w:val="auto"/>
        <w:rPr>
          <w:rFonts w:eastAsia="黑体"/>
          <w:kern w:val="2"/>
          <w:sz w:val="21"/>
          <w:szCs w:val="21"/>
          <w:highlight w:val="none"/>
        </w:rPr>
      </w:pPr>
      <w:r>
        <w:rPr>
          <w:rFonts w:eastAsia="黑体"/>
          <w:kern w:val="2"/>
          <w:sz w:val="21"/>
          <w:szCs w:val="21"/>
          <w:highlight w:val="none"/>
        </w:rPr>
        <w:br w:type="page"/>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11</w:t>
      </w:r>
      <w:r>
        <w:rPr>
          <w:rFonts w:eastAsia="黑体"/>
          <w:kern w:val="2"/>
          <w:sz w:val="21"/>
          <w:szCs w:val="21"/>
          <w:highlight w:val="none"/>
        </w:rPr>
        <w:t>正常工况下项目面源污染源预测参数</w:t>
      </w:r>
    </w:p>
    <w:tbl>
      <w:tblPr>
        <w:tblStyle w:val="48"/>
        <w:tblW w:w="8528"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421"/>
        <w:gridCol w:w="689"/>
        <w:gridCol w:w="691"/>
        <w:gridCol w:w="700"/>
        <w:gridCol w:w="613"/>
        <w:gridCol w:w="859"/>
        <w:gridCol w:w="778"/>
        <w:gridCol w:w="545"/>
        <w:gridCol w:w="791"/>
        <w:gridCol w:w="723"/>
        <w:gridCol w:w="71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PrEx>
        <w:trPr>
          <w:trHeight w:val="283"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sz w:val="21"/>
                <w:szCs w:val="21"/>
                <w:highlight w:val="none"/>
              </w:rPr>
              <w:t>污染源名称</w:t>
            </w:r>
          </w:p>
        </w:tc>
        <w:tc>
          <w:tcPr>
            <w:tcW w:w="68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面源形状</w:t>
            </w:r>
          </w:p>
        </w:tc>
        <w:tc>
          <w:tcPr>
            <w:tcW w:w="691"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面源海拔高度/m</w:t>
            </w:r>
          </w:p>
        </w:tc>
        <w:tc>
          <w:tcPr>
            <w:tcW w:w="700" w:type="dxa"/>
            <w:vAlign w:val="center"/>
          </w:tcPr>
          <w:p>
            <w:pPr>
              <w:tabs>
                <w:tab w:val="left" w:pos="0"/>
              </w:tabs>
              <w:spacing w:line="240" w:lineRule="auto"/>
              <w:ind w:firstLine="0" w:firstLineChars="0"/>
              <w:jc w:val="center"/>
              <w:rPr>
                <w:sz w:val="21"/>
                <w:szCs w:val="21"/>
                <w:highlight w:val="none"/>
              </w:rPr>
            </w:pPr>
            <w:r>
              <w:rPr>
                <w:sz w:val="21"/>
                <w:szCs w:val="21"/>
                <w:highlight w:val="none"/>
              </w:rPr>
              <w:t>长度</w:t>
            </w:r>
          </w:p>
          <w:p>
            <w:pPr>
              <w:tabs>
                <w:tab w:val="left" w:pos="0"/>
              </w:tabs>
              <w:spacing w:line="240" w:lineRule="auto"/>
              <w:ind w:firstLine="0" w:firstLineChars="0"/>
              <w:jc w:val="center"/>
              <w:rPr>
                <w:sz w:val="21"/>
                <w:szCs w:val="21"/>
                <w:highlight w:val="none"/>
              </w:rPr>
            </w:pPr>
            <w:r>
              <w:rPr>
                <w:sz w:val="21"/>
                <w:szCs w:val="21"/>
                <w:highlight w:val="none"/>
              </w:rPr>
              <w:t>(m)</w:t>
            </w:r>
          </w:p>
        </w:tc>
        <w:tc>
          <w:tcPr>
            <w:tcW w:w="613" w:type="dxa"/>
            <w:vAlign w:val="center"/>
          </w:tcPr>
          <w:p>
            <w:pPr>
              <w:tabs>
                <w:tab w:val="left" w:pos="0"/>
              </w:tabs>
              <w:spacing w:line="240" w:lineRule="auto"/>
              <w:ind w:firstLine="0" w:firstLineChars="0"/>
              <w:jc w:val="center"/>
              <w:rPr>
                <w:bCs/>
                <w:sz w:val="21"/>
                <w:szCs w:val="21"/>
                <w:highlight w:val="none"/>
              </w:rPr>
            </w:pPr>
            <w:r>
              <w:rPr>
                <w:bCs/>
                <w:sz w:val="21"/>
                <w:szCs w:val="21"/>
                <w:highlight w:val="none"/>
              </w:rPr>
              <w:t>宽度</w:t>
            </w:r>
            <w:r>
              <w:rPr>
                <w:sz w:val="21"/>
                <w:szCs w:val="21"/>
                <w:highlight w:val="none"/>
              </w:rPr>
              <w:t>(m)</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面源初始排放高度</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与正北方向夹角</w:t>
            </w:r>
            <w:r>
              <w:rPr>
                <w:sz w:val="21"/>
                <w:szCs w:val="21"/>
                <w:highlight w:val="none"/>
              </w:rPr>
              <w:t>/°</w:t>
            </w:r>
          </w:p>
        </w:tc>
        <w:tc>
          <w:tcPr>
            <w:tcW w:w="545"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排放工况</w:t>
            </w:r>
          </w:p>
        </w:tc>
        <w:tc>
          <w:tcPr>
            <w:tcW w:w="791"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年排放小时数</w:t>
            </w: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污染因</w:t>
            </w:r>
            <w:r>
              <w:rPr>
                <w:rFonts w:hint="eastAsia"/>
                <w:sz w:val="21"/>
                <w:szCs w:val="21"/>
                <w:highlight w:val="none"/>
              </w:rPr>
              <w:t>子</w:t>
            </w:r>
          </w:p>
        </w:tc>
        <w:tc>
          <w:tcPr>
            <w:tcW w:w="718" w:type="dxa"/>
            <w:vAlign w:val="center"/>
          </w:tcPr>
          <w:p>
            <w:pPr>
              <w:tabs>
                <w:tab w:val="left" w:pos="0"/>
              </w:tabs>
              <w:spacing w:line="240" w:lineRule="auto"/>
              <w:ind w:firstLine="0" w:firstLineChars="0"/>
              <w:jc w:val="center"/>
              <w:rPr>
                <w:sz w:val="21"/>
                <w:szCs w:val="21"/>
                <w:highlight w:val="none"/>
              </w:rPr>
            </w:pPr>
            <w:r>
              <w:rPr>
                <w:sz w:val="21"/>
                <w:szCs w:val="21"/>
                <w:highlight w:val="none"/>
              </w:rPr>
              <w:t>源强（</w:t>
            </w:r>
            <w:r>
              <w:rPr>
                <w:snapToGrid w:val="0"/>
                <w:sz w:val="21"/>
                <w:szCs w:val="21"/>
                <w:highlight w:val="none"/>
              </w:rPr>
              <w:t>kg/h</w:t>
            </w:r>
            <w:r>
              <w:rPr>
                <w:sz w:val="21"/>
                <w:szCs w:val="21"/>
                <w:highlight w:val="none"/>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05"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sz w:val="21"/>
                <w:szCs w:val="21"/>
                <w:highlight w:val="none"/>
              </w:rPr>
              <w:t>破碎车间</w:t>
            </w:r>
          </w:p>
        </w:tc>
        <w:tc>
          <w:tcPr>
            <w:tcW w:w="689" w:type="dxa"/>
            <w:tcBorders>
              <w:bottom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矩形</w:t>
            </w:r>
          </w:p>
        </w:tc>
        <w:tc>
          <w:tcPr>
            <w:tcW w:w="691" w:type="dxa"/>
            <w:tcBorders>
              <w:left w:val="single" w:color="auto" w:sz="4" w:space="0"/>
              <w:bottom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44.95</w:t>
            </w:r>
          </w:p>
        </w:tc>
        <w:tc>
          <w:tcPr>
            <w:tcW w:w="700"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50</w:t>
            </w:r>
          </w:p>
        </w:tc>
        <w:tc>
          <w:tcPr>
            <w:tcW w:w="613" w:type="dxa"/>
            <w:vAlign w:val="center"/>
          </w:tcPr>
          <w:p>
            <w:pPr>
              <w:tabs>
                <w:tab w:val="left" w:pos="0"/>
              </w:tabs>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20</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13</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w:t>
            </w:r>
          </w:p>
        </w:tc>
        <w:tc>
          <w:tcPr>
            <w:tcW w:w="545" w:type="dxa"/>
            <w:vMerge w:val="restart"/>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正常工况</w:t>
            </w:r>
          </w:p>
        </w:tc>
        <w:tc>
          <w:tcPr>
            <w:tcW w:w="791" w:type="dxa"/>
            <w:vMerge w:val="restart"/>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7200h</w:t>
            </w: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TSP</w:t>
            </w:r>
          </w:p>
        </w:tc>
        <w:tc>
          <w:tcPr>
            <w:tcW w:w="718"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0.038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421"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成品库</w:t>
            </w:r>
          </w:p>
        </w:tc>
        <w:tc>
          <w:tcPr>
            <w:tcW w:w="689" w:type="dxa"/>
            <w:tcBorders>
              <w:top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矩形</w:t>
            </w:r>
          </w:p>
        </w:tc>
        <w:tc>
          <w:tcPr>
            <w:tcW w:w="691" w:type="dxa"/>
            <w:tcBorders>
              <w:top w:val="single" w:color="auto" w:sz="4" w:space="0"/>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44.95</w:t>
            </w:r>
          </w:p>
        </w:tc>
        <w:tc>
          <w:tcPr>
            <w:tcW w:w="700"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40</w:t>
            </w:r>
          </w:p>
        </w:tc>
        <w:tc>
          <w:tcPr>
            <w:tcW w:w="613" w:type="dxa"/>
            <w:vAlign w:val="center"/>
          </w:tcPr>
          <w:p>
            <w:pPr>
              <w:tabs>
                <w:tab w:val="left" w:pos="0"/>
              </w:tabs>
              <w:spacing w:line="240" w:lineRule="auto"/>
              <w:ind w:left="0" w:leftChars="0" w:firstLine="0" w:firstLineChars="0"/>
              <w:rPr>
                <w:rFonts w:hint="default" w:eastAsia="宋体"/>
                <w:bCs/>
                <w:sz w:val="21"/>
                <w:szCs w:val="21"/>
                <w:highlight w:val="none"/>
                <w:lang w:val="en-US" w:eastAsia="zh-CN"/>
              </w:rPr>
            </w:pPr>
            <w:r>
              <w:rPr>
                <w:rFonts w:hint="eastAsia"/>
                <w:bCs/>
                <w:sz w:val="21"/>
                <w:szCs w:val="21"/>
                <w:highlight w:val="none"/>
                <w:lang w:val="en-US" w:eastAsia="zh-CN"/>
              </w:rPr>
              <w:t>10</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1</w:t>
            </w:r>
            <w:r>
              <w:rPr>
                <w:rFonts w:hint="eastAsia"/>
                <w:sz w:val="21"/>
                <w:szCs w:val="21"/>
                <w:highlight w:val="none"/>
              </w:rPr>
              <w:t>3</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w:t>
            </w:r>
          </w:p>
        </w:tc>
        <w:tc>
          <w:tcPr>
            <w:tcW w:w="545" w:type="dxa"/>
            <w:vMerge w:val="continue"/>
            <w:tcBorders>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791" w:type="dxa"/>
            <w:vMerge w:val="continue"/>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TSP</w:t>
            </w:r>
          </w:p>
        </w:tc>
        <w:tc>
          <w:tcPr>
            <w:tcW w:w="718" w:type="dxa"/>
            <w:vAlign w:val="center"/>
          </w:tcPr>
          <w:p>
            <w:pPr>
              <w:tabs>
                <w:tab w:val="left" w:pos="0"/>
              </w:tabs>
              <w:spacing w:line="240" w:lineRule="auto"/>
              <w:ind w:firstLine="0" w:firstLineChars="0"/>
              <w:jc w:val="center"/>
              <w:rPr>
                <w:sz w:val="21"/>
                <w:szCs w:val="21"/>
                <w:highlight w:val="none"/>
              </w:rPr>
            </w:pPr>
            <w:r>
              <w:rPr>
                <w:sz w:val="21"/>
                <w:szCs w:val="21"/>
                <w:highlight w:val="none"/>
              </w:rPr>
              <w:t>0.1</w:t>
            </w:r>
            <w:r>
              <w:rPr>
                <w:rFonts w:hint="eastAsia"/>
                <w:sz w:val="21"/>
                <w:szCs w:val="21"/>
                <w:highlight w:val="none"/>
              </w:rPr>
              <w:t>9</w:t>
            </w:r>
          </w:p>
        </w:tc>
      </w:tr>
    </w:tbl>
    <w:p>
      <w:pPr>
        <w:widowControl/>
        <w:ind w:firstLine="482"/>
        <w:textAlignment w:val="auto"/>
        <w:rPr>
          <w:b/>
          <w:snapToGrid w:val="0"/>
          <w:kern w:val="18"/>
          <w:sz w:val="24"/>
          <w:szCs w:val="24"/>
          <w:highlight w:val="none"/>
        </w:rPr>
      </w:pPr>
      <w:r>
        <w:rPr>
          <w:b/>
          <w:snapToGrid w:val="0"/>
          <w:kern w:val="18"/>
          <w:sz w:val="24"/>
          <w:szCs w:val="24"/>
          <w:highlight w:val="none"/>
        </w:rPr>
        <w:t>（3）预测结果</w:t>
      </w:r>
      <w:bookmarkEnd w:id="459"/>
    </w:p>
    <w:p>
      <w:pPr>
        <w:widowControl/>
        <w:ind w:firstLine="679" w:firstLineChars="283"/>
        <w:textAlignment w:val="auto"/>
        <w:rPr>
          <w:kern w:val="2"/>
          <w:sz w:val="24"/>
          <w:szCs w:val="24"/>
          <w:highlight w:val="none"/>
        </w:rPr>
      </w:pPr>
      <w:r>
        <w:rPr>
          <w:kern w:val="2"/>
          <w:sz w:val="24"/>
          <w:szCs w:val="24"/>
          <w:highlight w:val="none"/>
        </w:rPr>
        <w:t>本项目废气排放预测结果，详见表5.2-</w:t>
      </w:r>
      <w:r>
        <w:rPr>
          <w:rFonts w:hint="eastAsia"/>
          <w:kern w:val="2"/>
          <w:sz w:val="24"/>
          <w:szCs w:val="24"/>
          <w:highlight w:val="none"/>
        </w:rPr>
        <w:t>12</w:t>
      </w:r>
      <w:r>
        <w:rPr>
          <w:kern w:val="2"/>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12废气</w:t>
      </w:r>
      <w:r>
        <w:rPr>
          <w:rFonts w:eastAsia="黑体"/>
          <w:kern w:val="2"/>
          <w:sz w:val="21"/>
          <w:szCs w:val="21"/>
          <w:highlight w:val="none"/>
        </w:rPr>
        <w:t>排放预测结果</w:t>
      </w:r>
    </w:p>
    <w:tbl>
      <w:tblPr>
        <w:tblStyle w:val="48"/>
        <w:tblW w:w="8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 w:type="dxa"/>
          <w:bottom w:w="0" w:type="dxa"/>
          <w:right w:w="6" w:type="dxa"/>
        </w:tblCellMar>
      </w:tblPr>
      <w:tblGrid>
        <w:gridCol w:w="2783"/>
        <w:gridCol w:w="1657"/>
        <w:gridCol w:w="1112"/>
        <w:gridCol w:w="6"/>
        <w:gridCol w:w="1050"/>
        <w:gridCol w:w="1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309" w:hRule="atLeast"/>
        </w:trPr>
        <w:tc>
          <w:tcPr>
            <w:tcW w:w="2783" w:type="dxa"/>
            <w:vMerge w:val="restart"/>
            <w:vAlign w:val="center"/>
          </w:tcPr>
          <w:p>
            <w:pPr>
              <w:spacing w:line="240" w:lineRule="auto"/>
              <w:ind w:firstLine="0" w:firstLineChars="0"/>
              <w:jc w:val="center"/>
              <w:rPr>
                <w:sz w:val="21"/>
                <w:szCs w:val="21"/>
                <w:highlight w:val="none"/>
              </w:rPr>
            </w:pPr>
            <w:r>
              <w:rPr>
                <w:sz w:val="21"/>
                <w:szCs w:val="21"/>
                <w:highlight w:val="none"/>
              </w:rPr>
              <w:t>距污染源下风向的距离</w:t>
            </w:r>
          </w:p>
        </w:tc>
        <w:tc>
          <w:tcPr>
            <w:tcW w:w="5541" w:type="dxa"/>
            <w:gridSpan w:val="5"/>
            <w:vAlign w:val="center"/>
          </w:tcPr>
          <w:p>
            <w:pPr>
              <w:spacing w:line="240" w:lineRule="auto"/>
              <w:ind w:firstLine="0" w:firstLineChars="0"/>
              <w:jc w:val="center"/>
              <w:rPr>
                <w:sz w:val="21"/>
                <w:szCs w:val="21"/>
                <w:highlight w:val="none"/>
              </w:rPr>
            </w:pPr>
            <w:r>
              <w:rPr>
                <w:sz w:val="21"/>
                <w:szCs w:val="21"/>
                <w:highlight w:val="none"/>
              </w:rPr>
              <w:t>破碎车间排气筒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146" w:hRule="atLeast"/>
        </w:trPr>
        <w:tc>
          <w:tcPr>
            <w:tcW w:w="2783" w:type="dxa"/>
            <w:vMerge w:val="continue"/>
            <w:vAlign w:val="center"/>
          </w:tcPr>
          <w:p>
            <w:pPr>
              <w:spacing w:line="240" w:lineRule="auto"/>
              <w:ind w:firstLine="0" w:firstLineChars="0"/>
              <w:jc w:val="center"/>
              <w:rPr>
                <w:sz w:val="21"/>
                <w:szCs w:val="21"/>
                <w:highlight w:val="none"/>
              </w:rPr>
            </w:pPr>
          </w:p>
        </w:tc>
        <w:tc>
          <w:tcPr>
            <w:tcW w:w="2775" w:type="dxa"/>
            <w:gridSpan w:val="3"/>
            <w:vAlign w:val="center"/>
          </w:tcPr>
          <w:p>
            <w:pPr>
              <w:spacing w:line="240" w:lineRule="auto"/>
              <w:ind w:firstLine="0" w:firstLineChars="0"/>
              <w:jc w:val="center"/>
              <w:rPr>
                <w:sz w:val="21"/>
                <w:szCs w:val="21"/>
                <w:highlight w:val="none"/>
              </w:rPr>
            </w:pPr>
            <w:r>
              <w:rPr>
                <w:sz w:val="21"/>
                <w:szCs w:val="21"/>
                <w:highlight w:val="none"/>
              </w:rPr>
              <w:t>PM</w:t>
            </w:r>
            <w:r>
              <w:rPr>
                <w:sz w:val="21"/>
                <w:szCs w:val="21"/>
                <w:highlight w:val="none"/>
                <w:vertAlign w:val="subscript"/>
              </w:rPr>
              <w:t>10</w:t>
            </w:r>
          </w:p>
        </w:tc>
        <w:tc>
          <w:tcPr>
            <w:tcW w:w="2766" w:type="dxa"/>
            <w:gridSpan w:val="2"/>
            <w:vAlign w:val="center"/>
          </w:tcPr>
          <w:p>
            <w:pPr>
              <w:spacing w:line="240" w:lineRule="auto"/>
              <w:ind w:firstLine="0" w:firstLineChars="0"/>
              <w:jc w:val="center"/>
              <w:rPr>
                <w:sz w:val="21"/>
                <w:szCs w:val="21"/>
                <w:highlight w:val="none"/>
              </w:rPr>
            </w:pPr>
            <w:r>
              <w:rPr>
                <w:sz w:val="21"/>
                <w:szCs w:val="21"/>
                <w:highlight w:val="none"/>
              </w:rPr>
              <w:t>PM</w:t>
            </w:r>
            <w:r>
              <w:rPr>
                <w:rFonts w:hint="eastAsia"/>
                <w:sz w:val="21"/>
                <w:szCs w:val="21"/>
                <w:highlight w:val="none"/>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D（m）</w:t>
            </w:r>
          </w:p>
        </w:tc>
        <w:tc>
          <w:tcPr>
            <w:tcW w:w="1657" w:type="dxa"/>
            <w:vAlign w:val="center"/>
          </w:tcPr>
          <w:p>
            <w:pPr>
              <w:spacing w:line="240" w:lineRule="auto"/>
              <w:ind w:firstLine="0" w:firstLineChars="0"/>
              <w:jc w:val="center"/>
              <w:rPr>
                <w:sz w:val="21"/>
                <w:szCs w:val="21"/>
                <w:highlight w:val="none"/>
              </w:rPr>
            </w:pPr>
            <w:r>
              <w:rPr>
                <w:sz w:val="21"/>
                <w:szCs w:val="21"/>
                <w:highlight w:val="none"/>
              </w:rPr>
              <w:t>浓度(μg/m</w:t>
            </w:r>
            <w:r>
              <w:rPr>
                <w:sz w:val="21"/>
                <w:szCs w:val="21"/>
                <w:highlight w:val="none"/>
                <w:vertAlign w:val="superscript"/>
              </w:rPr>
              <w:t>3</w:t>
            </w:r>
            <w:r>
              <w:rPr>
                <w:sz w:val="21"/>
                <w:szCs w:val="21"/>
                <w:highlight w:val="none"/>
              </w:rPr>
              <w:t>)</w:t>
            </w:r>
          </w:p>
        </w:tc>
        <w:tc>
          <w:tcPr>
            <w:tcW w:w="1112" w:type="dxa"/>
            <w:vAlign w:val="center"/>
          </w:tcPr>
          <w:p>
            <w:pPr>
              <w:spacing w:line="240" w:lineRule="auto"/>
              <w:ind w:firstLine="0" w:firstLineChars="0"/>
              <w:jc w:val="center"/>
              <w:rPr>
                <w:sz w:val="21"/>
                <w:szCs w:val="21"/>
                <w:highlight w:val="none"/>
              </w:rPr>
            </w:pPr>
            <w:r>
              <w:rPr>
                <w:sz w:val="21"/>
                <w:szCs w:val="21"/>
                <w:highlight w:val="none"/>
              </w:rPr>
              <w:t>占标率(%)</w:t>
            </w:r>
          </w:p>
        </w:tc>
        <w:tc>
          <w:tcPr>
            <w:tcW w:w="1056" w:type="dxa"/>
            <w:gridSpan w:val="2"/>
            <w:vAlign w:val="center"/>
          </w:tcPr>
          <w:p>
            <w:pPr>
              <w:spacing w:line="240" w:lineRule="auto"/>
              <w:ind w:firstLine="0" w:firstLineChars="0"/>
              <w:jc w:val="center"/>
              <w:rPr>
                <w:sz w:val="21"/>
                <w:szCs w:val="21"/>
                <w:highlight w:val="none"/>
              </w:rPr>
            </w:pPr>
            <w:r>
              <w:rPr>
                <w:sz w:val="21"/>
                <w:szCs w:val="21"/>
                <w:highlight w:val="none"/>
              </w:rPr>
              <w:t>浓度(μg/m</w:t>
            </w:r>
            <w:r>
              <w:rPr>
                <w:sz w:val="21"/>
                <w:szCs w:val="21"/>
                <w:highlight w:val="none"/>
                <w:vertAlign w:val="superscript"/>
              </w:rPr>
              <w:t>3</w:t>
            </w:r>
            <w:r>
              <w:rPr>
                <w:sz w:val="21"/>
                <w:szCs w:val="21"/>
                <w:highlight w:val="none"/>
              </w:rPr>
              <w:t>)</w:t>
            </w:r>
          </w:p>
        </w:tc>
        <w:tc>
          <w:tcPr>
            <w:tcW w:w="1716" w:type="dxa"/>
            <w:vAlign w:val="center"/>
          </w:tcPr>
          <w:p>
            <w:pPr>
              <w:spacing w:line="240" w:lineRule="auto"/>
              <w:ind w:firstLine="0" w:firstLineChars="0"/>
              <w:jc w:val="center"/>
              <w:rPr>
                <w:sz w:val="21"/>
                <w:szCs w:val="21"/>
                <w:highlight w:val="none"/>
              </w:rPr>
            </w:pPr>
            <w:r>
              <w:rPr>
                <w:sz w:val="21"/>
                <w:szCs w:val="21"/>
                <w:highlight w:val="none"/>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25</w:t>
            </w:r>
          </w:p>
        </w:tc>
        <w:tc>
          <w:tcPr>
            <w:tcW w:w="1657" w:type="dxa"/>
            <w:vAlign w:val="center"/>
          </w:tcPr>
          <w:p>
            <w:pPr>
              <w:spacing w:line="240" w:lineRule="auto"/>
              <w:ind w:firstLine="0" w:firstLineChars="0"/>
              <w:jc w:val="center"/>
              <w:rPr>
                <w:sz w:val="21"/>
                <w:szCs w:val="21"/>
                <w:highlight w:val="none"/>
              </w:rPr>
            </w:pPr>
            <w:r>
              <w:rPr>
                <w:sz w:val="21"/>
                <w:szCs w:val="21"/>
                <w:highlight w:val="none"/>
              </w:rPr>
              <w:t>0.34</w:t>
            </w:r>
          </w:p>
        </w:tc>
        <w:tc>
          <w:tcPr>
            <w:tcW w:w="1112" w:type="dxa"/>
            <w:vAlign w:val="center"/>
          </w:tcPr>
          <w:p>
            <w:pPr>
              <w:spacing w:line="240" w:lineRule="auto"/>
              <w:ind w:firstLine="0" w:firstLineChars="0"/>
              <w:jc w:val="center"/>
              <w:rPr>
                <w:sz w:val="21"/>
                <w:szCs w:val="21"/>
                <w:highlight w:val="none"/>
              </w:rPr>
            </w:pPr>
            <w:r>
              <w:rPr>
                <w:sz w:val="21"/>
                <w:szCs w:val="21"/>
                <w:highlight w:val="none"/>
              </w:rPr>
              <w:t>0.07</w:t>
            </w:r>
          </w:p>
        </w:tc>
        <w:tc>
          <w:tcPr>
            <w:tcW w:w="1056" w:type="dxa"/>
            <w:gridSpan w:val="2"/>
            <w:vAlign w:val="center"/>
          </w:tcPr>
          <w:p>
            <w:pPr>
              <w:spacing w:line="240" w:lineRule="auto"/>
              <w:ind w:firstLine="0" w:firstLineChars="0"/>
              <w:jc w:val="center"/>
              <w:rPr>
                <w:sz w:val="21"/>
                <w:szCs w:val="21"/>
                <w:highlight w:val="none"/>
              </w:rPr>
            </w:pPr>
            <w:r>
              <w:rPr>
                <w:sz w:val="21"/>
                <w:szCs w:val="21"/>
                <w:highlight w:val="none"/>
              </w:rPr>
              <w:t>0.</w:t>
            </w:r>
            <w:r>
              <w:rPr>
                <w:rFonts w:hint="eastAsia"/>
                <w:sz w:val="21"/>
                <w:szCs w:val="21"/>
                <w:highlight w:val="none"/>
              </w:rPr>
              <w:t>1</w:t>
            </w:r>
            <w:r>
              <w:rPr>
                <w:sz w:val="21"/>
                <w:szCs w:val="21"/>
                <w:highlight w:val="none"/>
              </w:rPr>
              <w:t>7</w:t>
            </w:r>
          </w:p>
        </w:tc>
        <w:tc>
          <w:tcPr>
            <w:tcW w:w="1716" w:type="dxa"/>
            <w:vAlign w:val="center"/>
          </w:tcPr>
          <w:p>
            <w:pPr>
              <w:spacing w:line="240" w:lineRule="auto"/>
              <w:ind w:firstLine="0" w:firstLineChars="0"/>
              <w:jc w:val="center"/>
              <w:rPr>
                <w:sz w:val="21"/>
                <w:szCs w:val="21"/>
                <w:highlight w:val="none"/>
              </w:rPr>
            </w:pPr>
            <w:r>
              <w:rPr>
                <w:sz w:val="21"/>
                <w:szCs w:val="21"/>
                <w:highlight w:val="none"/>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50</w:t>
            </w:r>
          </w:p>
        </w:tc>
        <w:tc>
          <w:tcPr>
            <w:tcW w:w="1657" w:type="dxa"/>
            <w:vAlign w:val="center"/>
          </w:tcPr>
          <w:p>
            <w:pPr>
              <w:spacing w:line="240" w:lineRule="auto"/>
              <w:ind w:firstLine="0" w:firstLineChars="0"/>
              <w:jc w:val="center"/>
              <w:rPr>
                <w:sz w:val="21"/>
                <w:szCs w:val="21"/>
                <w:highlight w:val="none"/>
              </w:rPr>
            </w:pPr>
            <w:r>
              <w:rPr>
                <w:sz w:val="21"/>
                <w:szCs w:val="21"/>
                <w:highlight w:val="none"/>
              </w:rPr>
              <w:t>1.48</w:t>
            </w:r>
          </w:p>
        </w:tc>
        <w:tc>
          <w:tcPr>
            <w:tcW w:w="1112" w:type="dxa"/>
            <w:vAlign w:val="center"/>
          </w:tcPr>
          <w:p>
            <w:pPr>
              <w:spacing w:line="240" w:lineRule="auto"/>
              <w:ind w:firstLine="0" w:firstLineChars="0"/>
              <w:jc w:val="center"/>
              <w:rPr>
                <w:sz w:val="21"/>
                <w:szCs w:val="21"/>
                <w:highlight w:val="none"/>
              </w:rPr>
            </w:pPr>
            <w:r>
              <w:rPr>
                <w:sz w:val="21"/>
                <w:szCs w:val="21"/>
                <w:highlight w:val="none"/>
              </w:rPr>
              <w:t>0.33</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0.74</w:t>
            </w:r>
          </w:p>
        </w:tc>
        <w:tc>
          <w:tcPr>
            <w:tcW w:w="1716" w:type="dxa"/>
            <w:vAlign w:val="center"/>
          </w:tcPr>
          <w:p>
            <w:pPr>
              <w:spacing w:line="240" w:lineRule="auto"/>
              <w:ind w:firstLine="0" w:firstLineChars="0"/>
              <w:jc w:val="center"/>
              <w:rPr>
                <w:sz w:val="21"/>
                <w:szCs w:val="21"/>
                <w:highlight w:val="none"/>
              </w:rPr>
            </w:pPr>
            <w:r>
              <w:rPr>
                <w:sz w:val="21"/>
                <w:szCs w:val="21"/>
                <w:highlight w:val="none"/>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75</w:t>
            </w:r>
          </w:p>
        </w:tc>
        <w:tc>
          <w:tcPr>
            <w:tcW w:w="1657" w:type="dxa"/>
            <w:vAlign w:val="center"/>
          </w:tcPr>
          <w:p>
            <w:pPr>
              <w:spacing w:line="240" w:lineRule="auto"/>
              <w:ind w:firstLine="0" w:firstLineChars="0"/>
              <w:jc w:val="center"/>
              <w:rPr>
                <w:sz w:val="21"/>
                <w:szCs w:val="21"/>
                <w:highlight w:val="none"/>
              </w:rPr>
            </w:pPr>
            <w:r>
              <w:rPr>
                <w:sz w:val="21"/>
                <w:szCs w:val="21"/>
                <w:highlight w:val="none"/>
              </w:rPr>
              <w:t>5.97</w:t>
            </w:r>
          </w:p>
        </w:tc>
        <w:tc>
          <w:tcPr>
            <w:tcW w:w="1112" w:type="dxa"/>
            <w:vAlign w:val="center"/>
          </w:tcPr>
          <w:p>
            <w:pPr>
              <w:spacing w:line="240" w:lineRule="auto"/>
              <w:ind w:firstLine="0" w:firstLineChars="0"/>
              <w:jc w:val="center"/>
              <w:rPr>
                <w:sz w:val="21"/>
                <w:szCs w:val="21"/>
                <w:highlight w:val="none"/>
              </w:rPr>
            </w:pPr>
            <w:r>
              <w:rPr>
                <w:sz w:val="21"/>
                <w:szCs w:val="21"/>
                <w:highlight w:val="none"/>
              </w:rPr>
              <w:t>1.33</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2.98</w:t>
            </w:r>
          </w:p>
        </w:tc>
        <w:tc>
          <w:tcPr>
            <w:tcW w:w="1716" w:type="dxa"/>
            <w:vAlign w:val="center"/>
          </w:tcPr>
          <w:p>
            <w:pPr>
              <w:spacing w:line="240" w:lineRule="auto"/>
              <w:ind w:firstLine="0" w:firstLineChars="0"/>
              <w:jc w:val="center"/>
              <w:rPr>
                <w:sz w:val="21"/>
                <w:szCs w:val="21"/>
                <w:highlight w:val="none"/>
              </w:rPr>
            </w:pPr>
            <w:r>
              <w:rPr>
                <w:sz w:val="21"/>
                <w:szCs w:val="21"/>
                <w:highlight w:val="none"/>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100</w:t>
            </w:r>
          </w:p>
        </w:tc>
        <w:tc>
          <w:tcPr>
            <w:tcW w:w="1657" w:type="dxa"/>
            <w:vAlign w:val="center"/>
          </w:tcPr>
          <w:p>
            <w:pPr>
              <w:spacing w:line="240" w:lineRule="auto"/>
              <w:ind w:firstLine="0" w:firstLineChars="0"/>
              <w:jc w:val="center"/>
              <w:rPr>
                <w:sz w:val="21"/>
                <w:szCs w:val="21"/>
                <w:highlight w:val="none"/>
              </w:rPr>
            </w:pPr>
            <w:r>
              <w:rPr>
                <w:sz w:val="21"/>
                <w:szCs w:val="21"/>
                <w:highlight w:val="none"/>
              </w:rPr>
              <w:t>16.18</w:t>
            </w:r>
          </w:p>
        </w:tc>
        <w:tc>
          <w:tcPr>
            <w:tcW w:w="1112" w:type="dxa"/>
            <w:vAlign w:val="center"/>
          </w:tcPr>
          <w:p>
            <w:pPr>
              <w:spacing w:line="240" w:lineRule="auto"/>
              <w:ind w:firstLine="0" w:firstLineChars="0"/>
              <w:jc w:val="center"/>
              <w:rPr>
                <w:sz w:val="21"/>
                <w:szCs w:val="21"/>
                <w:highlight w:val="none"/>
              </w:rPr>
            </w:pPr>
            <w:r>
              <w:rPr>
                <w:sz w:val="21"/>
                <w:szCs w:val="21"/>
                <w:highlight w:val="none"/>
              </w:rPr>
              <w:t>3.59</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8.09</w:t>
            </w:r>
          </w:p>
        </w:tc>
        <w:tc>
          <w:tcPr>
            <w:tcW w:w="1716" w:type="dxa"/>
            <w:vAlign w:val="center"/>
          </w:tcPr>
          <w:p>
            <w:pPr>
              <w:spacing w:line="240" w:lineRule="auto"/>
              <w:ind w:firstLine="0" w:firstLineChars="0"/>
              <w:jc w:val="center"/>
              <w:rPr>
                <w:sz w:val="21"/>
                <w:szCs w:val="21"/>
                <w:highlight w:val="none"/>
              </w:rPr>
            </w:pPr>
            <w:r>
              <w:rPr>
                <w:sz w:val="21"/>
                <w:szCs w:val="21"/>
                <w:highlight w:val="none"/>
              </w:rPr>
              <w:t>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200.</w:t>
            </w:r>
          </w:p>
        </w:tc>
        <w:tc>
          <w:tcPr>
            <w:tcW w:w="1657" w:type="dxa"/>
            <w:vAlign w:val="center"/>
          </w:tcPr>
          <w:p>
            <w:pPr>
              <w:spacing w:line="240" w:lineRule="auto"/>
              <w:ind w:firstLine="0" w:firstLineChars="0"/>
              <w:jc w:val="center"/>
              <w:rPr>
                <w:sz w:val="21"/>
                <w:szCs w:val="21"/>
                <w:highlight w:val="none"/>
              </w:rPr>
            </w:pPr>
            <w:r>
              <w:rPr>
                <w:sz w:val="21"/>
                <w:szCs w:val="21"/>
                <w:highlight w:val="none"/>
              </w:rPr>
              <w:t>22.11</w:t>
            </w:r>
          </w:p>
        </w:tc>
        <w:tc>
          <w:tcPr>
            <w:tcW w:w="1112" w:type="dxa"/>
            <w:vAlign w:val="center"/>
          </w:tcPr>
          <w:p>
            <w:pPr>
              <w:spacing w:line="240" w:lineRule="auto"/>
              <w:ind w:firstLine="0" w:firstLineChars="0"/>
              <w:jc w:val="center"/>
              <w:rPr>
                <w:sz w:val="21"/>
                <w:szCs w:val="21"/>
                <w:highlight w:val="none"/>
              </w:rPr>
            </w:pPr>
            <w:r>
              <w:rPr>
                <w:sz w:val="21"/>
                <w:szCs w:val="21"/>
                <w:highlight w:val="none"/>
              </w:rPr>
              <w:t>4.91</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11.06</w:t>
            </w:r>
          </w:p>
        </w:tc>
        <w:tc>
          <w:tcPr>
            <w:tcW w:w="1716" w:type="dxa"/>
            <w:vAlign w:val="center"/>
          </w:tcPr>
          <w:p>
            <w:pPr>
              <w:spacing w:line="240" w:lineRule="auto"/>
              <w:ind w:firstLine="0" w:firstLineChars="0"/>
              <w:jc w:val="center"/>
              <w:rPr>
                <w:sz w:val="21"/>
                <w:szCs w:val="21"/>
                <w:highlight w:val="none"/>
              </w:rPr>
            </w:pPr>
            <w:r>
              <w:rPr>
                <w:sz w:val="21"/>
                <w:szCs w:val="21"/>
                <w:highlight w:val="none"/>
              </w:rPr>
              <w:t>4.91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tcPr>
          <w:p>
            <w:pPr>
              <w:spacing w:line="240" w:lineRule="auto"/>
              <w:ind w:firstLine="0" w:firstLineChars="0"/>
              <w:jc w:val="center"/>
              <w:rPr>
                <w:sz w:val="21"/>
                <w:szCs w:val="21"/>
                <w:highlight w:val="none"/>
              </w:rPr>
            </w:pPr>
            <w:r>
              <w:rPr>
                <w:sz w:val="21"/>
                <w:szCs w:val="21"/>
                <w:highlight w:val="none"/>
              </w:rPr>
              <w:t>300.</w:t>
            </w:r>
          </w:p>
        </w:tc>
        <w:tc>
          <w:tcPr>
            <w:tcW w:w="1657" w:type="dxa"/>
            <w:vAlign w:val="center"/>
          </w:tcPr>
          <w:p>
            <w:pPr>
              <w:spacing w:line="240" w:lineRule="auto"/>
              <w:ind w:firstLine="0" w:firstLineChars="0"/>
              <w:jc w:val="center"/>
              <w:rPr>
                <w:sz w:val="21"/>
                <w:szCs w:val="21"/>
                <w:highlight w:val="none"/>
              </w:rPr>
            </w:pPr>
            <w:r>
              <w:rPr>
                <w:sz w:val="21"/>
                <w:szCs w:val="21"/>
                <w:highlight w:val="none"/>
              </w:rPr>
              <w:t>16.61</w:t>
            </w:r>
          </w:p>
        </w:tc>
        <w:tc>
          <w:tcPr>
            <w:tcW w:w="1112" w:type="dxa"/>
            <w:vAlign w:val="center"/>
          </w:tcPr>
          <w:p>
            <w:pPr>
              <w:spacing w:line="240" w:lineRule="auto"/>
              <w:ind w:firstLine="0" w:firstLineChars="0"/>
              <w:jc w:val="center"/>
              <w:rPr>
                <w:sz w:val="21"/>
                <w:szCs w:val="21"/>
                <w:highlight w:val="none"/>
              </w:rPr>
            </w:pPr>
            <w:r>
              <w:rPr>
                <w:sz w:val="21"/>
                <w:szCs w:val="21"/>
                <w:highlight w:val="none"/>
              </w:rPr>
              <w:t>3.69</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8.31</w:t>
            </w:r>
          </w:p>
        </w:tc>
        <w:tc>
          <w:tcPr>
            <w:tcW w:w="1716" w:type="dxa"/>
            <w:vAlign w:val="center"/>
          </w:tcPr>
          <w:p>
            <w:pPr>
              <w:spacing w:line="240" w:lineRule="auto"/>
              <w:ind w:firstLine="0" w:firstLineChars="0"/>
              <w:jc w:val="center"/>
              <w:rPr>
                <w:sz w:val="21"/>
                <w:szCs w:val="21"/>
                <w:highlight w:val="none"/>
              </w:rPr>
            </w:pPr>
            <w:r>
              <w:rPr>
                <w:sz w:val="21"/>
                <w:szCs w:val="21"/>
                <w:highlight w:val="none"/>
              </w:rPr>
              <w:t>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tcPr>
          <w:p>
            <w:pPr>
              <w:spacing w:line="240" w:lineRule="auto"/>
              <w:ind w:firstLine="0" w:firstLineChars="0"/>
              <w:jc w:val="center"/>
              <w:rPr>
                <w:sz w:val="21"/>
                <w:szCs w:val="21"/>
                <w:highlight w:val="none"/>
              </w:rPr>
            </w:pPr>
            <w:r>
              <w:rPr>
                <w:sz w:val="21"/>
                <w:szCs w:val="21"/>
                <w:highlight w:val="none"/>
              </w:rPr>
              <w:t>400.</w:t>
            </w:r>
          </w:p>
        </w:tc>
        <w:tc>
          <w:tcPr>
            <w:tcW w:w="1657" w:type="dxa"/>
            <w:vAlign w:val="center"/>
          </w:tcPr>
          <w:p>
            <w:pPr>
              <w:spacing w:line="240" w:lineRule="auto"/>
              <w:ind w:firstLine="0" w:firstLineChars="0"/>
              <w:jc w:val="center"/>
              <w:rPr>
                <w:sz w:val="21"/>
                <w:szCs w:val="21"/>
                <w:highlight w:val="none"/>
              </w:rPr>
            </w:pPr>
            <w:r>
              <w:rPr>
                <w:sz w:val="21"/>
                <w:szCs w:val="21"/>
                <w:highlight w:val="none"/>
              </w:rPr>
              <w:t>14.3</w:t>
            </w:r>
          </w:p>
        </w:tc>
        <w:tc>
          <w:tcPr>
            <w:tcW w:w="1112" w:type="dxa"/>
            <w:vAlign w:val="center"/>
          </w:tcPr>
          <w:p>
            <w:pPr>
              <w:spacing w:line="240" w:lineRule="auto"/>
              <w:ind w:firstLine="0" w:firstLineChars="0"/>
              <w:jc w:val="center"/>
              <w:rPr>
                <w:sz w:val="21"/>
                <w:szCs w:val="21"/>
                <w:highlight w:val="none"/>
              </w:rPr>
            </w:pPr>
            <w:r>
              <w:rPr>
                <w:sz w:val="21"/>
                <w:szCs w:val="21"/>
                <w:highlight w:val="none"/>
              </w:rPr>
              <w:t>3.18</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7.15</w:t>
            </w:r>
          </w:p>
        </w:tc>
        <w:tc>
          <w:tcPr>
            <w:tcW w:w="1716" w:type="dxa"/>
            <w:vAlign w:val="center"/>
          </w:tcPr>
          <w:p>
            <w:pPr>
              <w:spacing w:line="240" w:lineRule="auto"/>
              <w:ind w:firstLine="0" w:firstLineChars="0"/>
              <w:jc w:val="center"/>
              <w:rPr>
                <w:sz w:val="21"/>
                <w:szCs w:val="21"/>
                <w:highlight w:val="none"/>
              </w:rPr>
            </w:pPr>
            <w:r>
              <w:rPr>
                <w:sz w:val="21"/>
                <w:szCs w:val="21"/>
                <w:highlight w:val="none"/>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500.</w:t>
            </w:r>
          </w:p>
        </w:tc>
        <w:tc>
          <w:tcPr>
            <w:tcW w:w="1657" w:type="dxa"/>
            <w:vAlign w:val="center"/>
          </w:tcPr>
          <w:p>
            <w:pPr>
              <w:spacing w:line="240" w:lineRule="auto"/>
              <w:ind w:firstLine="0" w:firstLineChars="0"/>
              <w:jc w:val="center"/>
              <w:rPr>
                <w:sz w:val="21"/>
                <w:szCs w:val="21"/>
                <w:highlight w:val="none"/>
              </w:rPr>
            </w:pPr>
            <w:r>
              <w:rPr>
                <w:sz w:val="21"/>
                <w:szCs w:val="21"/>
                <w:highlight w:val="none"/>
              </w:rPr>
              <w:t>12.54</w:t>
            </w:r>
          </w:p>
        </w:tc>
        <w:tc>
          <w:tcPr>
            <w:tcW w:w="1112" w:type="dxa"/>
            <w:vAlign w:val="center"/>
          </w:tcPr>
          <w:p>
            <w:pPr>
              <w:spacing w:line="240" w:lineRule="auto"/>
              <w:ind w:firstLine="0" w:firstLineChars="0"/>
              <w:jc w:val="center"/>
              <w:rPr>
                <w:sz w:val="21"/>
                <w:szCs w:val="21"/>
                <w:highlight w:val="none"/>
              </w:rPr>
            </w:pPr>
            <w:r>
              <w:rPr>
                <w:sz w:val="21"/>
                <w:szCs w:val="21"/>
                <w:highlight w:val="none"/>
              </w:rPr>
              <w:t>2.79</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6.27</w:t>
            </w:r>
          </w:p>
        </w:tc>
        <w:tc>
          <w:tcPr>
            <w:tcW w:w="1716" w:type="dxa"/>
            <w:vAlign w:val="center"/>
          </w:tcPr>
          <w:p>
            <w:pPr>
              <w:spacing w:line="240" w:lineRule="auto"/>
              <w:ind w:firstLine="0" w:firstLineChars="0"/>
              <w:jc w:val="center"/>
              <w:rPr>
                <w:sz w:val="21"/>
                <w:szCs w:val="21"/>
                <w:highlight w:val="none"/>
              </w:rPr>
            </w:pPr>
            <w:r>
              <w:rPr>
                <w:sz w:val="21"/>
                <w:szCs w:val="21"/>
                <w:highlight w:val="none"/>
              </w:rPr>
              <w:t>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600.</w:t>
            </w:r>
          </w:p>
        </w:tc>
        <w:tc>
          <w:tcPr>
            <w:tcW w:w="1657" w:type="dxa"/>
            <w:vAlign w:val="center"/>
          </w:tcPr>
          <w:p>
            <w:pPr>
              <w:spacing w:line="240" w:lineRule="auto"/>
              <w:ind w:firstLine="0" w:firstLineChars="0"/>
              <w:jc w:val="center"/>
              <w:rPr>
                <w:sz w:val="21"/>
                <w:szCs w:val="21"/>
                <w:highlight w:val="none"/>
              </w:rPr>
            </w:pPr>
            <w:r>
              <w:rPr>
                <w:sz w:val="21"/>
                <w:szCs w:val="21"/>
                <w:highlight w:val="none"/>
              </w:rPr>
              <w:t>11.31</w:t>
            </w:r>
          </w:p>
        </w:tc>
        <w:tc>
          <w:tcPr>
            <w:tcW w:w="1112" w:type="dxa"/>
            <w:vAlign w:val="center"/>
          </w:tcPr>
          <w:p>
            <w:pPr>
              <w:spacing w:line="240" w:lineRule="auto"/>
              <w:ind w:firstLine="0" w:firstLineChars="0"/>
              <w:jc w:val="center"/>
              <w:rPr>
                <w:sz w:val="21"/>
                <w:szCs w:val="21"/>
                <w:highlight w:val="none"/>
              </w:rPr>
            </w:pPr>
            <w:r>
              <w:rPr>
                <w:sz w:val="21"/>
                <w:szCs w:val="21"/>
                <w:highlight w:val="none"/>
              </w:rPr>
              <w:t>2.51</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5.66</w:t>
            </w:r>
          </w:p>
        </w:tc>
        <w:tc>
          <w:tcPr>
            <w:tcW w:w="1716" w:type="dxa"/>
            <w:vAlign w:val="center"/>
          </w:tcPr>
          <w:p>
            <w:pPr>
              <w:spacing w:line="240" w:lineRule="auto"/>
              <w:ind w:firstLine="0" w:firstLineChars="0"/>
              <w:jc w:val="center"/>
              <w:rPr>
                <w:sz w:val="21"/>
                <w:szCs w:val="21"/>
                <w:highlight w:val="none"/>
              </w:rPr>
            </w:pPr>
            <w:r>
              <w:rPr>
                <w:sz w:val="21"/>
                <w:szCs w:val="21"/>
                <w:highlight w:val="none"/>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700.</w:t>
            </w:r>
          </w:p>
        </w:tc>
        <w:tc>
          <w:tcPr>
            <w:tcW w:w="1657" w:type="dxa"/>
            <w:vAlign w:val="center"/>
          </w:tcPr>
          <w:p>
            <w:pPr>
              <w:spacing w:line="240" w:lineRule="auto"/>
              <w:ind w:firstLine="0" w:firstLineChars="0"/>
              <w:jc w:val="center"/>
              <w:rPr>
                <w:sz w:val="21"/>
                <w:szCs w:val="21"/>
                <w:highlight w:val="none"/>
              </w:rPr>
            </w:pPr>
            <w:r>
              <w:rPr>
                <w:sz w:val="21"/>
                <w:szCs w:val="21"/>
                <w:highlight w:val="none"/>
              </w:rPr>
              <w:t>10.11</w:t>
            </w:r>
          </w:p>
        </w:tc>
        <w:tc>
          <w:tcPr>
            <w:tcW w:w="1112" w:type="dxa"/>
            <w:vAlign w:val="center"/>
          </w:tcPr>
          <w:p>
            <w:pPr>
              <w:spacing w:line="240" w:lineRule="auto"/>
              <w:ind w:firstLine="0" w:firstLineChars="0"/>
              <w:jc w:val="center"/>
              <w:rPr>
                <w:sz w:val="21"/>
                <w:szCs w:val="21"/>
                <w:highlight w:val="none"/>
              </w:rPr>
            </w:pPr>
            <w:r>
              <w:rPr>
                <w:sz w:val="21"/>
                <w:szCs w:val="21"/>
                <w:highlight w:val="none"/>
              </w:rPr>
              <w:t>2.25</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5.06</w:t>
            </w:r>
          </w:p>
        </w:tc>
        <w:tc>
          <w:tcPr>
            <w:tcW w:w="1716" w:type="dxa"/>
            <w:vAlign w:val="center"/>
          </w:tcPr>
          <w:p>
            <w:pPr>
              <w:spacing w:line="240" w:lineRule="auto"/>
              <w:ind w:firstLine="0" w:firstLineChars="0"/>
              <w:jc w:val="center"/>
              <w:rPr>
                <w:sz w:val="21"/>
                <w:szCs w:val="21"/>
                <w:highlight w:val="none"/>
              </w:rPr>
            </w:pPr>
            <w:r>
              <w:rPr>
                <w:sz w:val="21"/>
                <w:szCs w:val="21"/>
                <w:highlight w:val="none"/>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800.</w:t>
            </w:r>
          </w:p>
        </w:tc>
        <w:tc>
          <w:tcPr>
            <w:tcW w:w="1657" w:type="dxa"/>
            <w:vAlign w:val="center"/>
          </w:tcPr>
          <w:p>
            <w:pPr>
              <w:spacing w:line="240" w:lineRule="auto"/>
              <w:ind w:firstLine="0" w:firstLineChars="0"/>
              <w:jc w:val="center"/>
              <w:rPr>
                <w:sz w:val="21"/>
                <w:szCs w:val="21"/>
                <w:highlight w:val="none"/>
              </w:rPr>
            </w:pPr>
            <w:r>
              <w:rPr>
                <w:sz w:val="21"/>
                <w:szCs w:val="21"/>
                <w:highlight w:val="none"/>
              </w:rPr>
              <w:t>9.45</w:t>
            </w:r>
          </w:p>
        </w:tc>
        <w:tc>
          <w:tcPr>
            <w:tcW w:w="1112" w:type="dxa"/>
            <w:vAlign w:val="center"/>
          </w:tcPr>
          <w:p>
            <w:pPr>
              <w:spacing w:line="240" w:lineRule="auto"/>
              <w:ind w:firstLine="0" w:firstLineChars="0"/>
              <w:jc w:val="center"/>
              <w:rPr>
                <w:sz w:val="21"/>
                <w:szCs w:val="21"/>
                <w:highlight w:val="none"/>
              </w:rPr>
            </w:pPr>
            <w:r>
              <w:rPr>
                <w:sz w:val="21"/>
                <w:szCs w:val="21"/>
                <w:highlight w:val="none"/>
              </w:rPr>
              <w:t>2.1</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4.73</w:t>
            </w:r>
          </w:p>
        </w:tc>
        <w:tc>
          <w:tcPr>
            <w:tcW w:w="1716" w:type="dxa"/>
            <w:vAlign w:val="center"/>
          </w:tcPr>
          <w:p>
            <w:pPr>
              <w:spacing w:line="240" w:lineRule="auto"/>
              <w:ind w:firstLine="0" w:firstLineChars="0"/>
              <w:jc w:val="center"/>
              <w:rPr>
                <w:sz w:val="21"/>
                <w:szCs w:val="21"/>
                <w:highlight w:val="none"/>
              </w:rPr>
            </w:pPr>
            <w:r>
              <w:rPr>
                <w:sz w:val="21"/>
                <w:szCs w:val="21"/>
                <w:highlight w:val="none"/>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900.</w:t>
            </w:r>
          </w:p>
        </w:tc>
        <w:tc>
          <w:tcPr>
            <w:tcW w:w="1657" w:type="dxa"/>
            <w:vAlign w:val="center"/>
          </w:tcPr>
          <w:p>
            <w:pPr>
              <w:spacing w:line="240" w:lineRule="auto"/>
              <w:ind w:firstLine="0" w:firstLineChars="0"/>
              <w:jc w:val="center"/>
              <w:rPr>
                <w:sz w:val="21"/>
                <w:szCs w:val="21"/>
                <w:highlight w:val="none"/>
              </w:rPr>
            </w:pPr>
            <w:r>
              <w:rPr>
                <w:sz w:val="21"/>
                <w:szCs w:val="21"/>
                <w:highlight w:val="none"/>
              </w:rPr>
              <w:t>20.84</w:t>
            </w:r>
          </w:p>
        </w:tc>
        <w:tc>
          <w:tcPr>
            <w:tcW w:w="1112" w:type="dxa"/>
            <w:vAlign w:val="center"/>
          </w:tcPr>
          <w:p>
            <w:pPr>
              <w:spacing w:line="240" w:lineRule="auto"/>
              <w:ind w:firstLine="0" w:firstLineChars="0"/>
              <w:jc w:val="center"/>
              <w:rPr>
                <w:sz w:val="21"/>
                <w:szCs w:val="21"/>
                <w:highlight w:val="none"/>
              </w:rPr>
            </w:pPr>
            <w:r>
              <w:rPr>
                <w:sz w:val="21"/>
                <w:szCs w:val="21"/>
                <w:highlight w:val="none"/>
              </w:rPr>
              <w:t>4.63</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10.42</w:t>
            </w:r>
          </w:p>
        </w:tc>
        <w:tc>
          <w:tcPr>
            <w:tcW w:w="1716" w:type="dxa"/>
            <w:vAlign w:val="center"/>
          </w:tcPr>
          <w:p>
            <w:pPr>
              <w:spacing w:line="240" w:lineRule="auto"/>
              <w:ind w:firstLine="0" w:firstLineChars="0"/>
              <w:jc w:val="center"/>
              <w:rPr>
                <w:sz w:val="21"/>
                <w:szCs w:val="21"/>
                <w:highlight w:val="none"/>
              </w:rPr>
            </w:pPr>
            <w:r>
              <w:rPr>
                <w:sz w:val="21"/>
                <w:szCs w:val="21"/>
                <w:highlight w:val="none"/>
              </w:rPr>
              <w:t>4.63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1000.</w:t>
            </w:r>
          </w:p>
        </w:tc>
        <w:tc>
          <w:tcPr>
            <w:tcW w:w="1657" w:type="dxa"/>
            <w:vAlign w:val="center"/>
          </w:tcPr>
          <w:p>
            <w:pPr>
              <w:spacing w:line="240" w:lineRule="auto"/>
              <w:ind w:firstLine="0" w:firstLineChars="0"/>
              <w:jc w:val="center"/>
              <w:rPr>
                <w:sz w:val="21"/>
                <w:szCs w:val="21"/>
                <w:highlight w:val="none"/>
              </w:rPr>
            </w:pPr>
            <w:r>
              <w:rPr>
                <w:sz w:val="21"/>
                <w:szCs w:val="21"/>
                <w:highlight w:val="none"/>
              </w:rPr>
              <w:t>37.38</w:t>
            </w:r>
          </w:p>
        </w:tc>
        <w:tc>
          <w:tcPr>
            <w:tcW w:w="1112" w:type="dxa"/>
            <w:vAlign w:val="center"/>
          </w:tcPr>
          <w:p>
            <w:pPr>
              <w:spacing w:line="240" w:lineRule="auto"/>
              <w:ind w:firstLine="0" w:firstLineChars="0"/>
              <w:jc w:val="center"/>
              <w:rPr>
                <w:sz w:val="21"/>
                <w:szCs w:val="21"/>
                <w:highlight w:val="none"/>
              </w:rPr>
            </w:pPr>
            <w:r>
              <w:rPr>
                <w:sz w:val="21"/>
                <w:szCs w:val="21"/>
                <w:highlight w:val="none"/>
              </w:rPr>
              <w:t>8.31</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18.69</w:t>
            </w:r>
          </w:p>
        </w:tc>
        <w:tc>
          <w:tcPr>
            <w:tcW w:w="1716" w:type="dxa"/>
            <w:vAlign w:val="center"/>
          </w:tcPr>
          <w:p>
            <w:pPr>
              <w:spacing w:line="240" w:lineRule="auto"/>
              <w:ind w:firstLine="0" w:firstLineChars="0"/>
              <w:jc w:val="center"/>
              <w:rPr>
                <w:sz w:val="21"/>
                <w:szCs w:val="21"/>
                <w:highlight w:val="none"/>
              </w:rPr>
            </w:pPr>
            <w:r>
              <w:rPr>
                <w:sz w:val="21"/>
                <w:szCs w:val="21"/>
                <w:highlight w:val="none"/>
              </w:rPr>
              <w:t>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1500.</w:t>
            </w:r>
          </w:p>
        </w:tc>
        <w:tc>
          <w:tcPr>
            <w:tcW w:w="1657" w:type="dxa"/>
            <w:vAlign w:val="center"/>
          </w:tcPr>
          <w:p>
            <w:pPr>
              <w:spacing w:line="240" w:lineRule="auto"/>
              <w:ind w:firstLine="0" w:firstLineChars="0"/>
              <w:jc w:val="center"/>
              <w:rPr>
                <w:sz w:val="21"/>
                <w:szCs w:val="21"/>
                <w:highlight w:val="none"/>
              </w:rPr>
            </w:pPr>
            <w:r>
              <w:rPr>
                <w:sz w:val="21"/>
                <w:szCs w:val="21"/>
                <w:highlight w:val="none"/>
              </w:rPr>
              <w:t>16.92</w:t>
            </w:r>
          </w:p>
        </w:tc>
        <w:tc>
          <w:tcPr>
            <w:tcW w:w="1112" w:type="dxa"/>
            <w:vAlign w:val="center"/>
          </w:tcPr>
          <w:p>
            <w:pPr>
              <w:spacing w:line="240" w:lineRule="auto"/>
              <w:ind w:firstLine="0" w:firstLineChars="0"/>
              <w:jc w:val="center"/>
              <w:rPr>
                <w:sz w:val="21"/>
                <w:szCs w:val="21"/>
                <w:highlight w:val="none"/>
              </w:rPr>
            </w:pPr>
            <w:r>
              <w:rPr>
                <w:sz w:val="21"/>
                <w:szCs w:val="21"/>
                <w:highlight w:val="none"/>
              </w:rPr>
              <w:t>3.76</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8.46</w:t>
            </w:r>
          </w:p>
        </w:tc>
        <w:tc>
          <w:tcPr>
            <w:tcW w:w="1716" w:type="dxa"/>
            <w:vAlign w:val="center"/>
          </w:tcPr>
          <w:p>
            <w:pPr>
              <w:spacing w:line="240" w:lineRule="auto"/>
              <w:ind w:firstLine="0" w:firstLineChars="0"/>
              <w:jc w:val="center"/>
              <w:rPr>
                <w:sz w:val="21"/>
                <w:szCs w:val="21"/>
                <w:highlight w:val="none"/>
              </w:rPr>
            </w:pPr>
            <w:r>
              <w:rPr>
                <w:sz w:val="21"/>
                <w:szCs w:val="21"/>
                <w:highlight w:val="none"/>
              </w:rPr>
              <w:t>3.76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2000</w:t>
            </w:r>
          </w:p>
        </w:tc>
        <w:tc>
          <w:tcPr>
            <w:tcW w:w="1657" w:type="dxa"/>
            <w:vAlign w:val="center"/>
          </w:tcPr>
          <w:p>
            <w:pPr>
              <w:spacing w:line="240" w:lineRule="auto"/>
              <w:ind w:firstLine="0" w:firstLineChars="0"/>
              <w:jc w:val="center"/>
              <w:rPr>
                <w:sz w:val="21"/>
                <w:szCs w:val="21"/>
                <w:highlight w:val="none"/>
              </w:rPr>
            </w:pPr>
            <w:r>
              <w:rPr>
                <w:sz w:val="21"/>
                <w:szCs w:val="21"/>
                <w:highlight w:val="none"/>
              </w:rPr>
              <w:t>5.1</w:t>
            </w:r>
          </w:p>
        </w:tc>
        <w:tc>
          <w:tcPr>
            <w:tcW w:w="1112" w:type="dxa"/>
            <w:vAlign w:val="center"/>
          </w:tcPr>
          <w:p>
            <w:pPr>
              <w:spacing w:line="240" w:lineRule="auto"/>
              <w:ind w:firstLine="0" w:firstLineChars="0"/>
              <w:jc w:val="center"/>
              <w:rPr>
                <w:sz w:val="21"/>
                <w:szCs w:val="21"/>
                <w:highlight w:val="none"/>
              </w:rPr>
            </w:pPr>
            <w:r>
              <w:rPr>
                <w:sz w:val="21"/>
                <w:szCs w:val="21"/>
                <w:highlight w:val="none"/>
              </w:rPr>
              <w:t>1.13</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2.505</w:t>
            </w:r>
          </w:p>
        </w:tc>
        <w:tc>
          <w:tcPr>
            <w:tcW w:w="1716" w:type="dxa"/>
            <w:vAlign w:val="center"/>
          </w:tcPr>
          <w:p>
            <w:pPr>
              <w:spacing w:line="240" w:lineRule="auto"/>
              <w:ind w:firstLine="0" w:firstLineChars="0"/>
              <w:jc w:val="center"/>
              <w:rPr>
                <w:sz w:val="21"/>
                <w:szCs w:val="21"/>
                <w:highlight w:val="none"/>
              </w:rPr>
            </w:pPr>
            <w:r>
              <w:rPr>
                <w:sz w:val="21"/>
                <w:szCs w:val="21"/>
                <w:highlight w:val="none"/>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2500.</w:t>
            </w:r>
          </w:p>
        </w:tc>
        <w:tc>
          <w:tcPr>
            <w:tcW w:w="1657" w:type="dxa"/>
            <w:vAlign w:val="center"/>
          </w:tcPr>
          <w:p>
            <w:pPr>
              <w:spacing w:line="240" w:lineRule="auto"/>
              <w:ind w:firstLine="0" w:firstLineChars="0"/>
              <w:jc w:val="center"/>
              <w:rPr>
                <w:sz w:val="21"/>
                <w:szCs w:val="21"/>
                <w:highlight w:val="none"/>
              </w:rPr>
            </w:pPr>
            <w:r>
              <w:rPr>
                <w:sz w:val="21"/>
                <w:szCs w:val="21"/>
                <w:highlight w:val="none"/>
              </w:rPr>
              <w:t>12.6</w:t>
            </w:r>
          </w:p>
        </w:tc>
        <w:tc>
          <w:tcPr>
            <w:tcW w:w="1112" w:type="dxa"/>
            <w:vAlign w:val="center"/>
          </w:tcPr>
          <w:p>
            <w:pPr>
              <w:spacing w:line="240" w:lineRule="auto"/>
              <w:ind w:firstLine="0" w:firstLineChars="0"/>
              <w:jc w:val="center"/>
              <w:rPr>
                <w:sz w:val="21"/>
                <w:szCs w:val="21"/>
                <w:highlight w:val="none"/>
              </w:rPr>
            </w:pPr>
            <w:r>
              <w:rPr>
                <w:sz w:val="21"/>
                <w:szCs w:val="21"/>
                <w:highlight w:val="none"/>
              </w:rPr>
              <w:t>2.8</w:t>
            </w:r>
          </w:p>
        </w:tc>
        <w:tc>
          <w:tcPr>
            <w:tcW w:w="1056"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6.3</w:t>
            </w:r>
          </w:p>
        </w:tc>
        <w:tc>
          <w:tcPr>
            <w:tcW w:w="1716" w:type="dxa"/>
            <w:vAlign w:val="center"/>
          </w:tcPr>
          <w:p>
            <w:pPr>
              <w:spacing w:line="240" w:lineRule="auto"/>
              <w:ind w:firstLine="0" w:firstLineChars="0"/>
              <w:jc w:val="center"/>
              <w:rPr>
                <w:sz w:val="21"/>
                <w:szCs w:val="21"/>
                <w:highlight w:val="none"/>
              </w:rPr>
            </w:pPr>
            <w:r>
              <w:rPr>
                <w:sz w:val="21"/>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最大浓度及占标率</w:t>
            </w:r>
          </w:p>
        </w:tc>
        <w:tc>
          <w:tcPr>
            <w:tcW w:w="1657"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38.30</w:t>
            </w:r>
          </w:p>
        </w:tc>
        <w:tc>
          <w:tcPr>
            <w:tcW w:w="1112"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8.51</w:t>
            </w:r>
          </w:p>
        </w:tc>
        <w:tc>
          <w:tcPr>
            <w:tcW w:w="1056" w:type="dxa"/>
            <w:gridSpan w:val="2"/>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19.15</w:t>
            </w:r>
          </w:p>
        </w:tc>
        <w:tc>
          <w:tcPr>
            <w:tcW w:w="1716"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8.51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2783" w:type="dxa"/>
            <w:vAlign w:val="center"/>
          </w:tcPr>
          <w:p>
            <w:pPr>
              <w:spacing w:line="240" w:lineRule="auto"/>
              <w:ind w:firstLine="0" w:firstLineChars="0"/>
              <w:jc w:val="center"/>
              <w:rPr>
                <w:sz w:val="21"/>
                <w:szCs w:val="21"/>
                <w:highlight w:val="none"/>
              </w:rPr>
            </w:pPr>
            <w:r>
              <w:rPr>
                <w:sz w:val="21"/>
                <w:szCs w:val="21"/>
                <w:highlight w:val="none"/>
              </w:rPr>
              <w:t>出现最大浓度的距离(m)</w:t>
            </w:r>
          </w:p>
        </w:tc>
        <w:tc>
          <w:tcPr>
            <w:tcW w:w="5541" w:type="dxa"/>
            <w:gridSpan w:val="5"/>
            <w:vAlign w:val="center"/>
          </w:tcPr>
          <w:p>
            <w:pPr>
              <w:widowControl/>
              <w:spacing w:line="240" w:lineRule="auto"/>
              <w:ind w:firstLine="0" w:firstLineChars="0"/>
              <w:jc w:val="center"/>
              <w:textAlignment w:val="auto"/>
              <w:rPr>
                <w:sz w:val="21"/>
                <w:szCs w:val="21"/>
                <w:highlight w:val="none"/>
              </w:rPr>
            </w:pPr>
            <w:r>
              <w:rPr>
                <w:sz w:val="21"/>
                <w:szCs w:val="21"/>
                <w:highlight w:val="none"/>
              </w:rPr>
              <w:t>1010</w:t>
            </w:r>
          </w:p>
        </w:tc>
      </w:tr>
    </w:tbl>
    <w:p>
      <w:pPr>
        <w:spacing w:line="240" w:lineRule="auto"/>
        <w:ind w:firstLine="0" w:firstLineChars="0"/>
        <w:jc w:val="center"/>
        <w:textAlignment w:val="auto"/>
        <w:rPr>
          <w:rFonts w:eastAsia="黑体"/>
          <w:kern w:val="2"/>
          <w:sz w:val="21"/>
          <w:szCs w:val="21"/>
          <w:highlight w:val="none"/>
        </w:rPr>
      </w:pPr>
    </w:p>
    <w:p>
      <w:pPr>
        <w:widowControl/>
        <w:ind w:firstLine="480"/>
        <w:textAlignment w:val="auto"/>
        <w:rPr>
          <w:kern w:val="2"/>
          <w:sz w:val="24"/>
          <w:szCs w:val="24"/>
          <w:highlight w:val="none"/>
        </w:rPr>
      </w:pPr>
      <w:r>
        <w:rPr>
          <w:kern w:val="2"/>
          <w:sz w:val="24"/>
          <w:szCs w:val="24"/>
          <w:highlight w:val="none"/>
        </w:rPr>
        <w:t>由预测结果可知，破碎车间有组织排放的PM</w:t>
      </w:r>
      <w:r>
        <w:rPr>
          <w:kern w:val="2"/>
          <w:sz w:val="24"/>
          <w:szCs w:val="24"/>
          <w:highlight w:val="none"/>
          <w:vertAlign w:val="subscript"/>
        </w:rPr>
        <w:t>10</w:t>
      </w:r>
      <w:r>
        <w:rPr>
          <w:kern w:val="2"/>
          <w:sz w:val="24"/>
          <w:szCs w:val="24"/>
          <w:highlight w:val="none"/>
        </w:rPr>
        <w:t>最大浓度为38.30</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，最大浓度占标率为8.51%，出现距离为1010m</w:t>
      </w:r>
      <w:r>
        <w:rPr>
          <w:rFonts w:hint="eastAsia"/>
          <w:kern w:val="2"/>
          <w:sz w:val="24"/>
          <w:szCs w:val="24"/>
          <w:highlight w:val="none"/>
        </w:rPr>
        <w:t>，</w:t>
      </w:r>
      <w:r>
        <w:rPr>
          <w:kern w:val="2"/>
          <w:sz w:val="24"/>
          <w:szCs w:val="24"/>
          <w:highlight w:val="none"/>
        </w:rPr>
        <w:t>PM</w:t>
      </w:r>
      <w:r>
        <w:rPr>
          <w:rFonts w:hint="eastAsia"/>
          <w:kern w:val="2"/>
          <w:sz w:val="24"/>
          <w:szCs w:val="24"/>
          <w:highlight w:val="none"/>
        </w:rPr>
        <w:t>2.5</w:t>
      </w:r>
      <w:r>
        <w:rPr>
          <w:kern w:val="2"/>
          <w:sz w:val="24"/>
          <w:szCs w:val="24"/>
          <w:highlight w:val="none"/>
        </w:rPr>
        <w:t>最大浓度为</w:t>
      </w:r>
      <w:r>
        <w:rPr>
          <w:rFonts w:hint="eastAsia"/>
          <w:kern w:val="2"/>
          <w:sz w:val="24"/>
          <w:szCs w:val="24"/>
          <w:highlight w:val="none"/>
        </w:rPr>
        <w:t>19.15</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，最大浓度占标率为8.51%，出现距离为1010m。</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13</w:t>
      </w:r>
      <w:r>
        <w:rPr>
          <w:rFonts w:eastAsia="黑体"/>
          <w:kern w:val="2"/>
          <w:sz w:val="21"/>
          <w:szCs w:val="21"/>
          <w:highlight w:val="none"/>
        </w:rPr>
        <w:t>无组织排放</w:t>
      </w:r>
      <w:r>
        <w:rPr>
          <w:rFonts w:hint="eastAsia" w:eastAsia="黑体"/>
          <w:kern w:val="2"/>
          <w:sz w:val="21"/>
          <w:szCs w:val="21"/>
          <w:highlight w:val="none"/>
        </w:rPr>
        <w:t>厂界</w:t>
      </w:r>
      <w:r>
        <w:rPr>
          <w:rFonts w:eastAsia="黑体"/>
          <w:kern w:val="2"/>
          <w:sz w:val="21"/>
          <w:szCs w:val="21"/>
          <w:highlight w:val="none"/>
        </w:rPr>
        <w:t>预测结果</w:t>
      </w:r>
    </w:p>
    <w:tbl>
      <w:tblPr>
        <w:tblStyle w:val="48"/>
        <w:tblW w:w="8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 w:type="dxa"/>
          <w:bottom w:w="0" w:type="dxa"/>
          <w:right w:w="6" w:type="dxa"/>
        </w:tblCellMar>
      </w:tblPr>
      <w:tblGrid>
        <w:gridCol w:w="1741"/>
        <w:gridCol w:w="1731"/>
        <w:gridCol w:w="1562"/>
        <w:gridCol w:w="1730"/>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Merge w:val="restart"/>
            <w:vAlign w:val="center"/>
          </w:tcPr>
          <w:p>
            <w:pPr>
              <w:spacing w:line="240" w:lineRule="auto"/>
              <w:ind w:firstLine="0" w:firstLineChars="0"/>
              <w:jc w:val="center"/>
              <w:rPr>
                <w:sz w:val="21"/>
                <w:szCs w:val="21"/>
                <w:highlight w:val="none"/>
              </w:rPr>
            </w:pPr>
            <w:r>
              <w:rPr>
                <w:sz w:val="21"/>
                <w:szCs w:val="21"/>
                <w:highlight w:val="none"/>
              </w:rPr>
              <w:t>距污染源</w:t>
            </w:r>
          </w:p>
          <w:p>
            <w:pPr>
              <w:spacing w:line="240" w:lineRule="auto"/>
              <w:ind w:firstLine="0" w:firstLineChars="0"/>
              <w:jc w:val="center"/>
              <w:rPr>
                <w:sz w:val="21"/>
                <w:szCs w:val="21"/>
                <w:highlight w:val="none"/>
              </w:rPr>
            </w:pPr>
            <w:r>
              <w:rPr>
                <w:sz w:val="21"/>
                <w:szCs w:val="21"/>
                <w:highlight w:val="none"/>
              </w:rPr>
              <w:t>下风向的距离</w:t>
            </w:r>
          </w:p>
          <w:p>
            <w:pPr>
              <w:spacing w:line="240" w:lineRule="auto"/>
              <w:ind w:firstLine="0" w:firstLineChars="0"/>
              <w:jc w:val="center"/>
              <w:rPr>
                <w:sz w:val="21"/>
                <w:szCs w:val="21"/>
                <w:highlight w:val="none"/>
              </w:rPr>
            </w:pPr>
            <w:r>
              <w:rPr>
                <w:sz w:val="21"/>
                <w:szCs w:val="21"/>
                <w:highlight w:val="none"/>
              </w:rPr>
              <w:t>D（m）</w:t>
            </w:r>
          </w:p>
        </w:tc>
        <w:tc>
          <w:tcPr>
            <w:tcW w:w="3293" w:type="dxa"/>
            <w:gridSpan w:val="2"/>
            <w:vAlign w:val="center"/>
          </w:tcPr>
          <w:p>
            <w:pPr>
              <w:spacing w:line="240" w:lineRule="auto"/>
              <w:ind w:firstLine="0" w:firstLineChars="0"/>
              <w:jc w:val="center"/>
              <w:rPr>
                <w:sz w:val="21"/>
                <w:szCs w:val="21"/>
                <w:highlight w:val="none"/>
              </w:rPr>
            </w:pPr>
            <w:r>
              <w:rPr>
                <w:sz w:val="21"/>
                <w:szCs w:val="21"/>
                <w:highlight w:val="none"/>
              </w:rPr>
              <w:t>破碎车间TSP</w:t>
            </w:r>
          </w:p>
        </w:tc>
        <w:tc>
          <w:tcPr>
            <w:tcW w:w="3290" w:type="dxa"/>
            <w:gridSpan w:val="2"/>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成品</w:t>
            </w:r>
            <w:r>
              <w:rPr>
                <w:sz w:val="21"/>
                <w:szCs w:val="21"/>
                <w:highlight w:val="none"/>
              </w:rPr>
              <w:t>库TSP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Merge w:val="continue"/>
            <w:vAlign w:val="center"/>
          </w:tcPr>
          <w:p>
            <w:pPr>
              <w:spacing w:line="240" w:lineRule="auto"/>
              <w:ind w:firstLine="0" w:firstLineChars="0"/>
              <w:jc w:val="center"/>
              <w:rPr>
                <w:sz w:val="21"/>
                <w:szCs w:val="21"/>
                <w:highlight w:val="none"/>
              </w:rPr>
            </w:pPr>
          </w:p>
        </w:tc>
        <w:tc>
          <w:tcPr>
            <w:tcW w:w="1731" w:type="dxa"/>
            <w:vAlign w:val="center"/>
          </w:tcPr>
          <w:p>
            <w:pPr>
              <w:spacing w:line="240" w:lineRule="auto"/>
              <w:ind w:firstLine="0" w:firstLineChars="0"/>
              <w:jc w:val="center"/>
              <w:rPr>
                <w:sz w:val="21"/>
                <w:szCs w:val="21"/>
                <w:highlight w:val="none"/>
              </w:rPr>
            </w:pPr>
            <w:r>
              <w:rPr>
                <w:sz w:val="21"/>
                <w:szCs w:val="21"/>
                <w:highlight w:val="none"/>
              </w:rPr>
              <w:t>预测质量浓度(μg/m</w:t>
            </w:r>
            <w:r>
              <w:rPr>
                <w:sz w:val="21"/>
                <w:szCs w:val="21"/>
                <w:highlight w:val="none"/>
                <w:vertAlign w:val="superscript"/>
              </w:rPr>
              <w:t>3</w:t>
            </w:r>
            <w:r>
              <w:rPr>
                <w:sz w:val="21"/>
                <w:szCs w:val="21"/>
                <w:highlight w:val="none"/>
              </w:rPr>
              <w:t>)</w:t>
            </w:r>
          </w:p>
        </w:tc>
        <w:tc>
          <w:tcPr>
            <w:tcW w:w="1562" w:type="dxa"/>
            <w:vAlign w:val="center"/>
          </w:tcPr>
          <w:p>
            <w:pPr>
              <w:spacing w:line="240" w:lineRule="auto"/>
              <w:ind w:firstLine="0" w:firstLineChars="0"/>
              <w:jc w:val="center"/>
              <w:rPr>
                <w:sz w:val="21"/>
                <w:szCs w:val="21"/>
                <w:highlight w:val="none"/>
              </w:rPr>
            </w:pPr>
            <w:r>
              <w:rPr>
                <w:sz w:val="21"/>
                <w:szCs w:val="21"/>
                <w:highlight w:val="none"/>
              </w:rPr>
              <w:t>占标率(%)</w:t>
            </w:r>
          </w:p>
        </w:tc>
        <w:tc>
          <w:tcPr>
            <w:tcW w:w="1730" w:type="dxa"/>
            <w:vAlign w:val="center"/>
          </w:tcPr>
          <w:p>
            <w:pPr>
              <w:spacing w:line="240" w:lineRule="auto"/>
              <w:ind w:firstLine="0" w:firstLineChars="0"/>
              <w:jc w:val="center"/>
              <w:rPr>
                <w:sz w:val="21"/>
                <w:szCs w:val="21"/>
                <w:highlight w:val="none"/>
              </w:rPr>
            </w:pPr>
            <w:r>
              <w:rPr>
                <w:sz w:val="21"/>
                <w:szCs w:val="21"/>
                <w:highlight w:val="none"/>
              </w:rPr>
              <w:t>预测质量浓度(μg/m</w:t>
            </w:r>
            <w:r>
              <w:rPr>
                <w:sz w:val="21"/>
                <w:szCs w:val="21"/>
                <w:highlight w:val="none"/>
                <w:vertAlign w:val="superscript"/>
              </w:rPr>
              <w:t>3</w:t>
            </w:r>
            <w:r>
              <w:rPr>
                <w:sz w:val="21"/>
                <w:szCs w:val="21"/>
                <w:highlight w:val="none"/>
              </w:rPr>
              <w:t>)</w:t>
            </w:r>
          </w:p>
        </w:tc>
        <w:tc>
          <w:tcPr>
            <w:tcW w:w="1560" w:type="dxa"/>
            <w:vAlign w:val="center"/>
          </w:tcPr>
          <w:p>
            <w:pPr>
              <w:spacing w:line="240" w:lineRule="auto"/>
              <w:ind w:firstLine="0" w:firstLineChars="0"/>
              <w:jc w:val="center"/>
              <w:rPr>
                <w:sz w:val="21"/>
                <w:szCs w:val="21"/>
                <w:highlight w:val="none"/>
              </w:rPr>
            </w:pPr>
            <w:r>
              <w:rPr>
                <w:sz w:val="21"/>
                <w:szCs w:val="21"/>
                <w:highlight w:val="none"/>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25</w:t>
            </w:r>
          </w:p>
        </w:tc>
        <w:tc>
          <w:tcPr>
            <w:tcW w:w="1731" w:type="dxa"/>
            <w:vAlign w:val="center"/>
          </w:tcPr>
          <w:p>
            <w:pPr>
              <w:spacing w:line="240" w:lineRule="auto"/>
              <w:ind w:firstLine="0" w:firstLineChars="0"/>
              <w:jc w:val="center"/>
              <w:rPr>
                <w:sz w:val="21"/>
                <w:szCs w:val="21"/>
                <w:highlight w:val="none"/>
              </w:rPr>
            </w:pPr>
            <w:r>
              <w:rPr>
                <w:sz w:val="21"/>
                <w:szCs w:val="21"/>
                <w:highlight w:val="none"/>
              </w:rPr>
              <w:t>30.93</w:t>
            </w:r>
          </w:p>
        </w:tc>
        <w:tc>
          <w:tcPr>
            <w:tcW w:w="1562" w:type="dxa"/>
            <w:vAlign w:val="center"/>
          </w:tcPr>
          <w:p>
            <w:pPr>
              <w:spacing w:line="240" w:lineRule="auto"/>
              <w:ind w:firstLine="0" w:firstLineChars="0"/>
              <w:jc w:val="center"/>
              <w:rPr>
                <w:sz w:val="21"/>
                <w:szCs w:val="21"/>
                <w:highlight w:val="none"/>
              </w:rPr>
            </w:pPr>
            <w:r>
              <w:rPr>
                <w:sz w:val="21"/>
                <w:szCs w:val="21"/>
                <w:highlight w:val="none"/>
              </w:rPr>
              <w:t>3.44</w:t>
            </w:r>
          </w:p>
        </w:tc>
        <w:tc>
          <w:tcPr>
            <w:tcW w:w="1730" w:type="dxa"/>
            <w:vAlign w:val="center"/>
          </w:tcPr>
          <w:p>
            <w:pPr>
              <w:spacing w:line="240" w:lineRule="auto"/>
              <w:ind w:firstLine="0" w:firstLineChars="0"/>
              <w:jc w:val="center"/>
              <w:rPr>
                <w:sz w:val="21"/>
                <w:szCs w:val="21"/>
                <w:highlight w:val="none"/>
              </w:rPr>
            </w:pPr>
            <w:r>
              <w:rPr>
                <w:sz w:val="21"/>
                <w:szCs w:val="21"/>
                <w:highlight w:val="none"/>
              </w:rPr>
              <w:t>39.61</w:t>
            </w:r>
          </w:p>
        </w:tc>
        <w:tc>
          <w:tcPr>
            <w:tcW w:w="1560" w:type="dxa"/>
            <w:vAlign w:val="center"/>
          </w:tcPr>
          <w:p>
            <w:pPr>
              <w:spacing w:line="240" w:lineRule="auto"/>
              <w:ind w:firstLine="0" w:firstLineChars="0"/>
              <w:jc w:val="center"/>
              <w:rPr>
                <w:sz w:val="21"/>
                <w:szCs w:val="21"/>
                <w:highlight w:val="none"/>
              </w:rPr>
            </w:pPr>
            <w:r>
              <w:rPr>
                <w:sz w:val="21"/>
                <w:szCs w:val="21"/>
                <w:highlight w:val="none"/>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50</w:t>
            </w:r>
          </w:p>
        </w:tc>
        <w:tc>
          <w:tcPr>
            <w:tcW w:w="1731" w:type="dxa"/>
            <w:vAlign w:val="center"/>
          </w:tcPr>
          <w:p>
            <w:pPr>
              <w:spacing w:line="240" w:lineRule="auto"/>
              <w:ind w:firstLine="0" w:firstLineChars="0"/>
              <w:jc w:val="center"/>
              <w:rPr>
                <w:sz w:val="21"/>
                <w:szCs w:val="21"/>
                <w:highlight w:val="none"/>
              </w:rPr>
            </w:pPr>
            <w:r>
              <w:rPr>
                <w:sz w:val="21"/>
                <w:szCs w:val="21"/>
                <w:highlight w:val="none"/>
              </w:rPr>
              <w:t>38.62</w:t>
            </w:r>
          </w:p>
        </w:tc>
        <w:tc>
          <w:tcPr>
            <w:tcW w:w="1562" w:type="dxa"/>
            <w:vAlign w:val="center"/>
          </w:tcPr>
          <w:p>
            <w:pPr>
              <w:spacing w:line="240" w:lineRule="auto"/>
              <w:ind w:firstLine="0" w:firstLineChars="0"/>
              <w:jc w:val="center"/>
              <w:rPr>
                <w:sz w:val="21"/>
                <w:szCs w:val="21"/>
                <w:highlight w:val="none"/>
              </w:rPr>
            </w:pPr>
            <w:r>
              <w:rPr>
                <w:sz w:val="21"/>
                <w:szCs w:val="21"/>
                <w:highlight w:val="none"/>
              </w:rPr>
              <w:t>4.29</w:t>
            </w:r>
          </w:p>
        </w:tc>
        <w:tc>
          <w:tcPr>
            <w:tcW w:w="1730" w:type="dxa"/>
            <w:vAlign w:val="center"/>
          </w:tcPr>
          <w:p>
            <w:pPr>
              <w:spacing w:line="240" w:lineRule="auto"/>
              <w:ind w:firstLine="0" w:firstLineChars="0"/>
              <w:jc w:val="center"/>
              <w:rPr>
                <w:sz w:val="21"/>
                <w:szCs w:val="21"/>
                <w:highlight w:val="none"/>
              </w:rPr>
            </w:pPr>
            <w:r>
              <w:rPr>
                <w:sz w:val="21"/>
                <w:szCs w:val="21"/>
                <w:highlight w:val="none"/>
              </w:rPr>
              <w:t>52.04</w:t>
            </w:r>
          </w:p>
        </w:tc>
        <w:tc>
          <w:tcPr>
            <w:tcW w:w="1560" w:type="dxa"/>
            <w:vAlign w:val="center"/>
          </w:tcPr>
          <w:p>
            <w:pPr>
              <w:spacing w:line="240" w:lineRule="auto"/>
              <w:ind w:firstLine="0" w:firstLineChars="0"/>
              <w:jc w:val="center"/>
              <w:rPr>
                <w:sz w:val="21"/>
                <w:szCs w:val="21"/>
                <w:highlight w:val="none"/>
              </w:rPr>
            </w:pPr>
            <w:r>
              <w:rPr>
                <w:sz w:val="21"/>
                <w:szCs w:val="21"/>
                <w:highlight w:val="none"/>
              </w:rPr>
              <w:t>5.78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75</w:t>
            </w:r>
          </w:p>
        </w:tc>
        <w:tc>
          <w:tcPr>
            <w:tcW w:w="1731" w:type="dxa"/>
            <w:vAlign w:val="center"/>
          </w:tcPr>
          <w:p>
            <w:pPr>
              <w:spacing w:line="240" w:lineRule="auto"/>
              <w:ind w:firstLine="0" w:firstLineChars="0"/>
              <w:jc w:val="center"/>
              <w:rPr>
                <w:sz w:val="21"/>
                <w:szCs w:val="21"/>
                <w:highlight w:val="none"/>
              </w:rPr>
            </w:pPr>
            <w:r>
              <w:rPr>
                <w:sz w:val="21"/>
                <w:szCs w:val="21"/>
                <w:highlight w:val="none"/>
              </w:rPr>
              <w:t>34.77</w:t>
            </w:r>
          </w:p>
        </w:tc>
        <w:tc>
          <w:tcPr>
            <w:tcW w:w="1562" w:type="dxa"/>
            <w:vAlign w:val="center"/>
          </w:tcPr>
          <w:p>
            <w:pPr>
              <w:spacing w:line="240" w:lineRule="auto"/>
              <w:ind w:firstLine="0" w:firstLineChars="0"/>
              <w:jc w:val="center"/>
              <w:rPr>
                <w:sz w:val="21"/>
                <w:szCs w:val="21"/>
                <w:highlight w:val="none"/>
              </w:rPr>
            </w:pPr>
            <w:r>
              <w:rPr>
                <w:sz w:val="21"/>
                <w:szCs w:val="21"/>
                <w:highlight w:val="none"/>
              </w:rPr>
              <w:t>3.86</w:t>
            </w:r>
          </w:p>
        </w:tc>
        <w:tc>
          <w:tcPr>
            <w:tcW w:w="1730" w:type="dxa"/>
            <w:vAlign w:val="center"/>
          </w:tcPr>
          <w:p>
            <w:pPr>
              <w:spacing w:line="240" w:lineRule="auto"/>
              <w:ind w:firstLine="0" w:firstLineChars="0"/>
              <w:jc w:val="center"/>
              <w:rPr>
                <w:sz w:val="21"/>
                <w:szCs w:val="21"/>
                <w:highlight w:val="none"/>
              </w:rPr>
            </w:pPr>
            <w:r>
              <w:rPr>
                <w:sz w:val="21"/>
                <w:szCs w:val="21"/>
                <w:highlight w:val="none"/>
              </w:rPr>
              <w:t>52.24</w:t>
            </w:r>
          </w:p>
        </w:tc>
        <w:tc>
          <w:tcPr>
            <w:tcW w:w="1560" w:type="dxa"/>
            <w:vAlign w:val="center"/>
          </w:tcPr>
          <w:p>
            <w:pPr>
              <w:spacing w:line="240" w:lineRule="auto"/>
              <w:ind w:firstLine="0" w:firstLineChars="0"/>
              <w:jc w:val="center"/>
              <w:rPr>
                <w:sz w:val="21"/>
                <w:szCs w:val="21"/>
                <w:highlight w:val="none"/>
              </w:rPr>
            </w:pPr>
            <w:r>
              <w:rPr>
                <w:sz w:val="21"/>
                <w:szCs w:val="21"/>
                <w:highlight w:val="none"/>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100</w:t>
            </w:r>
          </w:p>
        </w:tc>
        <w:tc>
          <w:tcPr>
            <w:tcW w:w="1731" w:type="dxa"/>
            <w:vAlign w:val="center"/>
          </w:tcPr>
          <w:p>
            <w:pPr>
              <w:spacing w:line="240" w:lineRule="auto"/>
              <w:ind w:firstLine="0" w:firstLineChars="0"/>
              <w:jc w:val="center"/>
              <w:rPr>
                <w:sz w:val="21"/>
                <w:szCs w:val="21"/>
                <w:highlight w:val="none"/>
              </w:rPr>
            </w:pPr>
            <w:r>
              <w:rPr>
                <w:sz w:val="21"/>
                <w:szCs w:val="21"/>
                <w:highlight w:val="none"/>
              </w:rPr>
              <w:t>31.03</w:t>
            </w:r>
          </w:p>
        </w:tc>
        <w:tc>
          <w:tcPr>
            <w:tcW w:w="1562" w:type="dxa"/>
            <w:vAlign w:val="center"/>
          </w:tcPr>
          <w:p>
            <w:pPr>
              <w:spacing w:line="240" w:lineRule="auto"/>
              <w:ind w:firstLine="0" w:firstLineChars="0"/>
              <w:jc w:val="center"/>
              <w:rPr>
                <w:sz w:val="21"/>
                <w:szCs w:val="21"/>
                <w:highlight w:val="none"/>
              </w:rPr>
            </w:pPr>
            <w:r>
              <w:rPr>
                <w:sz w:val="21"/>
                <w:szCs w:val="21"/>
                <w:highlight w:val="none"/>
              </w:rPr>
              <w:t>3.45</w:t>
            </w:r>
          </w:p>
        </w:tc>
        <w:tc>
          <w:tcPr>
            <w:tcW w:w="1730" w:type="dxa"/>
            <w:vAlign w:val="center"/>
          </w:tcPr>
          <w:p>
            <w:pPr>
              <w:spacing w:line="240" w:lineRule="auto"/>
              <w:ind w:firstLine="0" w:firstLineChars="0"/>
              <w:jc w:val="center"/>
              <w:rPr>
                <w:sz w:val="21"/>
                <w:szCs w:val="21"/>
                <w:highlight w:val="none"/>
              </w:rPr>
            </w:pPr>
            <w:r>
              <w:rPr>
                <w:sz w:val="21"/>
                <w:szCs w:val="21"/>
                <w:highlight w:val="none"/>
              </w:rPr>
              <w:t>49.38</w:t>
            </w:r>
          </w:p>
        </w:tc>
        <w:tc>
          <w:tcPr>
            <w:tcW w:w="1560" w:type="dxa"/>
            <w:vAlign w:val="center"/>
          </w:tcPr>
          <w:p>
            <w:pPr>
              <w:spacing w:line="240" w:lineRule="auto"/>
              <w:ind w:firstLine="0" w:firstLineChars="0"/>
              <w:jc w:val="center"/>
              <w:rPr>
                <w:sz w:val="21"/>
                <w:szCs w:val="21"/>
                <w:highlight w:val="none"/>
              </w:rPr>
            </w:pPr>
            <w:r>
              <w:rPr>
                <w:sz w:val="21"/>
                <w:szCs w:val="21"/>
                <w:highlight w:val="none"/>
              </w:rPr>
              <w:t>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200.</w:t>
            </w:r>
          </w:p>
        </w:tc>
        <w:tc>
          <w:tcPr>
            <w:tcW w:w="1731" w:type="dxa"/>
            <w:vAlign w:val="center"/>
          </w:tcPr>
          <w:p>
            <w:pPr>
              <w:spacing w:line="240" w:lineRule="auto"/>
              <w:ind w:firstLine="0" w:firstLineChars="0"/>
              <w:jc w:val="center"/>
              <w:rPr>
                <w:sz w:val="21"/>
                <w:szCs w:val="21"/>
                <w:highlight w:val="none"/>
              </w:rPr>
            </w:pPr>
            <w:r>
              <w:rPr>
                <w:sz w:val="21"/>
                <w:szCs w:val="21"/>
                <w:highlight w:val="none"/>
              </w:rPr>
              <w:t>17.96</w:t>
            </w:r>
          </w:p>
        </w:tc>
        <w:tc>
          <w:tcPr>
            <w:tcW w:w="1562" w:type="dxa"/>
            <w:vAlign w:val="center"/>
          </w:tcPr>
          <w:p>
            <w:pPr>
              <w:spacing w:line="240" w:lineRule="auto"/>
              <w:ind w:firstLine="0" w:firstLineChars="0"/>
              <w:jc w:val="center"/>
              <w:rPr>
                <w:sz w:val="21"/>
                <w:szCs w:val="21"/>
                <w:highlight w:val="none"/>
              </w:rPr>
            </w:pPr>
            <w:r>
              <w:rPr>
                <w:sz w:val="21"/>
                <w:szCs w:val="21"/>
                <w:highlight w:val="none"/>
              </w:rPr>
              <w:t>2.0</w:t>
            </w:r>
          </w:p>
        </w:tc>
        <w:tc>
          <w:tcPr>
            <w:tcW w:w="1730" w:type="dxa"/>
            <w:vAlign w:val="center"/>
          </w:tcPr>
          <w:p>
            <w:pPr>
              <w:spacing w:line="240" w:lineRule="auto"/>
              <w:ind w:firstLine="0" w:firstLineChars="0"/>
              <w:jc w:val="center"/>
              <w:rPr>
                <w:sz w:val="21"/>
                <w:szCs w:val="21"/>
                <w:highlight w:val="none"/>
              </w:rPr>
            </w:pPr>
            <w:r>
              <w:rPr>
                <w:sz w:val="21"/>
                <w:szCs w:val="21"/>
                <w:highlight w:val="none"/>
              </w:rPr>
              <w:t>35.16</w:t>
            </w:r>
          </w:p>
        </w:tc>
        <w:tc>
          <w:tcPr>
            <w:tcW w:w="1560" w:type="dxa"/>
            <w:vAlign w:val="center"/>
          </w:tcPr>
          <w:p>
            <w:pPr>
              <w:spacing w:line="240" w:lineRule="auto"/>
              <w:ind w:firstLine="0" w:firstLineChars="0"/>
              <w:jc w:val="center"/>
              <w:rPr>
                <w:sz w:val="21"/>
                <w:szCs w:val="21"/>
                <w:highlight w:val="none"/>
              </w:rPr>
            </w:pPr>
            <w:r>
              <w:rPr>
                <w:sz w:val="21"/>
                <w:szCs w:val="21"/>
                <w:highlight w:val="none"/>
              </w:rPr>
              <w:t>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tcPr>
          <w:p>
            <w:pPr>
              <w:spacing w:line="240" w:lineRule="auto"/>
              <w:ind w:firstLine="0" w:firstLineChars="0"/>
              <w:jc w:val="center"/>
              <w:rPr>
                <w:sz w:val="21"/>
                <w:szCs w:val="21"/>
                <w:highlight w:val="none"/>
              </w:rPr>
            </w:pPr>
            <w:r>
              <w:rPr>
                <w:sz w:val="21"/>
                <w:szCs w:val="21"/>
                <w:highlight w:val="none"/>
              </w:rPr>
              <w:t>300.</w:t>
            </w:r>
          </w:p>
        </w:tc>
        <w:tc>
          <w:tcPr>
            <w:tcW w:w="1731" w:type="dxa"/>
            <w:vAlign w:val="center"/>
          </w:tcPr>
          <w:p>
            <w:pPr>
              <w:spacing w:line="240" w:lineRule="auto"/>
              <w:ind w:firstLine="0" w:firstLineChars="0"/>
              <w:jc w:val="center"/>
              <w:rPr>
                <w:sz w:val="21"/>
                <w:szCs w:val="21"/>
                <w:highlight w:val="none"/>
              </w:rPr>
            </w:pPr>
            <w:r>
              <w:rPr>
                <w:sz w:val="21"/>
                <w:szCs w:val="21"/>
                <w:highlight w:val="none"/>
              </w:rPr>
              <w:t>14.42</w:t>
            </w:r>
          </w:p>
        </w:tc>
        <w:tc>
          <w:tcPr>
            <w:tcW w:w="1562" w:type="dxa"/>
            <w:vAlign w:val="center"/>
          </w:tcPr>
          <w:p>
            <w:pPr>
              <w:spacing w:line="240" w:lineRule="auto"/>
              <w:ind w:firstLine="0" w:firstLineChars="0"/>
              <w:jc w:val="center"/>
              <w:rPr>
                <w:sz w:val="21"/>
                <w:szCs w:val="21"/>
                <w:highlight w:val="none"/>
              </w:rPr>
            </w:pPr>
            <w:r>
              <w:rPr>
                <w:sz w:val="21"/>
                <w:szCs w:val="21"/>
                <w:highlight w:val="none"/>
              </w:rPr>
              <w:t>1.6</w:t>
            </w:r>
          </w:p>
        </w:tc>
        <w:tc>
          <w:tcPr>
            <w:tcW w:w="1730" w:type="dxa"/>
            <w:vAlign w:val="center"/>
          </w:tcPr>
          <w:p>
            <w:pPr>
              <w:spacing w:line="240" w:lineRule="auto"/>
              <w:ind w:firstLine="0" w:firstLineChars="0"/>
              <w:jc w:val="center"/>
              <w:rPr>
                <w:sz w:val="21"/>
                <w:szCs w:val="21"/>
                <w:highlight w:val="none"/>
              </w:rPr>
            </w:pPr>
            <w:r>
              <w:rPr>
                <w:sz w:val="21"/>
                <w:szCs w:val="21"/>
                <w:highlight w:val="none"/>
              </w:rPr>
              <w:t>28.65</w:t>
            </w:r>
          </w:p>
        </w:tc>
        <w:tc>
          <w:tcPr>
            <w:tcW w:w="1560" w:type="dxa"/>
            <w:vAlign w:val="center"/>
          </w:tcPr>
          <w:p>
            <w:pPr>
              <w:spacing w:line="240" w:lineRule="auto"/>
              <w:ind w:firstLine="0" w:firstLineChars="0"/>
              <w:jc w:val="center"/>
              <w:rPr>
                <w:sz w:val="21"/>
                <w:szCs w:val="21"/>
                <w:highlight w:val="none"/>
              </w:rPr>
            </w:pPr>
            <w:r>
              <w:rPr>
                <w:sz w:val="21"/>
                <w:szCs w:val="21"/>
                <w:highlight w:val="none"/>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tcPr>
          <w:p>
            <w:pPr>
              <w:spacing w:line="240" w:lineRule="auto"/>
              <w:ind w:firstLine="0" w:firstLineChars="0"/>
              <w:jc w:val="center"/>
              <w:rPr>
                <w:sz w:val="21"/>
                <w:szCs w:val="21"/>
                <w:highlight w:val="none"/>
              </w:rPr>
            </w:pPr>
            <w:r>
              <w:rPr>
                <w:sz w:val="21"/>
                <w:szCs w:val="21"/>
                <w:highlight w:val="none"/>
              </w:rPr>
              <w:t>400.</w:t>
            </w:r>
          </w:p>
        </w:tc>
        <w:tc>
          <w:tcPr>
            <w:tcW w:w="1731" w:type="dxa"/>
            <w:vAlign w:val="center"/>
          </w:tcPr>
          <w:p>
            <w:pPr>
              <w:spacing w:line="240" w:lineRule="auto"/>
              <w:ind w:firstLine="0" w:firstLineChars="0"/>
              <w:jc w:val="center"/>
              <w:rPr>
                <w:sz w:val="21"/>
                <w:szCs w:val="21"/>
                <w:highlight w:val="none"/>
              </w:rPr>
            </w:pPr>
            <w:r>
              <w:rPr>
                <w:sz w:val="21"/>
                <w:szCs w:val="21"/>
                <w:highlight w:val="none"/>
              </w:rPr>
              <w:t>12.18</w:t>
            </w:r>
          </w:p>
        </w:tc>
        <w:tc>
          <w:tcPr>
            <w:tcW w:w="1562" w:type="dxa"/>
            <w:vAlign w:val="center"/>
          </w:tcPr>
          <w:p>
            <w:pPr>
              <w:spacing w:line="240" w:lineRule="auto"/>
              <w:ind w:firstLine="0" w:firstLineChars="0"/>
              <w:jc w:val="center"/>
              <w:rPr>
                <w:sz w:val="21"/>
                <w:szCs w:val="21"/>
                <w:highlight w:val="none"/>
              </w:rPr>
            </w:pPr>
            <w:r>
              <w:rPr>
                <w:sz w:val="21"/>
                <w:szCs w:val="21"/>
                <w:highlight w:val="none"/>
              </w:rPr>
              <w:t>1.35</w:t>
            </w:r>
          </w:p>
        </w:tc>
        <w:tc>
          <w:tcPr>
            <w:tcW w:w="1730" w:type="dxa"/>
            <w:vAlign w:val="center"/>
          </w:tcPr>
          <w:p>
            <w:pPr>
              <w:spacing w:line="240" w:lineRule="auto"/>
              <w:ind w:firstLine="0" w:firstLineChars="0"/>
              <w:jc w:val="center"/>
              <w:rPr>
                <w:sz w:val="21"/>
                <w:szCs w:val="21"/>
                <w:highlight w:val="none"/>
              </w:rPr>
            </w:pPr>
            <w:r>
              <w:rPr>
                <w:sz w:val="21"/>
                <w:szCs w:val="21"/>
                <w:highlight w:val="none"/>
              </w:rPr>
              <w:t>24.46</w:t>
            </w:r>
          </w:p>
        </w:tc>
        <w:tc>
          <w:tcPr>
            <w:tcW w:w="1560" w:type="dxa"/>
            <w:vAlign w:val="center"/>
          </w:tcPr>
          <w:p>
            <w:pPr>
              <w:spacing w:line="240" w:lineRule="auto"/>
              <w:ind w:firstLine="0" w:firstLineChars="0"/>
              <w:jc w:val="center"/>
              <w:rPr>
                <w:sz w:val="21"/>
                <w:szCs w:val="21"/>
                <w:highlight w:val="none"/>
              </w:rPr>
            </w:pPr>
            <w:r>
              <w:rPr>
                <w:sz w:val="21"/>
                <w:szCs w:val="21"/>
                <w:highlight w:val="none"/>
              </w:rPr>
              <w:t>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500.</w:t>
            </w:r>
          </w:p>
        </w:tc>
        <w:tc>
          <w:tcPr>
            <w:tcW w:w="1731" w:type="dxa"/>
            <w:vAlign w:val="center"/>
          </w:tcPr>
          <w:p>
            <w:pPr>
              <w:spacing w:line="240" w:lineRule="auto"/>
              <w:ind w:firstLine="0" w:firstLineChars="0"/>
              <w:jc w:val="center"/>
              <w:rPr>
                <w:sz w:val="21"/>
                <w:szCs w:val="21"/>
                <w:highlight w:val="none"/>
              </w:rPr>
            </w:pPr>
            <w:r>
              <w:rPr>
                <w:sz w:val="21"/>
                <w:szCs w:val="21"/>
                <w:highlight w:val="none"/>
              </w:rPr>
              <w:t>10.93</w:t>
            </w:r>
          </w:p>
        </w:tc>
        <w:tc>
          <w:tcPr>
            <w:tcW w:w="1562" w:type="dxa"/>
            <w:vAlign w:val="center"/>
          </w:tcPr>
          <w:p>
            <w:pPr>
              <w:spacing w:line="240" w:lineRule="auto"/>
              <w:ind w:firstLine="0" w:firstLineChars="0"/>
              <w:jc w:val="center"/>
              <w:rPr>
                <w:sz w:val="21"/>
                <w:szCs w:val="21"/>
                <w:highlight w:val="none"/>
              </w:rPr>
            </w:pPr>
            <w:r>
              <w:rPr>
                <w:sz w:val="21"/>
                <w:szCs w:val="21"/>
                <w:highlight w:val="none"/>
              </w:rPr>
              <w:t>1.21</w:t>
            </w:r>
          </w:p>
        </w:tc>
        <w:tc>
          <w:tcPr>
            <w:tcW w:w="1730" w:type="dxa"/>
            <w:vAlign w:val="center"/>
          </w:tcPr>
          <w:p>
            <w:pPr>
              <w:spacing w:line="240" w:lineRule="auto"/>
              <w:ind w:firstLine="0" w:firstLineChars="0"/>
              <w:jc w:val="center"/>
              <w:rPr>
                <w:sz w:val="21"/>
                <w:szCs w:val="21"/>
                <w:highlight w:val="none"/>
              </w:rPr>
            </w:pPr>
            <w:r>
              <w:rPr>
                <w:sz w:val="21"/>
                <w:szCs w:val="21"/>
                <w:highlight w:val="none"/>
              </w:rPr>
              <w:t>22.0</w:t>
            </w:r>
          </w:p>
        </w:tc>
        <w:tc>
          <w:tcPr>
            <w:tcW w:w="1560" w:type="dxa"/>
            <w:vAlign w:val="center"/>
          </w:tcPr>
          <w:p>
            <w:pPr>
              <w:spacing w:line="240" w:lineRule="auto"/>
              <w:ind w:firstLine="0" w:firstLineChars="0"/>
              <w:jc w:val="center"/>
              <w:rPr>
                <w:sz w:val="21"/>
                <w:szCs w:val="21"/>
                <w:highlight w:val="none"/>
              </w:rPr>
            </w:pPr>
            <w:r>
              <w:rPr>
                <w:sz w:val="21"/>
                <w:szCs w:val="21"/>
                <w:highlight w:val="none"/>
              </w:rPr>
              <w:t>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600.</w:t>
            </w:r>
          </w:p>
        </w:tc>
        <w:tc>
          <w:tcPr>
            <w:tcW w:w="1731" w:type="dxa"/>
            <w:vAlign w:val="center"/>
          </w:tcPr>
          <w:p>
            <w:pPr>
              <w:spacing w:line="240" w:lineRule="auto"/>
              <w:ind w:firstLine="0" w:firstLineChars="0"/>
              <w:jc w:val="center"/>
              <w:rPr>
                <w:sz w:val="21"/>
                <w:szCs w:val="21"/>
                <w:highlight w:val="none"/>
              </w:rPr>
            </w:pPr>
            <w:r>
              <w:rPr>
                <w:sz w:val="21"/>
                <w:szCs w:val="21"/>
                <w:highlight w:val="none"/>
              </w:rPr>
              <w:t>9.77</w:t>
            </w:r>
          </w:p>
        </w:tc>
        <w:tc>
          <w:tcPr>
            <w:tcW w:w="1562" w:type="dxa"/>
            <w:vAlign w:val="center"/>
          </w:tcPr>
          <w:p>
            <w:pPr>
              <w:spacing w:line="240" w:lineRule="auto"/>
              <w:ind w:firstLine="0" w:firstLineChars="0"/>
              <w:jc w:val="center"/>
              <w:rPr>
                <w:sz w:val="21"/>
                <w:szCs w:val="21"/>
                <w:highlight w:val="none"/>
              </w:rPr>
            </w:pPr>
            <w:r>
              <w:rPr>
                <w:sz w:val="21"/>
                <w:szCs w:val="21"/>
                <w:highlight w:val="none"/>
              </w:rPr>
              <w:t>1.09</w:t>
            </w:r>
          </w:p>
        </w:tc>
        <w:tc>
          <w:tcPr>
            <w:tcW w:w="1730" w:type="dxa"/>
            <w:vAlign w:val="center"/>
          </w:tcPr>
          <w:p>
            <w:pPr>
              <w:spacing w:line="240" w:lineRule="auto"/>
              <w:ind w:firstLine="0" w:firstLineChars="0"/>
              <w:jc w:val="center"/>
              <w:rPr>
                <w:sz w:val="21"/>
                <w:szCs w:val="21"/>
                <w:highlight w:val="none"/>
              </w:rPr>
            </w:pPr>
            <w:r>
              <w:rPr>
                <w:sz w:val="21"/>
                <w:szCs w:val="21"/>
                <w:highlight w:val="none"/>
              </w:rPr>
              <w:t>19.82</w:t>
            </w:r>
          </w:p>
        </w:tc>
        <w:tc>
          <w:tcPr>
            <w:tcW w:w="1560" w:type="dxa"/>
            <w:vAlign w:val="center"/>
          </w:tcPr>
          <w:p>
            <w:pPr>
              <w:spacing w:line="240" w:lineRule="auto"/>
              <w:ind w:firstLine="0" w:firstLineChars="0"/>
              <w:jc w:val="center"/>
              <w:rPr>
                <w:sz w:val="21"/>
                <w:szCs w:val="21"/>
                <w:highlight w:val="none"/>
              </w:rPr>
            </w:pPr>
            <w:r>
              <w:rPr>
                <w:sz w:val="21"/>
                <w:szCs w:val="21"/>
                <w:highlight w:val="none"/>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700.</w:t>
            </w:r>
          </w:p>
        </w:tc>
        <w:tc>
          <w:tcPr>
            <w:tcW w:w="1731" w:type="dxa"/>
            <w:vAlign w:val="center"/>
          </w:tcPr>
          <w:p>
            <w:pPr>
              <w:spacing w:line="240" w:lineRule="auto"/>
              <w:ind w:firstLine="0" w:firstLineChars="0"/>
              <w:jc w:val="center"/>
              <w:rPr>
                <w:sz w:val="21"/>
                <w:szCs w:val="21"/>
                <w:highlight w:val="none"/>
              </w:rPr>
            </w:pPr>
            <w:r>
              <w:rPr>
                <w:sz w:val="21"/>
                <w:szCs w:val="21"/>
                <w:highlight w:val="none"/>
              </w:rPr>
              <w:t>8.81</w:t>
            </w:r>
          </w:p>
        </w:tc>
        <w:tc>
          <w:tcPr>
            <w:tcW w:w="1562" w:type="dxa"/>
            <w:vAlign w:val="center"/>
          </w:tcPr>
          <w:p>
            <w:pPr>
              <w:spacing w:line="240" w:lineRule="auto"/>
              <w:ind w:firstLine="0" w:firstLineChars="0"/>
              <w:jc w:val="center"/>
              <w:rPr>
                <w:sz w:val="21"/>
                <w:szCs w:val="21"/>
                <w:highlight w:val="none"/>
              </w:rPr>
            </w:pPr>
            <w:r>
              <w:rPr>
                <w:sz w:val="21"/>
                <w:szCs w:val="21"/>
                <w:highlight w:val="none"/>
              </w:rPr>
              <w:t>0.98</w:t>
            </w:r>
          </w:p>
        </w:tc>
        <w:tc>
          <w:tcPr>
            <w:tcW w:w="1730" w:type="dxa"/>
            <w:vAlign w:val="center"/>
          </w:tcPr>
          <w:p>
            <w:pPr>
              <w:spacing w:line="240" w:lineRule="auto"/>
              <w:ind w:firstLine="0" w:firstLineChars="0"/>
              <w:jc w:val="center"/>
              <w:rPr>
                <w:sz w:val="21"/>
                <w:szCs w:val="21"/>
                <w:highlight w:val="none"/>
              </w:rPr>
            </w:pPr>
            <w:r>
              <w:rPr>
                <w:sz w:val="21"/>
                <w:szCs w:val="21"/>
                <w:highlight w:val="none"/>
              </w:rPr>
              <w:t>17.97</w:t>
            </w:r>
          </w:p>
        </w:tc>
        <w:tc>
          <w:tcPr>
            <w:tcW w:w="1560" w:type="dxa"/>
            <w:vAlign w:val="center"/>
          </w:tcPr>
          <w:p>
            <w:pPr>
              <w:spacing w:line="240" w:lineRule="auto"/>
              <w:ind w:firstLine="0" w:firstLineChars="0"/>
              <w:jc w:val="center"/>
              <w:rPr>
                <w:sz w:val="21"/>
                <w:szCs w:val="21"/>
                <w:highlight w:val="none"/>
              </w:rPr>
            </w:pPr>
            <w:r>
              <w:rPr>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800.</w:t>
            </w:r>
          </w:p>
        </w:tc>
        <w:tc>
          <w:tcPr>
            <w:tcW w:w="1731" w:type="dxa"/>
            <w:vAlign w:val="center"/>
          </w:tcPr>
          <w:p>
            <w:pPr>
              <w:spacing w:line="240" w:lineRule="auto"/>
              <w:ind w:firstLine="0" w:firstLineChars="0"/>
              <w:jc w:val="center"/>
              <w:rPr>
                <w:sz w:val="21"/>
                <w:szCs w:val="21"/>
                <w:highlight w:val="none"/>
              </w:rPr>
            </w:pPr>
            <w:r>
              <w:rPr>
                <w:sz w:val="21"/>
                <w:szCs w:val="21"/>
                <w:highlight w:val="none"/>
              </w:rPr>
              <w:t>8.18</w:t>
            </w:r>
          </w:p>
        </w:tc>
        <w:tc>
          <w:tcPr>
            <w:tcW w:w="1562" w:type="dxa"/>
            <w:vAlign w:val="center"/>
          </w:tcPr>
          <w:p>
            <w:pPr>
              <w:spacing w:line="240" w:lineRule="auto"/>
              <w:ind w:firstLine="0" w:firstLineChars="0"/>
              <w:jc w:val="center"/>
              <w:rPr>
                <w:sz w:val="21"/>
                <w:szCs w:val="21"/>
                <w:highlight w:val="none"/>
              </w:rPr>
            </w:pPr>
            <w:r>
              <w:rPr>
                <w:sz w:val="21"/>
                <w:szCs w:val="21"/>
                <w:highlight w:val="none"/>
              </w:rPr>
              <w:t>0.91</w:t>
            </w:r>
          </w:p>
        </w:tc>
        <w:tc>
          <w:tcPr>
            <w:tcW w:w="1730" w:type="dxa"/>
            <w:vAlign w:val="center"/>
          </w:tcPr>
          <w:p>
            <w:pPr>
              <w:spacing w:line="240" w:lineRule="auto"/>
              <w:ind w:firstLine="0" w:firstLineChars="0"/>
              <w:jc w:val="center"/>
              <w:rPr>
                <w:sz w:val="21"/>
                <w:szCs w:val="21"/>
                <w:highlight w:val="none"/>
              </w:rPr>
            </w:pPr>
            <w:r>
              <w:rPr>
                <w:sz w:val="21"/>
                <w:szCs w:val="21"/>
                <w:highlight w:val="none"/>
              </w:rPr>
              <w:t>16.77</w:t>
            </w:r>
          </w:p>
        </w:tc>
        <w:tc>
          <w:tcPr>
            <w:tcW w:w="1560" w:type="dxa"/>
            <w:vAlign w:val="center"/>
          </w:tcPr>
          <w:p>
            <w:pPr>
              <w:spacing w:line="240" w:lineRule="auto"/>
              <w:ind w:firstLine="0" w:firstLineChars="0"/>
              <w:jc w:val="center"/>
              <w:rPr>
                <w:sz w:val="21"/>
                <w:szCs w:val="21"/>
                <w:highlight w:val="none"/>
              </w:rPr>
            </w:pPr>
            <w:r>
              <w:rPr>
                <w:sz w:val="21"/>
                <w:szCs w:val="21"/>
                <w:highlight w:val="none"/>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900.</w:t>
            </w:r>
          </w:p>
        </w:tc>
        <w:tc>
          <w:tcPr>
            <w:tcW w:w="1731" w:type="dxa"/>
            <w:vAlign w:val="center"/>
          </w:tcPr>
          <w:p>
            <w:pPr>
              <w:spacing w:line="240" w:lineRule="auto"/>
              <w:ind w:firstLine="0" w:firstLineChars="0"/>
              <w:jc w:val="center"/>
              <w:rPr>
                <w:sz w:val="21"/>
                <w:szCs w:val="21"/>
                <w:highlight w:val="none"/>
              </w:rPr>
            </w:pPr>
            <w:r>
              <w:rPr>
                <w:sz w:val="21"/>
                <w:szCs w:val="21"/>
                <w:highlight w:val="none"/>
              </w:rPr>
              <w:t>7.68</w:t>
            </w:r>
          </w:p>
        </w:tc>
        <w:tc>
          <w:tcPr>
            <w:tcW w:w="1562" w:type="dxa"/>
            <w:vAlign w:val="center"/>
          </w:tcPr>
          <w:p>
            <w:pPr>
              <w:spacing w:line="240" w:lineRule="auto"/>
              <w:ind w:firstLine="0" w:firstLineChars="0"/>
              <w:jc w:val="center"/>
              <w:rPr>
                <w:sz w:val="21"/>
                <w:szCs w:val="21"/>
                <w:highlight w:val="none"/>
              </w:rPr>
            </w:pPr>
            <w:r>
              <w:rPr>
                <w:sz w:val="21"/>
                <w:szCs w:val="21"/>
                <w:highlight w:val="none"/>
              </w:rPr>
              <w:t>0.85</w:t>
            </w:r>
          </w:p>
        </w:tc>
        <w:tc>
          <w:tcPr>
            <w:tcW w:w="1730" w:type="dxa"/>
            <w:vAlign w:val="center"/>
          </w:tcPr>
          <w:p>
            <w:pPr>
              <w:spacing w:line="240" w:lineRule="auto"/>
              <w:ind w:firstLine="0" w:firstLineChars="0"/>
              <w:jc w:val="center"/>
              <w:rPr>
                <w:sz w:val="21"/>
                <w:szCs w:val="21"/>
                <w:highlight w:val="none"/>
              </w:rPr>
            </w:pPr>
            <w:r>
              <w:rPr>
                <w:sz w:val="21"/>
                <w:szCs w:val="21"/>
                <w:highlight w:val="none"/>
              </w:rPr>
              <w:t>15.78</w:t>
            </w:r>
          </w:p>
        </w:tc>
        <w:tc>
          <w:tcPr>
            <w:tcW w:w="1560" w:type="dxa"/>
            <w:vAlign w:val="center"/>
          </w:tcPr>
          <w:p>
            <w:pPr>
              <w:spacing w:line="240" w:lineRule="auto"/>
              <w:ind w:firstLine="0" w:firstLineChars="0"/>
              <w:jc w:val="center"/>
              <w:rPr>
                <w:sz w:val="21"/>
                <w:szCs w:val="21"/>
                <w:highlight w:val="none"/>
              </w:rPr>
            </w:pPr>
            <w:r>
              <w:rPr>
                <w:sz w:val="21"/>
                <w:szCs w:val="21"/>
                <w:highlight w:val="none"/>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1000.</w:t>
            </w:r>
          </w:p>
        </w:tc>
        <w:tc>
          <w:tcPr>
            <w:tcW w:w="1731" w:type="dxa"/>
            <w:vAlign w:val="center"/>
          </w:tcPr>
          <w:p>
            <w:pPr>
              <w:spacing w:line="240" w:lineRule="auto"/>
              <w:ind w:firstLine="0" w:firstLineChars="0"/>
              <w:jc w:val="center"/>
              <w:rPr>
                <w:sz w:val="21"/>
                <w:szCs w:val="21"/>
                <w:highlight w:val="none"/>
              </w:rPr>
            </w:pPr>
            <w:r>
              <w:rPr>
                <w:sz w:val="21"/>
                <w:szCs w:val="21"/>
                <w:highlight w:val="none"/>
              </w:rPr>
              <w:t>7.2</w:t>
            </w:r>
          </w:p>
        </w:tc>
        <w:tc>
          <w:tcPr>
            <w:tcW w:w="1562" w:type="dxa"/>
            <w:vAlign w:val="center"/>
          </w:tcPr>
          <w:p>
            <w:pPr>
              <w:spacing w:line="240" w:lineRule="auto"/>
              <w:ind w:firstLine="0" w:firstLineChars="0"/>
              <w:jc w:val="center"/>
              <w:rPr>
                <w:sz w:val="21"/>
                <w:szCs w:val="21"/>
                <w:highlight w:val="none"/>
              </w:rPr>
            </w:pPr>
            <w:r>
              <w:rPr>
                <w:sz w:val="21"/>
                <w:szCs w:val="21"/>
                <w:highlight w:val="none"/>
              </w:rPr>
              <w:t>0.8</w:t>
            </w:r>
          </w:p>
        </w:tc>
        <w:tc>
          <w:tcPr>
            <w:tcW w:w="1730" w:type="dxa"/>
            <w:vAlign w:val="center"/>
          </w:tcPr>
          <w:p>
            <w:pPr>
              <w:spacing w:line="240" w:lineRule="auto"/>
              <w:ind w:firstLine="0" w:firstLineChars="0"/>
              <w:jc w:val="center"/>
              <w:rPr>
                <w:sz w:val="21"/>
                <w:szCs w:val="21"/>
                <w:highlight w:val="none"/>
              </w:rPr>
            </w:pPr>
            <w:r>
              <w:rPr>
                <w:sz w:val="21"/>
                <w:szCs w:val="21"/>
                <w:highlight w:val="none"/>
              </w:rPr>
              <w:t>14.84</w:t>
            </w:r>
          </w:p>
        </w:tc>
        <w:tc>
          <w:tcPr>
            <w:tcW w:w="1560" w:type="dxa"/>
            <w:vAlign w:val="center"/>
          </w:tcPr>
          <w:p>
            <w:pPr>
              <w:spacing w:line="240" w:lineRule="auto"/>
              <w:ind w:firstLine="0" w:firstLineChars="0"/>
              <w:jc w:val="center"/>
              <w:rPr>
                <w:sz w:val="21"/>
                <w:szCs w:val="21"/>
                <w:highlight w:val="none"/>
              </w:rPr>
            </w:pPr>
            <w:r>
              <w:rPr>
                <w:sz w:val="21"/>
                <w:szCs w:val="21"/>
                <w:highlight w:val="none"/>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1500.</w:t>
            </w:r>
          </w:p>
        </w:tc>
        <w:tc>
          <w:tcPr>
            <w:tcW w:w="1731" w:type="dxa"/>
            <w:vAlign w:val="center"/>
          </w:tcPr>
          <w:p>
            <w:pPr>
              <w:spacing w:line="240" w:lineRule="auto"/>
              <w:ind w:firstLine="0" w:firstLineChars="0"/>
              <w:jc w:val="center"/>
              <w:rPr>
                <w:sz w:val="21"/>
                <w:szCs w:val="21"/>
                <w:highlight w:val="none"/>
              </w:rPr>
            </w:pPr>
            <w:r>
              <w:rPr>
                <w:sz w:val="21"/>
                <w:szCs w:val="21"/>
                <w:highlight w:val="none"/>
              </w:rPr>
              <w:t>5.37</w:t>
            </w:r>
          </w:p>
        </w:tc>
        <w:tc>
          <w:tcPr>
            <w:tcW w:w="1562" w:type="dxa"/>
            <w:vAlign w:val="center"/>
          </w:tcPr>
          <w:p>
            <w:pPr>
              <w:spacing w:line="240" w:lineRule="auto"/>
              <w:ind w:firstLine="0" w:firstLineChars="0"/>
              <w:jc w:val="center"/>
              <w:rPr>
                <w:sz w:val="21"/>
                <w:szCs w:val="21"/>
                <w:highlight w:val="none"/>
              </w:rPr>
            </w:pPr>
            <w:r>
              <w:rPr>
                <w:sz w:val="21"/>
                <w:szCs w:val="21"/>
                <w:highlight w:val="none"/>
              </w:rPr>
              <w:t>0.6</w:t>
            </w:r>
          </w:p>
        </w:tc>
        <w:tc>
          <w:tcPr>
            <w:tcW w:w="1730" w:type="dxa"/>
            <w:vAlign w:val="center"/>
          </w:tcPr>
          <w:p>
            <w:pPr>
              <w:spacing w:line="240" w:lineRule="auto"/>
              <w:ind w:firstLine="0" w:firstLineChars="0"/>
              <w:jc w:val="center"/>
              <w:rPr>
                <w:sz w:val="21"/>
                <w:szCs w:val="21"/>
                <w:highlight w:val="none"/>
              </w:rPr>
            </w:pPr>
            <w:r>
              <w:rPr>
                <w:sz w:val="21"/>
                <w:szCs w:val="21"/>
                <w:highlight w:val="none"/>
              </w:rPr>
              <w:t>11.22</w:t>
            </w:r>
          </w:p>
        </w:tc>
        <w:tc>
          <w:tcPr>
            <w:tcW w:w="1560" w:type="dxa"/>
            <w:vAlign w:val="center"/>
          </w:tcPr>
          <w:p>
            <w:pPr>
              <w:spacing w:line="240" w:lineRule="auto"/>
              <w:ind w:firstLine="0" w:firstLineChars="0"/>
              <w:jc w:val="center"/>
              <w:rPr>
                <w:sz w:val="21"/>
                <w:szCs w:val="21"/>
                <w:highlight w:val="none"/>
              </w:rPr>
            </w:pPr>
            <w:r>
              <w:rPr>
                <w:sz w:val="21"/>
                <w:szCs w:val="21"/>
                <w:highlight w:val="none"/>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2000</w:t>
            </w:r>
          </w:p>
        </w:tc>
        <w:tc>
          <w:tcPr>
            <w:tcW w:w="1731" w:type="dxa"/>
            <w:vAlign w:val="center"/>
          </w:tcPr>
          <w:p>
            <w:pPr>
              <w:spacing w:line="240" w:lineRule="auto"/>
              <w:ind w:firstLine="0" w:firstLineChars="0"/>
              <w:jc w:val="center"/>
              <w:rPr>
                <w:sz w:val="21"/>
                <w:szCs w:val="21"/>
                <w:highlight w:val="none"/>
              </w:rPr>
            </w:pPr>
            <w:r>
              <w:rPr>
                <w:sz w:val="21"/>
                <w:szCs w:val="21"/>
                <w:highlight w:val="none"/>
              </w:rPr>
              <w:t>4.74</w:t>
            </w:r>
          </w:p>
        </w:tc>
        <w:tc>
          <w:tcPr>
            <w:tcW w:w="1562" w:type="dxa"/>
            <w:vAlign w:val="center"/>
          </w:tcPr>
          <w:p>
            <w:pPr>
              <w:spacing w:line="240" w:lineRule="auto"/>
              <w:ind w:firstLine="0" w:firstLineChars="0"/>
              <w:jc w:val="center"/>
              <w:rPr>
                <w:sz w:val="21"/>
                <w:szCs w:val="21"/>
                <w:highlight w:val="none"/>
              </w:rPr>
            </w:pPr>
            <w:r>
              <w:rPr>
                <w:sz w:val="21"/>
                <w:szCs w:val="21"/>
                <w:highlight w:val="none"/>
              </w:rPr>
              <w:t>0.53</w:t>
            </w:r>
          </w:p>
        </w:tc>
        <w:tc>
          <w:tcPr>
            <w:tcW w:w="1730" w:type="dxa"/>
            <w:vAlign w:val="center"/>
          </w:tcPr>
          <w:p>
            <w:pPr>
              <w:spacing w:line="240" w:lineRule="auto"/>
              <w:ind w:firstLine="0" w:firstLineChars="0"/>
              <w:jc w:val="center"/>
              <w:rPr>
                <w:sz w:val="21"/>
                <w:szCs w:val="21"/>
                <w:highlight w:val="none"/>
              </w:rPr>
            </w:pPr>
            <w:r>
              <w:rPr>
                <w:sz w:val="21"/>
                <w:szCs w:val="21"/>
                <w:highlight w:val="none"/>
              </w:rPr>
              <w:t>9.9</w:t>
            </w:r>
          </w:p>
        </w:tc>
        <w:tc>
          <w:tcPr>
            <w:tcW w:w="1560" w:type="dxa"/>
            <w:vAlign w:val="center"/>
          </w:tcPr>
          <w:p>
            <w:pPr>
              <w:spacing w:line="240" w:lineRule="auto"/>
              <w:ind w:firstLine="0" w:firstLineChars="0"/>
              <w:jc w:val="center"/>
              <w:rPr>
                <w:sz w:val="21"/>
                <w:szCs w:val="21"/>
                <w:highlight w:val="none"/>
              </w:rPr>
            </w:pPr>
            <w:r>
              <w:rPr>
                <w:sz w:val="21"/>
                <w:szCs w:val="21"/>
                <w:highlight w:val="none"/>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2500.</w:t>
            </w:r>
          </w:p>
        </w:tc>
        <w:tc>
          <w:tcPr>
            <w:tcW w:w="1731" w:type="dxa"/>
            <w:vAlign w:val="center"/>
          </w:tcPr>
          <w:p>
            <w:pPr>
              <w:spacing w:line="240" w:lineRule="auto"/>
              <w:ind w:firstLine="0" w:firstLineChars="0"/>
              <w:jc w:val="center"/>
              <w:rPr>
                <w:sz w:val="21"/>
                <w:szCs w:val="21"/>
                <w:highlight w:val="none"/>
              </w:rPr>
            </w:pPr>
            <w:r>
              <w:rPr>
                <w:sz w:val="21"/>
                <w:szCs w:val="21"/>
                <w:highlight w:val="none"/>
              </w:rPr>
              <w:t>4.24</w:t>
            </w:r>
          </w:p>
        </w:tc>
        <w:tc>
          <w:tcPr>
            <w:tcW w:w="1562" w:type="dxa"/>
            <w:vAlign w:val="center"/>
          </w:tcPr>
          <w:p>
            <w:pPr>
              <w:spacing w:line="240" w:lineRule="auto"/>
              <w:ind w:firstLine="0" w:firstLineChars="0"/>
              <w:jc w:val="center"/>
              <w:rPr>
                <w:sz w:val="21"/>
                <w:szCs w:val="21"/>
                <w:highlight w:val="none"/>
              </w:rPr>
            </w:pPr>
            <w:r>
              <w:rPr>
                <w:sz w:val="21"/>
                <w:szCs w:val="21"/>
                <w:highlight w:val="none"/>
              </w:rPr>
              <w:t>0.47</w:t>
            </w:r>
          </w:p>
        </w:tc>
        <w:tc>
          <w:tcPr>
            <w:tcW w:w="1730" w:type="dxa"/>
            <w:vAlign w:val="center"/>
          </w:tcPr>
          <w:p>
            <w:pPr>
              <w:spacing w:line="240" w:lineRule="auto"/>
              <w:ind w:firstLine="0" w:firstLineChars="0"/>
              <w:jc w:val="center"/>
              <w:rPr>
                <w:sz w:val="21"/>
                <w:szCs w:val="21"/>
                <w:highlight w:val="none"/>
              </w:rPr>
            </w:pPr>
            <w:r>
              <w:rPr>
                <w:sz w:val="21"/>
                <w:szCs w:val="21"/>
                <w:highlight w:val="none"/>
              </w:rPr>
              <w:t>8.87</w:t>
            </w:r>
          </w:p>
        </w:tc>
        <w:tc>
          <w:tcPr>
            <w:tcW w:w="1560" w:type="dxa"/>
            <w:vAlign w:val="center"/>
          </w:tcPr>
          <w:p>
            <w:pPr>
              <w:spacing w:line="240" w:lineRule="auto"/>
              <w:ind w:firstLine="0" w:firstLineChars="0"/>
              <w:jc w:val="center"/>
              <w:rPr>
                <w:sz w:val="21"/>
                <w:szCs w:val="21"/>
                <w:highlight w:val="none"/>
              </w:rPr>
            </w:pPr>
            <w:r>
              <w:rPr>
                <w:sz w:val="21"/>
                <w:szCs w:val="21"/>
                <w:highlight w:val="none"/>
              </w:rPr>
              <w:t>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b/>
                <w:sz w:val="21"/>
                <w:szCs w:val="21"/>
                <w:highlight w:val="none"/>
              </w:rPr>
            </w:pPr>
            <w:r>
              <w:rPr>
                <w:rFonts w:hint="eastAsia"/>
                <w:b/>
                <w:sz w:val="21"/>
                <w:szCs w:val="21"/>
                <w:highlight w:val="none"/>
              </w:rPr>
              <w:t>厂界</w:t>
            </w:r>
          </w:p>
        </w:tc>
        <w:tc>
          <w:tcPr>
            <w:tcW w:w="1731"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w:t>
            </w:r>
          </w:p>
        </w:tc>
        <w:tc>
          <w:tcPr>
            <w:tcW w:w="1562"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w:t>
            </w:r>
          </w:p>
        </w:tc>
        <w:tc>
          <w:tcPr>
            <w:tcW w:w="173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w:t>
            </w:r>
          </w:p>
        </w:tc>
        <w:tc>
          <w:tcPr>
            <w:tcW w:w="156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东厂界</w:t>
            </w:r>
          </w:p>
        </w:tc>
        <w:tc>
          <w:tcPr>
            <w:tcW w:w="1731"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33.98</w:t>
            </w:r>
          </w:p>
        </w:tc>
        <w:tc>
          <w:tcPr>
            <w:tcW w:w="1562"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3.44</w:t>
            </w:r>
          </w:p>
        </w:tc>
        <w:tc>
          <w:tcPr>
            <w:tcW w:w="173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39.61</w:t>
            </w:r>
          </w:p>
        </w:tc>
        <w:tc>
          <w:tcPr>
            <w:tcW w:w="156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南厂界</w:t>
            </w:r>
          </w:p>
        </w:tc>
        <w:tc>
          <w:tcPr>
            <w:tcW w:w="1731"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36.25</w:t>
            </w:r>
          </w:p>
        </w:tc>
        <w:tc>
          <w:tcPr>
            <w:tcW w:w="1562"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4.22</w:t>
            </w:r>
          </w:p>
        </w:tc>
        <w:tc>
          <w:tcPr>
            <w:tcW w:w="173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39.61</w:t>
            </w:r>
          </w:p>
        </w:tc>
        <w:tc>
          <w:tcPr>
            <w:tcW w:w="156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西厂界</w:t>
            </w:r>
          </w:p>
        </w:tc>
        <w:tc>
          <w:tcPr>
            <w:tcW w:w="1731"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33.47</w:t>
            </w:r>
          </w:p>
        </w:tc>
        <w:tc>
          <w:tcPr>
            <w:tcW w:w="1562"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2.50</w:t>
            </w:r>
          </w:p>
        </w:tc>
        <w:tc>
          <w:tcPr>
            <w:tcW w:w="173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49.38</w:t>
            </w:r>
          </w:p>
        </w:tc>
        <w:tc>
          <w:tcPr>
            <w:tcW w:w="156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北厂界</w:t>
            </w:r>
          </w:p>
        </w:tc>
        <w:tc>
          <w:tcPr>
            <w:tcW w:w="1731"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32.89</w:t>
            </w:r>
          </w:p>
        </w:tc>
        <w:tc>
          <w:tcPr>
            <w:tcW w:w="1562"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2.98</w:t>
            </w:r>
          </w:p>
        </w:tc>
        <w:tc>
          <w:tcPr>
            <w:tcW w:w="173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37.79</w:t>
            </w:r>
          </w:p>
        </w:tc>
        <w:tc>
          <w:tcPr>
            <w:tcW w:w="156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最大浓度及占标率</w:t>
            </w:r>
          </w:p>
        </w:tc>
        <w:tc>
          <w:tcPr>
            <w:tcW w:w="1731"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38.85</w:t>
            </w:r>
          </w:p>
        </w:tc>
        <w:tc>
          <w:tcPr>
            <w:tcW w:w="1562"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4.32</w:t>
            </w:r>
          </w:p>
        </w:tc>
        <w:tc>
          <w:tcPr>
            <w:tcW w:w="173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54.1</w:t>
            </w:r>
          </w:p>
        </w:tc>
        <w:tc>
          <w:tcPr>
            <w:tcW w:w="1560"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trPr>
        <w:tc>
          <w:tcPr>
            <w:tcW w:w="1741" w:type="dxa"/>
            <w:vAlign w:val="center"/>
          </w:tcPr>
          <w:p>
            <w:pPr>
              <w:spacing w:line="240" w:lineRule="auto"/>
              <w:ind w:firstLine="0" w:firstLineChars="0"/>
              <w:jc w:val="center"/>
              <w:rPr>
                <w:sz w:val="21"/>
                <w:szCs w:val="21"/>
                <w:highlight w:val="none"/>
              </w:rPr>
            </w:pPr>
            <w:r>
              <w:rPr>
                <w:sz w:val="21"/>
                <w:szCs w:val="21"/>
                <w:highlight w:val="none"/>
              </w:rPr>
              <w:t>出现最大浓度的距离(m)</w:t>
            </w:r>
          </w:p>
        </w:tc>
        <w:tc>
          <w:tcPr>
            <w:tcW w:w="3293"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54</w:t>
            </w:r>
          </w:p>
        </w:tc>
        <w:tc>
          <w:tcPr>
            <w:tcW w:w="3290"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62</w:t>
            </w:r>
          </w:p>
        </w:tc>
      </w:tr>
    </w:tbl>
    <w:p>
      <w:pPr>
        <w:widowControl/>
        <w:ind w:firstLine="480"/>
        <w:textAlignment w:val="auto"/>
        <w:rPr>
          <w:kern w:val="2"/>
          <w:sz w:val="24"/>
          <w:szCs w:val="24"/>
          <w:highlight w:val="none"/>
        </w:rPr>
      </w:pPr>
      <w:r>
        <w:rPr>
          <w:kern w:val="2"/>
          <w:sz w:val="24"/>
          <w:szCs w:val="24"/>
          <w:highlight w:val="none"/>
        </w:rPr>
        <w:t>由上表可知，破碎车间无组织排放的TSP最大浓度为38.85</w:t>
      </w:r>
      <w:r>
        <w:rPr>
          <w:rFonts w:hint="eastAsia"/>
          <w:kern w:val="2"/>
          <w:sz w:val="24"/>
          <w:szCs w:val="24"/>
          <w:highlight w:val="none"/>
        </w:rPr>
        <w:t xml:space="preserve"> </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，最大浓度占标率为4.32</w:t>
      </w:r>
      <w:r>
        <w:rPr>
          <w:rFonts w:hint="eastAsia"/>
          <w:kern w:val="2"/>
          <w:sz w:val="24"/>
          <w:szCs w:val="24"/>
          <w:highlight w:val="none"/>
        </w:rPr>
        <w:t xml:space="preserve"> </w:t>
      </w:r>
      <w:r>
        <w:rPr>
          <w:kern w:val="2"/>
          <w:sz w:val="24"/>
          <w:szCs w:val="24"/>
          <w:highlight w:val="none"/>
        </w:rPr>
        <w:t>%，出现距离为54</w:t>
      </w:r>
      <w:r>
        <w:rPr>
          <w:rFonts w:hint="eastAsia"/>
          <w:kern w:val="2"/>
          <w:sz w:val="24"/>
          <w:szCs w:val="24"/>
          <w:highlight w:val="none"/>
        </w:rPr>
        <w:t xml:space="preserve"> </w:t>
      </w:r>
      <w:r>
        <w:rPr>
          <w:kern w:val="2"/>
          <w:sz w:val="24"/>
          <w:szCs w:val="24"/>
          <w:highlight w:val="none"/>
        </w:rPr>
        <w:t>m。</w:t>
      </w:r>
      <w:r>
        <w:rPr>
          <w:rFonts w:hint="eastAsia"/>
          <w:kern w:val="2"/>
          <w:sz w:val="24"/>
          <w:szCs w:val="24"/>
          <w:highlight w:val="none"/>
          <w:lang w:val="en-US" w:eastAsia="zh-CN"/>
        </w:rPr>
        <w:t>成品</w:t>
      </w:r>
      <w:r>
        <w:rPr>
          <w:kern w:val="2"/>
          <w:sz w:val="24"/>
          <w:szCs w:val="24"/>
          <w:highlight w:val="none"/>
        </w:rPr>
        <w:t>库无组织排放的TSP最大浓度为54.10</w:t>
      </w:r>
      <w:r>
        <w:rPr>
          <w:rFonts w:hint="eastAsia"/>
          <w:kern w:val="2"/>
          <w:sz w:val="24"/>
          <w:szCs w:val="24"/>
          <w:highlight w:val="none"/>
        </w:rPr>
        <w:t xml:space="preserve"> </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，最大浓度占标率为6.01</w:t>
      </w:r>
      <w:r>
        <w:rPr>
          <w:rFonts w:hint="eastAsia"/>
          <w:kern w:val="2"/>
          <w:sz w:val="24"/>
          <w:szCs w:val="24"/>
          <w:highlight w:val="none"/>
        </w:rPr>
        <w:t xml:space="preserve"> </w:t>
      </w:r>
      <w:r>
        <w:rPr>
          <w:kern w:val="2"/>
          <w:sz w:val="24"/>
          <w:szCs w:val="24"/>
          <w:highlight w:val="none"/>
        </w:rPr>
        <w:t>%，出现距离为62</w:t>
      </w:r>
      <w:r>
        <w:rPr>
          <w:rFonts w:hint="eastAsia"/>
          <w:kern w:val="2"/>
          <w:sz w:val="24"/>
          <w:szCs w:val="24"/>
          <w:highlight w:val="none"/>
        </w:rPr>
        <w:t xml:space="preserve"> </w:t>
      </w:r>
      <w:r>
        <w:rPr>
          <w:kern w:val="2"/>
          <w:sz w:val="24"/>
          <w:szCs w:val="24"/>
          <w:highlight w:val="none"/>
        </w:rPr>
        <w:t>m。</w:t>
      </w:r>
    </w:p>
    <w:p>
      <w:pPr>
        <w:widowControl/>
        <w:ind w:firstLine="480"/>
        <w:textAlignment w:val="auto"/>
        <w:rPr>
          <w:kern w:val="2"/>
          <w:sz w:val="24"/>
          <w:szCs w:val="24"/>
          <w:highlight w:val="none"/>
        </w:rPr>
      </w:pPr>
      <w:r>
        <w:rPr>
          <w:kern w:val="2"/>
          <w:sz w:val="24"/>
          <w:szCs w:val="24"/>
          <w:highlight w:val="none"/>
        </w:rPr>
        <w:t>无组织排放的TSP在各敏感点的最大浓度值均较小，根据无组织废气厂界预测结果，各厂界的预测浓度最大值均小于《铁矿采选工业污染物排放标准》（GB28661-2012）表7中无组织排放浓度限值（1.0</w:t>
      </w:r>
      <w:r>
        <w:rPr>
          <w:rFonts w:hint="eastAsia"/>
          <w:kern w:val="2"/>
          <w:sz w:val="24"/>
          <w:szCs w:val="24"/>
          <w:highlight w:val="none"/>
        </w:rPr>
        <w:t xml:space="preserve"> </w:t>
      </w:r>
      <w:r>
        <w:rPr>
          <w:kern w:val="2"/>
          <w:sz w:val="24"/>
          <w:szCs w:val="24"/>
          <w:highlight w:val="none"/>
        </w:rPr>
        <w:t>mg/m</w:t>
      </w:r>
      <w:r>
        <w:rPr>
          <w:kern w:val="2"/>
          <w:sz w:val="24"/>
          <w:szCs w:val="24"/>
          <w:highlight w:val="none"/>
          <w:vertAlign w:val="superscript"/>
        </w:rPr>
        <w:t>3</w:t>
      </w:r>
      <w:r>
        <w:rPr>
          <w:kern w:val="2"/>
          <w:sz w:val="24"/>
          <w:szCs w:val="24"/>
          <w:highlight w:val="none"/>
        </w:rPr>
        <w:t>）。</w:t>
      </w:r>
    </w:p>
    <w:p>
      <w:pPr>
        <w:widowControl/>
        <w:ind w:firstLine="480"/>
        <w:textAlignment w:val="auto"/>
        <w:rPr>
          <w:kern w:val="2"/>
          <w:sz w:val="24"/>
          <w:szCs w:val="24"/>
          <w:highlight w:val="none"/>
        </w:rPr>
      </w:pPr>
      <w:r>
        <w:rPr>
          <w:kern w:val="2"/>
          <w:sz w:val="24"/>
          <w:szCs w:val="24"/>
          <w:highlight w:val="none"/>
        </w:rPr>
        <w:t>综上，项目排放的颗粒物对环境质量的贡献值较小，对周边环境空气质量影响较小。</w:t>
      </w:r>
    </w:p>
    <w:p>
      <w:pPr>
        <w:pStyle w:val="3"/>
        <w:numPr>
          <w:ilvl w:val="3"/>
          <w:numId w:val="1"/>
        </w:numPr>
        <w:ind w:left="709" w:hanging="709"/>
        <w:rPr>
          <w:rFonts w:eastAsia="宋体"/>
          <w:b/>
          <w:highlight w:val="none"/>
        </w:rPr>
      </w:pPr>
      <w:r>
        <w:rPr>
          <w:rFonts w:eastAsia="宋体"/>
          <w:b/>
          <w:highlight w:val="none"/>
        </w:rPr>
        <w:t>防护距离计算</w:t>
      </w:r>
    </w:p>
    <w:p>
      <w:pPr>
        <w:widowControl/>
        <w:ind w:firstLine="480"/>
        <w:textAlignment w:val="auto"/>
        <w:rPr>
          <w:bCs/>
          <w:kern w:val="2"/>
          <w:sz w:val="24"/>
          <w:szCs w:val="22"/>
          <w:highlight w:val="none"/>
        </w:rPr>
      </w:pPr>
      <w:r>
        <w:rPr>
          <w:rFonts w:hint="eastAsia"/>
          <w:kern w:val="2"/>
          <w:sz w:val="24"/>
          <w:szCs w:val="24"/>
          <w:highlight w:val="none"/>
        </w:rPr>
        <w:t>本项目大气环境评价等级为二级，</w:t>
      </w:r>
      <w:r>
        <w:rPr>
          <w:kern w:val="2"/>
          <w:sz w:val="24"/>
          <w:szCs w:val="24"/>
          <w:highlight w:val="none"/>
        </w:rPr>
        <w:t>根据《环境影响评价技术导则大气环境》（HJ2.2-20</w:t>
      </w:r>
      <w:r>
        <w:rPr>
          <w:rFonts w:hint="eastAsia"/>
          <w:kern w:val="2"/>
          <w:sz w:val="24"/>
          <w:szCs w:val="24"/>
          <w:highlight w:val="none"/>
        </w:rPr>
        <w:t>1</w:t>
      </w:r>
      <w:r>
        <w:rPr>
          <w:kern w:val="2"/>
          <w:sz w:val="24"/>
          <w:szCs w:val="24"/>
          <w:highlight w:val="none"/>
        </w:rPr>
        <w:t>8）</w:t>
      </w:r>
      <w:r>
        <w:rPr>
          <w:rFonts w:hint="eastAsia"/>
          <w:kern w:val="2"/>
          <w:sz w:val="24"/>
          <w:szCs w:val="24"/>
          <w:highlight w:val="none"/>
        </w:rPr>
        <w:t>的相关规定</w:t>
      </w:r>
      <w:r>
        <w:rPr>
          <w:kern w:val="2"/>
          <w:sz w:val="24"/>
          <w:szCs w:val="24"/>
          <w:highlight w:val="none"/>
        </w:rPr>
        <w:t>，</w:t>
      </w:r>
      <w:r>
        <w:rPr>
          <w:rFonts w:hint="eastAsia"/>
          <w:kern w:val="2"/>
          <w:sz w:val="24"/>
          <w:szCs w:val="24"/>
          <w:highlight w:val="none"/>
        </w:rPr>
        <w:t>无需计算大气环境防护距离</w:t>
      </w:r>
      <w:r>
        <w:rPr>
          <w:kern w:val="2"/>
          <w:sz w:val="24"/>
          <w:szCs w:val="24"/>
          <w:highlight w:val="none"/>
        </w:rPr>
        <w:t>。</w:t>
      </w:r>
    </w:p>
    <w:p>
      <w:pPr>
        <w:pStyle w:val="3"/>
        <w:numPr>
          <w:ilvl w:val="3"/>
          <w:numId w:val="1"/>
        </w:numPr>
        <w:ind w:left="709" w:hanging="709"/>
        <w:rPr>
          <w:rFonts w:eastAsia="宋体"/>
          <w:b/>
          <w:highlight w:val="none"/>
        </w:rPr>
      </w:pPr>
      <w:r>
        <w:rPr>
          <w:rFonts w:eastAsia="宋体"/>
          <w:b/>
          <w:highlight w:val="none"/>
        </w:rPr>
        <w:t>大气环境影响评价小结</w:t>
      </w:r>
    </w:p>
    <w:p>
      <w:pPr>
        <w:widowControl/>
        <w:ind w:firstLine="480"/>
        <w:textAlignment w:val="auto"/>
        <w:rPr>
          <w:kern w:val="2"/>
          <w:sz w:val="24"/>
          <w:szCs w:val="24"/>
          <w:highlight w:val="none"/>
        </w:rPr>
      </w:pPr>
      <w:bookmarkStart w:id="460" w:name="_Toc521591798"/>
      <w:bookmarkStart w:id="461" w:name="_Toc12898"/>
      <w:r>
        <w:rPr>
          <w:kern w:val="2"/>
          <w:sz w:val="24"/>
          <w:szCs w:val="24"/>
          <w:highlight w:val="none"/>
        </w:rPr>
        <w:t>破碎车间有组织排放的PM</w:t>
      </w:r>
      <w:r>
        <w:rPr>
          <w:kern w:val="2"/>
          <w:sz w:val="24"/>
          <w:szCs w:val="24"/>
          <w:highlight w:val="none"/>
          <w:vertAlign w:val="subscript"/>
        </w:rPr>
        <w:t>10</w:t>
      </w:r>
      <w:r>
        <w:rPr>
          <w:kern w:val="2"/>
          <w:sz w:val="24"/>
          <w:szCs w:val="24"/>
          <w:highlight w:val="none"/>
        </w:rPr>
        <w:t>最大浓度为38.30</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，最大浓度占标率为8.51%，出现距离为1010m</w:t>
      </w:r>
      <w:r>
        <w:rPr>
          <w:rFonts w:hint="eastAsia"/>
          <w:kern w:val="2"/>
          <w:sz w:val="24"/>
          <w:szCs w:val="24"/>
          <w:highlight w:val="none"/>
        </w:rPr>
        <w:t>，</w:t>
      </w:r>
      <w:r>
        <w:rPr>
          <w:kern w:val="2"/>
          <w:sz w:val="24"/>
          <w:szCs w:val="24"/>
          <w:highlight w:val="none"/>
        </w:rPr>
        <w:t>PM</w:t>
      </w:r>
      <w:r>
        <w:rPr>
          <w:rFonts w:hint="eastAsia"/>
          <w:kern w:val="2"/>
          <w:sz w:val="24"/>
          <w:szCs w:val="24"/>
          <w:highlight w:val="none"/>
        </w:rPr>
        <w:t>2.5</w:t>
      </w:r>
      <w:r>
        <w:rPr>
          <w:kern w:val="2"/>
          <w:sz w:val="24"/>
          <w:szCs w:val="24"/>
          <w:highlight w:val="none"/>
        </w:rPr>
        <w:t>最大浓度为</w:t>
      </w:r>
      <w:r>
        <w:rPr>
          <w:rFonts w:hint="eastAsia"/>
          <w:kern w:val="2"/>
          <w:sz w:val="24"/>
          <w:szCs w:val="24"/>
          <w:highlight w:val="none"/>
        </w:rPr>
        <w:t>19.15</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，最大浓度占标率为8.51%，出现距离为1010m。</w:t>
      </w:r>
    </w:p>
    <w:p>
      <w:pPr>
        <w:pStyle w:val="47"/>
        <w:ind w:left="560"/>
        <w:rPr>
          <w:highlight w:val="none"/>
        </w:rPr>
      </w:pPr>
    </w:p>
    <w:p>
      <w:pPr>
        <w:widowControl/>
        <w:ind w:firstLine="480"/>
        <w:jc w:val="both"/>
        <w:textAlignment w:val="auto"/>
        <w:rPr>
          <w:kern w:val="2"/>
          <w:sz w:val="24"/>
          <w:szCs w:val="24"/>
          <w:highlight w:val="none"/>
        </w:rPr>
      </w:pPr>
      <w:r>
        <w:rPr>
          <w:kern w:val="2"/>
          <w:sz w:val="24"/>
          <w:szCs w:val="24"/>
          <w:highlight w:val="none"/>
        </w:rPr>
        <w:t>破碎车间无组织排放的TSP最大浓度为38.85</w:t>
      </w:r>
      <w:r>
        <w:rPr>
          <w:rFonts w:hint="eastAsia"/>
          <w:kern w:val="2"/>
          <w:sz w:val="24"/>
          <w:szCs w:val="24"/>
          <w:highlight w:val="none"/>
        </w:rPr>
        <w:t xml:space="preserve"> </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，最大浓度占标率为4.32</w:t>
      </w:r>
      <w:r>
        <w:rPr>
          <w:rFonts w:hint="eastAsia"/>
          <w:kern w:val="2"/>
          <w:sz w:val="24"/>
          <w:szCs w:val="24"/>
          <w:highlight w:val="none"/>
        </w:rPr>
        <w:t xml:space="preserve"> </w:t>
      </w:r>
      <w:r>
        <w:rPr>
          <w:kern w:val="2"/>
          <w:sz w:val="24"/>
          <w:szCs w:val="24"/>
          <w:highlight w:val="none"/>
        </w:rPr>
        <w:t>%，出现距离为54</w:t>
      </w:r>
      <w:r>
        <w:rPr>
          <w:rFonts w:hint="eastAsia"/>
          <w:kern w:val="2"/>
          <w:sz w:val="24"/>
          <w:szCs w:val="24"/>
          <w:highlight w:val="none"/>
        </w:rPr>
        <w:t xml:space="preserve"> </w:t>
      </w:r>
      <w:r>
        <w:rPr>
          <w:kern w:val="2"/>
          <w:sz w:val="24"/>
          <w:szCs w:val="24"/>
          <w:highlight w:val="none"/>
        </w:rPr>
        <w:t>m。</w:t>
      </w:r>
      <w:r>
        <w:rPr>
          <w:rFonts w:hint="eastAsia"/>
          <w:kern w:val="2"/>
          <w:sz w:val="24"/>
          <w:szCs w:val="24"/>
          <w:highlight w:val="none"/>
          <w:lang w:val="en-US" w:eastAsia="zh-CN"/>
        </w:rPr>
        <w:t>成品</w:t>
      </w:r>
      <w:r>
        <w:rPr>
          <w:kern w:val="2"/>
          <w:sz w:val="24"/>
          <w:szCs w:val="24"/>
          <w:highlight w:val="none"/>
        </w:rPr>
        <w:t>库无组织排放的TSP最大浓度为54.10</w:t>
      </w:r>
      <w:r>
        <w:rPr>
          <w:rFonts w:hint="eastAsia"/>
          <w:kern w:val="2"/>
          <w:sz w:val="24"/>
          <w:szCs w:val="24"/>
          <w:highlight w:val="none"/>
        </w:rPr>
        <w:t xml:space="preserve"> </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，最大浓度占标率为6.01</w:t>
      </w:r>
      <w:r>
        <w:rPr>
          <w:rFonts w:hint="eastAsia"/>
          <w:kern w:val="2"/>
          <w:sz w:val="24"/>
          <w:szCs w:val="24"/>
          <w:highlight w:val="none"/>
        </w:rPr>
        <w:t xml:space="preserve"> </w:t>
      </w:r>
      <w:r>
        <w:rPr>
          <w:kern w:val="2"/>
          <w:sz w:val="24"/>
          <w:szCs w:val="24"/>
          <w:highlight w:val="none"/>
        </w:rPr>
        <w:t>%，出现距离为62</w:t>
      </w:r>
      <w:r>
        <w:rPr>
          <w:rFonts w:hint="eastAsia"/>
          <w:kern w:val="2"/>
          <w:sz w:val="24"/>
          <w:szCs w:val="24"/>
          <w:highlight w:val="none"/>
        </w:rPr>
        <w:t xml:space="preserve"> </w:t>
      </w:r>
      <w:r>
        <w:rPr>
          <w:kern w:val="2"/>
          <w:sz w:val="24"/>
          <w:szCs w:val="24"/>
          <w:highlight w:val="none"/>
        </w:rPr>
        <w:t>m。</w:t>
      </w:r>
    </w:p>
    <w:p>
      <w:pPr>
        <w:widowControl/>
        <w:ind w:firstLine="480"/>
        <w:jc w:val="both"/>
        <w:textAlignment w:val="auto"/>
        <w:rPr>
          <w:kern w:val="2"/>
          <w:sz w:val="24"/>
          <w:szCs w:val="24"/>
          <w:highlight w:val="none"/>
        </w:rPr>
      </w:pPr>
      <w:r>
        <w:rPr>
          <w:kern w:val="2"/>
          <w:sz w:val="24"/>
          <w:szCs w:val="24"/>
          <w:highlight w:val="none"/>
        </w:rPr>
        <w:t>根据无组织废气厂界预测结果，各厂界的预测浓度最大值均小于《铁矿采选工业污染物排放标准》（GB</w:t>
      </w:r>
      <w:r>
        <w:rPr>
          <w:rFonts w:hint="eastAsia"/>
          <w:kern w:val="2"/>
          <w:sz w:val="24"/>
          <w:szCs w:val="24"/>
          <w:highlight w:val="none"/>
        </w:rPr>
        <w:t xml:space="preserve"> </w:t>
      </w:r>
      <w:r>
        <w:rPr>
          <w:kern w:val="2"/>
          <w:sz w:val="24"/>
          <w:szCs w:val="24"/>
          <w:highlight w:val="none"/>
        </w:rPr>
        <w:t>28661-2012）表7中无组织排放浓度限值（1.0</w:t>
      </w:r>
      <w:r>
        <w:rPr>
          <w:rFonts w:hint="eastAsia"/>
          <w:kern w:val="2"/>
          <w:sz w:val="24"/>
          <w:szCs w:val="24"/>
          <w:highlight w:val="none"/>
        </w:rPr>
        <w:t xml:space="preserve"> </w:t>
      </w:r>
      <w:r>
        <w:rPr>
          <w:kern w:val="2"/>
          <w:sz w:val="24"/>
          <w:szCs w:val="24"/>
          <w:highlight w:val="none"/>
        </w:rPr>
        <w:t>mg/m</w:t>
      </w:r>
      <w:r>
        <w:rPr>
          <w:kern w:val="2"/>
          <w:sz w:val="24"/>
          <w:szCs w:val="24"/>
          <w:highlight w:val="none"/>
          <w:vertAlign w:val="superscript"/>
        </w:rPr>
        <w:t>3</w:t>
      </w:r>
      <w:r>
        <w:rPr>
          <w:kern w:val="2"/>
          <w:sz w:val="24"/>
          <w:szCs w:val="24"/>
          <w:highlight w:val="none"/>
        </w:rPr>
        <w:t>）。</w:t>
      </w:r>
    </w:p>
    <w:p>
      <w:pPr>
        <w:pStyle w:val="6"/>
        <w:numPr>
          <w:ilvl w:val="2"/>
          <w:numId w:val="1"/>
        </w:numPr>
        <w:spacing w:before="0" w:after="0"/>
        <w:ind w:left="567"/>
        <w:rPr>
          <w:szCs w:val="28"/>
          <w:highlight w:val="none"/>
        </w:rPr>
      </w:pPr>
      <w:r>
        <w:rPr>
          <w:szCs w:val="28"/>
          <w:highlight w:val="none"/>
        </w:rPr>
        <w:t>地表水环境影响评价</w:t>
      </w:r>
      <w:bookmarkEnd w:id="460"/>
      <w:bookmarkEnd w:id="461"/>
    </w:p>
    <w:p>
      <w:pPr>
        <w:pStyle w:val="19"/>
        <w:spacing w:after="0" w:line="480" w:lineRule="exact"/>
        <w:ind w:firstLine="480"/>
        <w:jc w:val="both"/>
        <w:rPr>
          <w:rFonts w:hint="eastAsia"/>
          <w:sz w:val="24"/>
          <w:szCs w:val="24"/>
          <w:highlight w:val="none"/>
          <w:lang w:val="en-US" w:eastAsia="zh-CN"/>
        </w:rPr>
      </w:pPr>
      <w:r>
        <w:rPr>
          <w:rFonts w:hint="eastAsia"/>
          <w:sz w:val="24"/>
          <w:szCs w:val="24"/>
          <w:highlight w:val="none"/>
          <w:lang w:val="en-US" w:eastAsia="zh-CN"/>
        </w:rPr>
        <w:t>本项目用水主要为振筛湿式作业用水，产生的废水泵入浓缩罐后经管道自流至北厂区干排系统处理，处理后作为球磨磁选用水回用、不外排。</w:t>
      </w:r>
    </w:p>
    <w:p>
      <w:pPr>
        <w:ind w:firstLine="480"/>
        <w:jc w:val="both"/>
        <w:rPr>
          <w:sz w:val="24"/>
          <w:szCs w:val="24"/>
          <w:highlight w:val="none"/>
        </w:rPr>
      </w:pPr>
      <w:r>
        <w:rPr>
          <w:rFonts w:hint="eastAsia"/>
          <w:sz w:val="24"/>
          <w:szCs w:val="24"/>
          <w:highlight w:val="none"/>
          <w:lang w:val="en-US" w:eastAsia="zh-CN"/>
        </w:rPr>
        <w:t>改扩建项目实施后全厂</w:t>
      </w:r>
      <w:r>
        <w:rPr>
          <w:sz w:val="24"/>
          <w:szCs w:val="24"/>
          <w:highlight w:val="none"/>
        </w:rPr>
        <w:t>生产废水经尾矿泵送至旋流罐、高效深锥浓密器，再经过沉淀池澄清、压滤机压滤后返回清水池，全部回用于生产</w:t>
      </w:r>
      <w:r>
        <w:rPr>
          <w:rFonts w:hint="eastAsia"/>
          <w:sz w:val="24"/>
          <w:szCs w:val="24"/>
          <w:highlight w:val="none"/>
          <w:lang w:eastAsia="zh-CN"/>
        </w:rPr>
        <w:t>；</w:t>
      </w:r>
      <w:r>
        <w:rPr>
          <w:rFonts w:hint="eastAsia"/>
          <w:bCs/>
          <w:sz w:val="24"/>
          <w:szCs w:val="24"/>
          <w:highlight w:val="none"/>
        </w:rPr>
        <w:t>车间地面清洗废水经管道排入浓密池，经沉淀处理后，上清液排入清水池，回用于生产工序，不外排</w:t>
      </w:r>
      <w:r>
        <w:rPr>
          <w:rFonts w:hint="eastAsia"/>
          <w:bCs/>
          <w:sz w:val="24"/>
          <w:szCs w:val="24"/>
          <w:highlight w:val="none"/>
          <w:lang w:eastAsia="zh-CN"/>
        </w:rPr>
        <w:t>；</w:t>
      </w:r>
      <w:r>
        <w:rPr>
          <w:bCs/>
          <w:sz w:val="24"/>
          <w:szCs w:val="24"/>
          <w:highlight w:val="none"/>
        </w:rPr>
        <w:t>洗车废水经沉淀池沉淀后，回用于洗车，不外排</w:t>
      </w:r>
      <w:r>
        <w:rPr>
          <w:rFonts w:hint="eastAsia"/>
          <w:bCs/>
          <w:sz w:val="24"/>
          <w:szCs w:val="24"/>
          <w:highlight w:val="none"/>
          <w:lang w:eastAsia="zh-CN"/>
        </w:rPr>
        <w:t>；</w:t>
      </w:r>
      <w:r>
        <w:rPr>
          <w:bCs/>
          <w:sz w:val="24"/>
          <w:szCs w:val="24"/>
          <w:highlight w:val="none"/>
        </w:rPr>
        <w:t>员工生活污水</w:t>
      </w:r>
      <w:r>
        <w:rPr>
          <w:rFonts w:hint="eastAsia"/>
          <w:bCs/>
          <w:sz w:val="24"/>
          <w:szCs w:val="24"/>
          <w:highlight w:val="none"/>
        </w:rPr>
        <w:t>仅为少量</w:t>
      </w:r>
      <w:r>
        <w:rPr>
          <w:bCs/>
          <w:sz w:val="24"/>
          <w:szCs w:val="24"/>
          <w:highlight w:val="none"/>
        </w:rPr>
        <w:t>盥洗废水，经收集后，用于厂区道路洒水抑尘，不外排；</w:t>
      </w:r>
      <w:r>
        <w:rPr>
          <w:sz w:val="24"/>
          <w:szCs w:val="24"/>
          <w:highlight w:val="none"/>
        </w:rPr>
        <w:t>厂区设防渗旱厕，定期清掏用于肥田，不外排。</w:t>
      </w:r>
    </w:p>
    <w:p>
      <w:pPr>
        <w:autoSpaceDE w:val="0"/>
        <w:autoSpaceDN w:val="0"/>
        <w:ind w:firstLine="480"/>
        <w:jc w:val="both"/>
        <w:textAlignment w:val="auto"/>
        <w:rPr>
          <w:bCs/>
          <w:sz w:val="24"/>
          <w:szCs w:val="24"/>
          <w:highlight w:val="none"/>
        </w:rPr>
      </w:pPr>
      <w:r>
        <w:rPr>
          <w:bCs/>
          <w:sz w:val="24"/>
          <w:szCs w:val="24"/>
          <w:highlight w:val="none"/>
        </w:rPr>
        <w:t>综上所述，本项目正常情况下生产废水及生活污水不外排，不会对周围地表水环境产生影响。</w:t>
      </w:r>
    </w:p>
    <w:p>
      <w:pPr>
        <w:pStyle w:val="6"/>
        <w:numPr>
          <w:ilvl w:val="2"/>
          <w:numId w:val="1"/>
        </w:numPr>
        <w:spacing w:before="0" w:after="0"/>
        <w:ind w:left="567"/>
        <w:rPr>
          <w:szCs w:val="28"/>
          <w:highlight w:val="none"/>
        </w:rPr>
      </w:pPr>
      <w:bookmarkStart w:id="462" w:name="_Toc13613"/>
      <w:bookmarkStart w:id="463" w:name="_Toc521591799"/>
      <w:r>
        <w:rPr>
          <w:szCs w:val="28"/>
          <w:highlight w:val="none"/>
        </w:rPr>
        <w:t>地下水环境影响预测与评价</w:t>
      </w:r>
      <w:bookmarkEnd w:id="462"/>
      <w:bookmarkEnd w:id="463"/>
    </w:p>
    <w:p>
      <w:pPr>
        <w:ind w:firstLine="480"/>
        <w:rPr>
          <w:sz w:val="24"/>
          <w:highlight w:val="none"/>
        </w:rPr>
      </w:pPr>
      <w:r>
        <w:rPr>
          <w:sz w:val="24"/>
          <w:highlight w:val="none"/>
        </w:rPr>
        <w:t>根据建设项目自身性质及其对地下水环境影响的特点，为预测和评价项目建设对地下水环境可能造成的影响和危害，并针对这种影响和危害提出防治策略，从而达到预防与控制环境恶化、保护地下水资源的目的。本次工作将采用数值模拟法进行预测与评价。</w:t>
      </w:r>
    </w:p>
    <w:p>
      <w:pPr>
        <w:ind w:firstLine="480"/>
        <w:rPr>
          <w:sz w:val="24"/>
          <w:highlight w:val="none"/>
        </w:rPr>
      </w:pPr>
      <w:r>
        <w:rPr>
          <w:sz w:val="24"/>
          <w:highlight w:val="none"/>
        </w:rPr>
        <w:t>总体思路是：在对评价区水文地质条件综合分析的基础上确定模拟范围，通过边界条件、地下水流动特征及含水层系统结构的概化，建立评价区的水文地质概念模型，进一步采用有限差分原理进行空间离散、高程插值、非均质分区、边界条件设置等，从而构建评价区地下水渗流数值模型。利用已有的水位观测资料及区域地下水运动规律，完成模型的识别验证。最后按照根据项目的特点，设计了污染泄漏情景，在地下水渗流数值模型的基础上耦合污染物迁移方程，得到地下水溶质运移模型，利用此模型对污染情景进行预测评价。</w:t>
      </w:r>
    </w:p>
    <w:p>
      <w:pPr>
        <w:pStyle w:val="3"/>
        <w:rPr>
          <w:rFonts w:eastAsia="宋体"/>
          <w:b/>
          <w:highlight w:val="none"/>
        </w:rPr>
      </w:pPr>
      <w:bookmarkStart w:id="464" w:name="_Toc3233"/>
      <w:bookmarkStart w:id="465" w:name="_Toc468693000"/>
      <w:r>
        <w:rPr>
          <w:rFonts w:eastAsia="宋体"/>
          <w:b/>
          <w:highlight w:val="none"/>
        </w:rPr>
        <w:t>5.2.3.1评价区水文地质特征</w:t>
      </w:r>
    </w:p>
    <w:p>
      <w:pPr>
        <w:pStyle w:val="7"/>
        <w:spacing w:before="0" w:after="0" w:line="360" w:lineRule="auto"/>
        <w:ind w:left="0" w:firstLine="480" w:firstLineChars="200"/>
        <w:rPr>
          <w:b w:val="0"/>
          <w:color w:val="auto"/>
          <w:sz w:val="24"/>
          <w:szCs w:val="24"/>
          <w:highlight w:val="none"/>
        </w:rPr>
      </w:pPr>
      <w:r>
        <w:rPr>
          <w:b w:val="0"/>
          <w:color w:val="auto"/>
          <w:sz w:val="24"/>
          <w:szCs w:val="24"/>
          <w:highlight w:val="none"/>
        </w:rPr>
        <w:t>（1）含水层（组）特征</w:t>
      </w:r>
    </w:p>
    <w:p>
      <w:pPr>
        <w:pStyle w:val="8"/>
        <w:spacing w:before="0" w:after="0" w:line="360" w:lineRule="auto"/>
        <w:ind w:left="140" w:leftChars="50" w:firstLine="240" w:firstLineChars="100"/>
        <w:rPr>
          <w:rFonts w:ascii="Times New Roman" w:hAnsi="Times New Roman" w:eastAsiaTheme="minorEastAsia"/>
          <w:b w:val="0"/>
          <w:color w:val="auto"/>
          <w:szCs w:val="24"/>
          <w:highlight w:val="none"/>
        </w:rPr>
      </w:pPr>
      <w:r>
        <w:rPr>
          <w:rFonts w:hint="eastAsia" w:ascii="宋体" w:hAnsi="宋体" w:eastAsia="宋体" w:cs="宋体"/>
          <w:b w:val="0"/>
          <w:color w:val="auto"/>
          <w:szCs w:val="24"/>
          <w:highlight w:val="none"/>
        </w:rPr>
        <w:t>①</w:t>
      </w:r>
      <w:r>
        <w:rPr>
          <w:rFonts w:ascii="Times New Roman" w:hAnsi="Times New Roman" w:eastAsiaTheme="minorEastAsia"/>
          <w:b w:val="0"/>
          <w:color w:val="auto"/>
          <w:szCs w:val="24"/>
          <w:highlight w:val="none"/>
        </w:rPr>
        <w:t>评价区地层</w:t>
      </w:r>
    </w:p>
    <w:p>
      <w:pPr>
        <w:ind w:firstLine="480"/>
        <w:rPr>
          <w:sz w:val="24"/>
          <w:szCs w:val="24"/>
          <w:highlight w:val="none"/>
        </w:rPr>
      </w:pPr>
      <w:r>
        <w:rPr>
          <w:sz w:val="24"/>
          <w:szCs w:val="24"/>
          <w:highlight w:val="none"/>
        </w:rPr>
        <w:t>评价区周边出露地层主要包括第四系全新统现代冲积地层（Q</w:t>
      </w:r>
      <w:r>
        <w:rPr>
          <w:sz w:val="24"/>
          <w:szCs w:val="24"/>
          <w:highlight w:val="none"/>
          <w:vertAlign w:val="subscript"/>
        </w:rPr>
        <w:t>4</w:t>
      </w:r>
      <w:r>
        <w:rPr>
          <w:sz w:val="24"/>
          <w:szCs w:val="24"/>
          <w:highlight w:val="none"/>
          <w:vertAlign w:val="superscript"/>
        </w:rPr>
        <w:t>al</w:t>
      </w:r>
      <w:r>
        <w:rPr>
          <w:sz w:val="24"/>
          <w:szCs w:val="24"/>
          <w:highlight w:val="none"/>
        </w:rPr>
        <w:t>），岩性主要为砂、砂砾、卵石，主要分布在评价区东北角，沿沙河呈条带状分布；第四系全新统洪积（Q</w:t>
      </w:r>
      <w:r>
        <w:rPr>
          <w:sz w:val="24"/>
          <w:szCs w:val="24"/>
          <w:highlight w:val="none"/>
          <w:vertAlign w:val="subscript"/>
        </w:rPr>
        <w:t>4</w:t>
      </w:r>
      <w:r>
        <w:rPr>
          <w:sz w:val="24"/>
          <w:szCs w:val="24"/>
          <w:highlight w:val="none"/>
          <w:vertAlign w:val="superscript"/>
        </w:rPr>
        <w:t>pl</w:t>
      </w:r>
      <w:r>
        <w:rPr>
          <w:sz w:val="24"/>
          <w:szCs w:val="24"/>
          <w:highlight w:val="none"/>
        </w:rPr>
        <w:t>）地层，岩性主要为黄褐色砂、卵石层，分布于评价区的西北角；第四系全新统（Q</w:t>
      </w:r>
      <w:r>
        <w:rPr>
          <w:sz w:val="24"/>
          <w:szCs w:val="24"/>
          <w:highlight w:val="none"/>
          <w:vertAlign w:val="subscript"/>
        </w:rPr>
        <w:t>4</w:t>
      </w:r>
      <w:r>
        <w:rPr>
          <w:sz w:val="24"/>
          <w:szCs w:val="24"/>
          <w:highlight w:val="none"/>
          <w:vertAlign w:val="superscript"/>
        </w:rPr>
        <w:t>pl+al</w:t>
      </w:r>
      <w:r>
        <w:rPr>
          <w:sz w:val="24"/>
          <w:szCs w:val="24"/>
          <w:highlight w:val="none"/>
        </w:rPr>
        <w:t>）冲积、洪积地层，岩性主要为黄土状亚砂土、亚粘土夹砾石透镜体，广泛分布于研究区内（详见图5.2-6）。其中全新统冲积层及冲洪积层（Q</w:t>
      </w:r>
      <w:r>
        <w:rPr>
          <w:sz w:val="24"/>
          <w:szCs w:val="24"/>
          <w:highlight w:val="none"/>
          <w:vertAlign w:val="subscript"/>
        </w:rPr>
        <w:t>4</w:t>
      </w:r>
      <w:r>
        <w:rPr>
          <w:sz w:val="24"/>
          <w:szCs w:val="24"/>
          <w:highlight w:val="none"/>
          <w:vertAlign w:val="superscript"/>
        </w:rPr>
        <w:t>al</w:t>
      </w:r>
      <w:r>
        <w:rPr>
          <w:sz w:val="24"/>
          <w:szCs w:val="24"/>
          <w:highlight w:val="none"/>
        </w:rPr>
        <w:t>、Q</w:t>
      </w:r>
      <w:r>
        <w:rPr>
          <w:sz w:val="24"/>
          <w:szCs w:val="24"/>
          <w:highlight w:val="none"/>
          <w:vertAlign w:val="subscript"/>
        </w:rPr>
        <w:t>4</w:t>
      </w:r>
      <w:r>
        <w:rPr>
          <w:sz w:val="24"/>
          <w:szCs w:val="24"/>
          <w:highlight w:val="none"/>
          <w:vertAlign w:val="superscript"/>
        </w:rPr>
        <w:t>al+pl</w:t>
      </w:r>
      <w:r>
        <w:rPr>
          <w:sz w:val="24"/>
          <w:szCs w:val="24"/>
          <w:highlight w:val="none"/>
        </w:rPr>
        <w:t>）导水性和富水性较好，含水层厚度一般5～15m，单井单位涌水量大于100m</w:t>
      </w:r>
      <w:r>
        <w:rPr>
          <w:sz w:val="24"/>
          <w:szCs w:val="24"/>
          <w:highlight w:val="none"/>
          <w:vertAlign w:val="superscript"/>
        </w:rPr>
        <w:t>3</w:t>
      </w:r>
      <w:r>
        <w:rPr>
          <w:sz w:val="24"/>
          <w:szCs w:val="24"/>
          <w:highlight w:val="none"/>
        </w:rPr>
        <w:t>/h·m。此外，由评价区内傅家铺村、新店子村和堡子店村三个钻孔（见图4.1-5）可知评价区垂向上地层状况。</w:t>
      </w:r>
    </w:p>
    <w:p>
      <w:pPr>
        <w:ind w:firstLine="480"/>
        <w:rPr>
          <w:sz w:val="24"/>
          <w:szCs w:val="24"/>
          <w:highlight w:val="none"/>
        </w:rPr>
      </w:pPr>
      <w:r>
        <w:rPr>
          <w:sz w:val="24"/>
          <w:szCs w:val="24"/>
          <w:highlight w:val="none"/>
        </w:rPr>
        <w:t>a.全新统（Q</w:t>
      </w:r>
      <w:r>
        <w:rPr>
          <w:sz w:val="24"/>
          <w:szCs w:val="24"/>
          <w:highlight w:val="none"/>
          <w:vertAlign w:val="subscript"/>
        </w:rPr>
        <w:t>4</w:t>
      </w:r>
      <w:r>
        <w:rPr>
          <w:sz w:val="24"/>
          <w:szCs w:val="24"/>
          <w:highlight w:val="none"/>
        </w:rPr>
        <w:t>）：上部由黄土、亚粘土、淤泥和粉细砂组成，下部由亚粘土、粘土砂、砂砾石、砾石、卵砾石混合堆积组成，全系统（Q</w:t>
      </w:r>
      <w:r>
        <w:rPr>
          <w:sz w:val="24"/>
          <w:szCs w:val="24"/>
          <w:highlight w:val="none"/>
          <w:vertAlign w:val="subscript"/>
        </w:rPr>
        <w:t>4</w:t>
      </w:r>
      <w:r>
        <w:rPr>
          <w:sz w:val="24"/>
          <w:szCs w:val="24"/>
          <w:highlight w:val="none"/>
        </w:rPr>
        <w:t>）地层在傅家铺村较薄，在堡子店村附近相对较厚，全新统（Q</w:t>
      </w:r>
      <w:r>
        <w:rPr>
          <w:sz w:val="24"/>
          <w:szCs w:val="24"/>
          <w:highlight w:val="none"/>
          <w:vertAlign w:val="subscript"/>
        </w:rPr>
        <w:t>4</w:t>
      </w:r>
      <w:r>
        <w:rPr>
          <w:sz w:val="24"/>
          <w:szCs w:val="24"/>
          <w:highlight w:val="none"/>
        </w:rPr>
        <w:t>）地层厚度15～30m。</w:t>
      </w:r>
    </w:p>
    <w:p>
      <w:pPr>
        <w:ind w:firstLine="480"/>
        <w:rPr>
          <w:sz w:val="24"/>
          <w:szCs w:val="24"/>
          <w:highlight w:val="none"/>
        </w:rPr>
      </w:pPr>
      <w:r>
        <w:rPr>
          <w:sz w:val="24"/>
          <w:szCs w:val="24"/>
          <w:highlight w:val="none"/>
        </w:rPr>
        <w:t>b.中上更新统（Q</w:t>
      </w:r>
      <w:r>
        <w:rPr>
          <w:sz w:val="24"/>
          <w:szCs w:val="24"/>
          <w:highlight w:val="none"/>
          <w:vertAlign w:val="subscript"/>
        </w:rPr>
        <w:t>3</w:t>
      </w:r>
      <w:r>
        <w:rPr>
          <w:sz w:val="24"/>
          <w:szCs w:val="24"/>
          <w:highlight w:val="none"/>
        </w:rPr>
        <w:t>）：主要由黄土砾石层、亚粘土砾石层（泥包砾）粘土层、细砂泥质砂层夹砂砾石透镜体组成。砾石以石英砂岩和各类片麻岩为主。砾石直径大者可达50cm，评价区Q</w:t>
      </w:r>
      <w:r>
        <w:rPr>
          <w:sz w:val="24"/>
          <w:szCs w:val="24"/>
          <w:highlight w:val="none"/>
          <w:vertAlign w:val="subscript"/>
        </w:rPr>
        <w:t>3</w:t>
      </w:r>
      <w:r>
        <w:rPr>
          <w:sz w:val="24"/>
          <w:szCs w:val="24"/>
          <w:highlight w:val="none"/>
        </w:rPr>
        <w:t>平均厚度35m左右。其中全系统（Q</w:t>
      </w:r>
      <w:r>
        <w:rPr>
          <w:sz w:val="24"/>
          <w:szCs w:val="24"/>
          <w:highlight w:val="none"/>
          <w:vertAlign w:val="subscript"/>
        </w:rPr>
        <w:t>4</w:t>
      </w:r>
      <w:r>
        <w:rPr>
          <w:sz w:val="24"/>
          <w:szCs w:val="24"/>
          <w:highlight w:val="none"/>
        </w:rPr>
        <w:t>）和上更新统（Q</w:t>
      </w:r>
      <w:r>
        <w:rPr>
          <w:sz w:val="24"/>
          <w:szCs w:val="24"/>
          <w:highlight w:val="none"/>
          <w:vertAlign w:val="subscript"/>
        </w:rPr>
        <w:t>3</w:t>
      </w:r>
      <w:r>
        <w:rPr>
          <w:sz w:val="24"/>
          <w:szCs w:val="24"/>
          <w:highlight w:val="none"/>
        </w:rPr>
        <w:t>）地层之间存在弱透水层，但弱透水层厚度较薄，平均厚度仅3～5m左右。</w:t>
      </w:r>
    </w:p>
    <w:p>
      <w:pPr>
        <w:ind w:firstLine="480"/>
        <w:rPr>
          <w:sz w:val="24"/>
          <w:szCs w:val="24"/>
          <w:highlight w:val="none"/>
        </w:rPr>
      </w:pPr>
      <w:r>
        <w:rPr>
          <w:sz w:val="24"/>
          <w:szCs w:val="24"/>
          <w:highlight w:val="none"/>
        </w:rPr>
        <w:t>c.中更新统（Q</w:t>
      </w:r>
      <w:r>
        <w:rPr>
          <w:sz w:val="24"/>
          <w:szCs w:val="24"/>
          <w:highlight w:val="none"/>
          <w:vertAlign w:val="subscript"/>
        </w:rPr>
        <w:t>2</w:t>
      </w:r>
      <w:r>
        <w:rPr>
          <w:sz w:val="24"/>
          <w:szCs w:val="24"/>
          <w:highlight w:val="none"/>
        </w:rPr>
        <w:t>）：主要是一套含少量粘性土的卵砾石层的沉积物，卵石有轻微风化现象，评价区Q</w:t>
      </w:r>
      <w:r>
        <w:rPr>
          <w:sz w:val="24"/>
          <w:szCs w:val="24"/>
          <w:highlight w:val="none"/>
          <w:vertAlign w:val="subscript"/>
        </w:rPr>
        <w:t>2</w:t>
      </w:r>
      <w:r>
        <w:rPr>
          <w:sz w:val="24"/>
          <w:szCs w:val="24"/>
          <w:highlight w:val="none"/>
        </w:rPr>
        <w:t>厚度一般50～70m。</w:t>
      </w:r>
    </w:p>
    <w:p>
      <w:pPr>
        <w:ind w:firstLine="480"/>
        <w:rPr>
          <w:sz w:val="24"/>
          <w:szCs w:val="24"/>
          <w:highlight w:val="none"/>
        </w:rPr>
      </w:pPr>
      <w:r>
        <w:rPr>
          <w:sz w:val="24"/>
          <w:szCs w:val="24"/>
          <w:highlight w:val="none"/>
        </w:rPr>
        <w:t>d.早更新统（Q</w:t>
      </w:r>
      <w:r>
        <w:rPr>
          <w:sz w:val="24"/>
          <w:szCs w:val="24"/>
          <w:highlight w:val="none"/>
          <w:vertAlign w:val="subscript"/>
        </w:rPr>
        <w:t>1</w:t>
      </w:r>
      <w:r>
        <w:rPr>
          <w:sz w:val="24"/>
          <w:szCs w:val="24"/>
          <w:highlight w:val="none"/>
        </w:rPr>
        <w:t>）：主要是一套含粘性土的卵砾石沉积物，并夹有粘砂土、砂粘土土层，其厚度100～200m。卵砾石层岩性除石英砂岩外，还有如变质岩、岩浆岩，多风化成砂性及粘性土，该层一般不含水。</w:t>
      </w:r>
    </w:p>
    <w:p>
      <w:pPr>
        <w:ind w:firstLine="480"/>
        <w:rPr>
          <w:sz w:val="24"/>
          <w:szCs w:val="24"/>
          <w:highlight w:val="none"/>
        </w:rPr>
      </w:pPr>
      <w:r>
        <w:rPr>
          <w:sz w:val="24"/>
          <w:szCs w:val="24"/>
          <w:highlight w:val="none"/>
        </w:rPr>
        <w:t>底部粘土层：一般厚2～3.0m，含少量破碎角砾。</w:t>
      </w:r>
    </w:p>
    <w:p>
      <w:pPr>
        <w:ind w:firstLine="480"/>
        <w:rPr>
          <w:sz w:val="24"/>
          <w:szCs w:val="24"/>
          <w:highlight w:val="none"/>
        </w:rPr>
      </w:pPr>
      <w:r>
        <w:rPr>
          <w:sz w:val="24"/>
          <w:szCs w:val="24"/>
          <w:highlight w:val="none"/>
        </w:rPr>
        <w:t>隐伏于第四系沉积物之下，为太古界迁西群马兰峪组变质岩系，主要岩性为：</w:t>
      </w:r>
    </w:p>
    <w:p>
      <w:pPr>
        <w:ind w:firstLine="480"/>
        <w:rPr>
          <w:sz w:val="24"/>
          <w:szCs w:val="24"/>
          <w:highlight w:val="none"/>
        </w:rPr>
      </w:pPr>
      <w:r>
        <w:rPr>
          <w:rFonts w:hint="eastAsia" w:ascii="宋体" w:hAnsi="宋体" w:cs="宋体"/>
          <w:sz w:val="24"/>
          <w:szCs w:val="24"/>
          <w:highlight w:val="none"/>
        </w:rPr>
        <w:t>①</w:t>
      </w:r>
      <w:r>
        <w:rPr>
          <w:sz w:val="24"/>
          <w:szCs w:val="24"/>
          <w:highlight w:val="none"/>
        </w:rPr>
        <w:t>黑云角闪斜片麻岩：新鲜岩石以灰绿色～灰黑色，风化后为土色，中粒花岗变晶结构，片麻状构造，主要矿物为角闪石、斜长石、石英、黑云母等，黑云母交代角闪石现象较为普遍，但仍不见残留假象。</w:t>
      </w:r>
    </w:p>
    <w:p>
      <w:pPr>
        <w:ind w:firstLine="480"/>
        <w:rPr>
          <w:sz w:val="24"/>
          <w:szCs w:val="24"/>
          <w:highlight w:val="none"/>
        </w:rPr>
      </w:pPr>
      <w:r>
        <w:rPr>
          <w:rFonts w:hint="eastAsia" w:ascii="宋体" w:hAnsi="宋体" w:cs="宋体"/>
          <w:sz w:val="24"/>
          <w:szCs w:val="24"/>
          <w:highlight w:val="none"/>
        </w:rPr>
        <w:t>②</w:t>
      </w:r>
      <w:r>
        <w:rPr>
          <w:sz w:val="24"/>
          <w:szCs w:val="24"/>
          <w:highlight w:val="none"/>
        </w:rPr>
        <w:t>角闪辉石斜长片麻岩：呈黑绿色～灰黑色，中粒花岗变晶结构，片麻状构造，暗色矿物主要为角闪石、辉石，浅色矿物主要为斜长石、石英，少量黑云母，柘榴子石呈星点状不均匀分布，局部呈团块状集聚。</w:t>
      </w:r>
    </w:p>
    <w:p>
      <w:pPr>
        <w:ind w:firstLine="480"/>
        <w:rPr>
          <w:sz w:val="24"/>
          <w:szCs w:val="24"/>
          <w:highlight w:val="none"/>
        </w:rPr>
      </w:pPr>
      <w:r>
        <w:rPr>
          <w:rFonts w:hint="eastAsia" w:ascii="宋体" w:hAnsi="宋体" w:cs="宋体"/>
          <w:sz w:val="24"/>
          <w:szCs w:val="24"/>
          <w:highlight w:val="none"/>
        </w:rPr>
        <w:t>③</w:t>
      </w:r>
      <w:r>
        <w:rPr>
          <w:sz w:val="24"/>
          <w:szCs w:val="24"/>
          <w:highlight w:val="none"/>
        </w:rPr>
        <w:t>斜长角闪岩：灰黑色，中粒变晶结构，芝麻点状构造，主要组成矿物为角闪石和斜长石，岩性坚硬致密。</w:t>
      </w:r>
    </w:p>
    <w:p>
      <w:pPr>
        <w:ind w:firstLine="0" w:firstLineChars="0"/>
        <w:jc w:val="center"/>
        <w:rPr>
          <w:sz w:val="24"/>
          <w:szCs w:val="24"/>
          <w:highlight w:val="none"/>
        </w:rPr>
      </w:pPr>
      <w:r>
        <w:rPr>
          <w:highlight w:val="none"/>
        </w:rPr>
        <w:pict>
          <v:shape id="_x0000_s2002" o:spid="_x0000_s2002" o:spt="12" type="#_x0000_t12" style="position:absolute;left:0pt;margin-left:336.35pt;margin-top:166.15pt;height:7.1pt;width:7.15pt;z-index:251695104;mso-width-relative:page;mso-height-relative:page;" fillcolor="#FF0000" filled="t" stroked="t" coordsize="21600,21600">
            <v:path/>
            <v:fill on="t" focussize="0,0"/>
            <v:stroke color="#FF0000" joinstyle="miter"/>
            <v:imagedata o:title=""/>
            <o:lock v:ext="edit"/>
          </v:shape>
        </w:pict>
      </w:r>
      <w:r>
        <w:rPr>
          <w:sz w:val="24"/>
          <w:highlight w:val="none"/>
        </w:rPr>
        <w:pict>
          <v:shape id="_x0000_s2001" o:spid="_x0000_s2001" o:spt="202" type="#_x0000_t202" style="position:absolute;left:0pt;margin-left:331.45pt;margin-top:163.05pt;height:15.2pt;width:18.75pt;z-index:251678720;mso-width-relative:page;mso-height-relative:page;" coordsize="21600,21600">
            <v:path/>
            <v:fill focussize="0,0"/>
            <v:stroke joinstyle="miter"/>
            <v:imagedata o:title=""/>
            <o:lock v:ext="edit"/>
            <v:textbox>
              <w:txbxContent>
                <w:p>
                  <w:pPr>
                    <w:ind w:firstLine="560"/>
                  </w:pPr>
                </w:p>
              </w:txbxContent>
            </v:textbox>
          </v:shape>
        </w:pict>
      </w:r>
      <w:r>
        <w:rPr>
          <w:highlight w:val="none"/>
        </w:rPr>
        <w:pict>
          <v:shape id="_x0000_s2000" o:spid="_x0000_s2000" o:spt="61" type="#_x0000_t61" style="position:absolute;left:0pt;margin-left:193.05pt;margin-top:119.35pt;height:19.6pt;width:40.2pt;z-index:251676672;mso-width-relative:page;mso-height-relative:page;" coordsize="21600,21600" adj="-5372,61329">
            <v:path/>
            <v:fill focussize="0,0"/>
            <v:stroke joinstyle="miter"/>
            <v:imagedata o:title=""/>
            <o:lock v:ext="edit"/>
            <v:textbox inset="0mm,0mm,0mm,0mm">
              <w:txbxContent>
                <w:p>
                  <w:pPr>
                    <w:ind w:firstLine="0" w:firstLineChars="0"/>
                  </w:pPr>
                  <w:r>
                    <w:rPr>
                      <w:rFonts w:hint="eastAsia"/>
                      <w:sz w:val="21"/>
                      <w:szCs w:val="21"/>
                    </w:rPr>
                    <w:t>本项目</w:t>
                  </w:r>
                </w:p>
              </w:txbxContent>
            </v:textbox>
          </v:shape>
        </w:pict>
      </w:r>
      <w:r>
        <w:rPr>
          <w:highlight w:val="none"/>
        </w:rPr>
        <w:pict>
          <v:shape id="_x0000_s1999" o:spid="_x0000_s1999" o:spt="12" type="#_x0000_t12" style="position:absolute;left:0pt;margin-left:177.9pt;margin-top:172.9pt;height:7.1pt;width:7.15pt;z-index:251675648;mso-width-relative:page;mso-height-relative:page;" fillcolor="#FF0000" filled="t" stroked="t" coordsize="21600,21600">
            <v:path/>
            <v:fill on="t" focussize="0,0"/>
            <v:stroke color="#FF0000" joinstyle="miter"/>
            <v:imagedata o:title=""/>
            <o:lock v:ext="edit"/>
          </v:shape>
        </w:pict>
      </w:r>
      <w:r>
        <w:rPr>
          <w:highlight w:val="none"/>
        </w:rPr>
        <w:drawing>
          <wp:anchor distT="0" distB="0" distL="114300" distR="114300" simplePos="0" relativeHeight="251661312" behindDoc="0" locked="0" layoutInCell="1" allowOverlap="1">
            <wp:simplePos x="0" y="0"/>
            <wp:positionH relativeFrom="column">
              <wp:posOffset>1268095</wp:posOffset>
            </wp:positionH>
            <wp:positionV relativeFrom="paragraph">
              <wp:posOffset>1760855</wp:posOffset>
            </wp:positionV>
            <wp:extent cx="354965" cy="240665"/>
            <wp:effectExtent l="0" t="0" r="6985" b="6985"/>
            <wp:wrapNone/>
            <wp:docPr id="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7"/>
                    <pic:cNvPicPr>
                      <a:picLocks noChangeAspect="1"/>
                    </pic:cNvPicPr>
                  </pic:nvPicPr>
                  <pic:blipFill>
                    <a:blip r:embed="rId46"/>
                    <a:stretch>
                      <a:fillRect/>
                    </a:stretch>
                  </pic:blipFill>
                  <pic:spPr>
                    <a:xfrm>
                      <a:off x="0" y="0"/>
                      <a:ext cx="354965" cy="240665"/>
                    </a:xfrm>
                    <a:prstGeom prst="rect">
                      <a:avLst/>
                    </a:prstGeom>
                    <a:noFill/>
                    <a:ln>
                      <a:noFill/>
                    </a:ln>
                  </pic:spPr>
                </pic:pic>
              </a:graphicData>
            </a:graphic>
          </wp:anchor>
        </w:drawing>
      </w:r>
      <w:r>
        <w:rPr>
          <w:sz w:val="24"/>
          <w:szCs w:val="24"/>
          <w:highlight w:val="none"/>
        </w:rPr>
        <w:drawing>
          <wp:inline distT="0" distB="0" distL="0" distR="0">
            <wp:extent cx="5505450" cy="3648075"/>
            <wp:effectExtent l="19050" t="0" r="0" b="0"/>
            <wp:docPr id="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2"/>
                    <pic:cNvPicPr>
                      <a:picLocks noChangeAspect="1" noChangeArrowheads="1"/>
                    </pic:cNvPicPr>
                  </pic:nvPicPr>
                  <pic:blipFill>
                    <a:blip r:embed="rId47" cstate="print"/>
                    <a:srcRect/>
                    <a:stretch>
                      <a:fillRect/>
                    </a:stretch>
                  </pic:blipFill>
                  <pic:spPr>
                    <a:xfrm>
                      <a:off x="0" y="0"/>
                      <a:ext cx="5505450" cy="3648075"/>
                    </a:xfrm>
                    <a:prstGeom prst="rect">
                      <a:avLst/>
                    </a:prstGeom>
                    <a:noFill/>
                    <a:ln w="9525" cmpd="sng">
                      <a:noFill/>
                      <a:miter lim="800000"/>
                      <a:headEnd/>
                      <a:tailEnd/>
                    </a:ln>
                  </pic:spPr>
                </pic:pic>
              </a:graphicData>
            </a:graphic>
          </wp:inline>
        </w:drawing>
      </w:r>
    </w:p>
    <w:p>
      <w:pPr>
        <w:ind w:firstLine="420"/>
        <w:jc w:val="center"/>
        <w:rPr>
          <w:rFonts w:eastAsia="黑体"/>
          <w:sz w:val="21"/>
          <w:szCs w:val="24"/>
          <w:highlight w:val="none"/>
        </w:rPr>
      </w:pPr>
      <w:r>
        <w:rPr>
          <w:rFonts w:eastAsia="黑体"/>
          <w:sz w:val="21"/>
          <w:szCs w:val="24"/>
          <w:highlight w:val="none"/>
        </w:rPr>
        <w:t>图5.2-6评价区地质图</w:t>
      </w:r>
    </w:p>
    <w:p>
      <w:pPr>
        <w:pStyle w:val="8"/>
        <w:spacing w:line="360" w:lineRule="auto"/>
        <w:ind w:left="140" w:leftChars="50" w:firstLine="240" w:firstLineChars="100"/>
        <w:rPr>
          <w:rFonts w:ascii="Times New Roman" w:hAnsi="Times New Roman" w:eastAsiaTheme="minorEastAsia"/>
          <w:b w:val="0"/>
          <w:color w:val="auto"/>
          <w:szCs w:val="24"/>
          <w:highlight w:val="none"/>
        </w:rPr>
      </w:pPr>
      <w:r>
        <w:rPr>
          <w:rFonts w:hint="eastAsia" w:ascii="宋体" w:hAnsi="宋体" w:eastAsia="宋体" w:cs="宋体"/>
          <w:b w:val="0"/>
          <w:color w:val="auto"/>
          <w:szCs w:val="24"/>
          <w:highlight w:val="none"/>
        </w:rPr>
        <w:t>②</w:t>
      </w:r>
      <w:r>
        <w:rPr>
          <w:rFonts w:ascii="Times New Roman" w:hAnsi="Times New Roman" w:eastAsiaTheme="minorEastAsia"/>
          <w:b w:val="0"/>
          <w:color w:val="auto"/>
          <w:szCs w:val="24"/>
          <w:highlight w:val="none"/>
        </w:rPr>
        <w:t>评价区含水层组</w:t>
      </w:r>
    </w:p>
    <w:p>
      <w:pPr>
        <w:ind w:firstLine="480"/>
        <w:rPr>
          <w:sz w:val="24"/>
          <w:szCs w:val="24"/>
          <w:highlight w:val="none"/>
        </w:rPr>
      </w:pPr>
      <w:r>
        <w:rPr>
          <w:sz w:val="24"/>
          <w:szCs w:val="24"/>
          <w:highlight w:val="none"/>
        </w:rPr>
        <w:t>由图5.2-6可知，评价区地表出露地层为第四系地层，第四系全新统现代冲积地层（Q</w:t>
      </w:r>
      <w:r>
        <w:rPr>
          <w:sz w:val="24"/>
          <w:szCs w:val="24"/>
          <w:highlight w:val="none"/>
          <w:vertAlign w:val="subscript"/>
        </w:rPr>
        <w:t>4</w:t>
      </w:r>
      <w:r>
        <w:rPr>
          <w:sz w:val="24"/>
          <w:szCs w:val="24"/>
          <w:highlight w:val="none"/>
          <w:vertAlign w:val="superscript"/>
        </w:rPr>
        <w:t>al</w:t>
      </w:r>
      <w:r>
        <w:rPr>
          <w:sz w:val="24"/>
          <w:szCs w:val="24"/>
          <w:highlight w:val="none"/>
        </w:rPr>
        <w:t>），岩性主要为砂、砂砾、卵石，主要分布在评价区东北角，沿沙河呈条带状分布；第四系全系统洪积（Q</w:t>
      </w:r>
      <w:r>
        <w:rPr>
          <w:sz w:val="24"/>
          <w:szCs w:val="24"/>
          <w:highlight w:val="none"/>
          <w:vertAlign w:val="subscript"/>
        </w:rPr>
        <w:t>4</w:t>
      </w:r>
      <w:r>
        <w:rPr>
          <w:sz w:val="24"/>
          <w:szCs w:val="24"/>
          <w:highlight w:val="none"/>
          <w:vertAlign w:val="superscript"/>
        </w:rPr>
        <w:t>pl</w:t>
      </w:r>
      <w:r>
        <w:rPr>
          <w:sz w:val="24"/>
          <w:szCs w:val="24"/>
          <w:highlight w:val="none"/>
        </w:rPr>
        <w:t>）地层，岩性主要为黄褐色砂、卵石层，分布于评价区的西北角；第四系全新统（Q</w:t>
      </w:r>
      <w:r>
        <w:rPr>
          <w:sz w:val="24"/>
          <w:szCs w:val="24"/>
          <w:highlight w:val="none"/>
          <w:vertAlign w:val="subscript"/>
        </w:rPr>
        <w:t>4</w:t>
      </w:r>
      <w:r>
        <w:rPr>
          <w:sz w:val="24"/>
          <w:szCs w:val="24"/>
          <w:highlight w:val="none"/>
          <w:vertAlign w:val="superscript"/>
        </w:rPr>
        <w:t>pl+al</w:t>
      </w:r>
      <w:r>
        <w:rPr>
          <w:sz w:val="24"/>
          <w:szCs w:val="24"/>
          <w:highlight w:val="none"/>
        </w:rPr>
        <w:t>）冲积、洪积地层。地下水类型可分为第四系松散岩类孔隙水。</w:t>
      </w:r>
    </w:p>
    <w:p>
      <w:pPr>
        <w:widowControl/>
        <w:ind w:firstLine="480"/>
        <w:rPr>
          <w:sz w:val="24"/>
          <w:szCs w:val="24"/>
          <w:highlight w:val="none"/>
        </w:rPr>
      </w:pPr>
      <w:r>
        <w:rPr>
          <w:rFonts w:hint="eastAsia" w:ascii="宋体" w:hAnsi="宋体" w:cs="宋体"/>
          <w:sz w:val="24"/>
          <w:szCs w:val="24"/>
          <w:highlight w:val="none"/>
        </w:rPr>
        <w:t>①</w:t>
      </w:r>
      <w:r>
        <w:rPr>
          <w:sz w:val="24"/>
          <w:szCs w:val="24"/>
          <w:highlight w:val="none"/>
        </w:rPr>
        <w:t>松散岩类孔隙潜水含水区（I）</w:t>
      </w:r>
    </w:p>
    <w:p>
      <w:pPr>
        <w:widowControl/>
        <w:ind w:firstLine="480"/>
        <w:rPr>
          <w:sz w:val="24"/>
          <w:szCs w:val="24"/>
          <w:highlight w:val="none"/>
        </w:rPr>
      </w:pPr>
      <w:r>
        <w:rPr>
          <w:sz w:val="24"/>
          <w:szCs w:val="24"/>
          <w:highlight w:val="none"/>
        </w:rPr>
        <w:t>a.极富水亚区（I）：为Q</w:t>
      </w:r>
      <w:r>
        <w:rPr>
          <w:sz w:val="24"/>
          <w:szCs w:val="24"/>
          <w:highlight w:val="none"/>
          <w:vertAlign w:val="subscript"/>
        </w:rPr>
        <w:t>4</w:t>
      </w:r>
      <w:r>
        <w:rPr>
          <w:sz w:val="24"/>
          <w:szCs w:val="24"/>
          <w:highlight w:val="none"/>
        </w:rPr>
        <w:t>冲积和洪积卵砾石层。单井单位涌水量200～500m</w:t>
      </w:r>
      <w:r>
        <w:rPr>
          <w:sz w:val="24"/>
          <w:szCs w:val="24"/>
          <w:highlight w:val="none"/>
          <w:vertAlign w:val="superscript"/>
        </w:rPr>
        <w:t>3</w:t>
      </w:r>
      <w:r>
        <w:rPr>
          <w:sz w:val="24"/>
          <w:szCs w:val="24"/>
          <w:highlight w:val="none"/>
        </w:rPr>
        <w:t>/h·m。分布在评价区东北角沙河河谷区和漫滩区以及西北角的冲积地层中。</w:t>
      </w:r>
    </w:p>
    <w:p>
      <w:pPr>
        <w:widowControl/>
        <w:ind w:firstLine="480"/>
        <w:rPr>
          <w:sz w:val="24"/>
          <w:szCs w:val="24"/>
          <w:highlight w:val="none"/>
        </w:rPr>
      </w:pPr>
      <w:r>
        <w:rPr>
          <w:sz w:val="24"/>
          <w:szCs w:val="24"/>
          <w:highlight w:val="none"/>
        </w:rPr>
        <w:t>b.富水亚区（II</w:t>
      </w:r>
      <w:r>
        <w:rPr>
          <w:sz w:val="24"/>
          <w:szCs w:val="24"/>
          <w:highlight w:val="none"/>
          <w:vertAlign w:val="subscript"/>
        </w:rPr>
        <w:t>2-1</w:t>
      </w:r>
      <w:r>
        <w:rPr>
          <w:sz w:val="24"/>
          <w:szCs w:val="24"/>
          <w:highlight w:val="none"/>
        </w:rPr>
        <w:t>）：为Q</w:t>
      </w:r>
      <w:r>
        <w:rPr>
          <w:sz w:val="24"/>
          <w:szCs w:val="24"/>
          <w:highlight w:val="none"/>
          <w:vertAlign w:val="subscript"/>
        </w:rPr>
        <w:t>4</w:t>
      </w:r>
      <w:r>
        <w:rPr>
          <w:sz w:val="24"/>
          <w:szCs w:val="24"/>
          <w:highlight w:val="none"/>
        </w:rPr>
        <w:t>冲洪积及洪积砂砾石和卵砾石层。砂砾石层厚一般5～15m，单井单位涌水量100～200m</w:t>
      </w:r>
      <w:r>
        <w:rPr>
          <w:sz w:val="24"/>
          <w:szCs w:val="24"/>
          <w:highlight w:val="none"/>
          <w:vertAlign w:val="superscript"/>
        </w:rPr>
        <w:t>3</w:t>
      </w:r>
      <w:r>
        <w:rPr>
          <w:sz w:val="24"/>
          <w:szCs w:val="24"/>
          <w:highlight w:val="none"/>
        </w:rPr>
        <w:t>/h·m。分布于评价区南部冲洪积扇前缘及近洪积扇地带。</w:t>
      </w:r>
    </w:p>
    <w:p>
      <w:pPr>
        <w:widowControl/>
        <w:ind w:firstLine="480"/>
        <w:rPr>
          <w:sz w:val="24"/>
          <w:szCs w:val="24"/>
          <w:highlight w:val="none"/>
        </w:rPr>
      </w:pPr>
      <w:r>
        <w:rPr>
          <w:sz w:val="24"/>
          <w:szCs w:val="24"/>
          <w:highlight w:val="none"/>
        </w:rPr>
        <w:t>c.中等富水亚区（II</w:t>
      </w:r>
      <w:r>
        <w:rPr>
          <w:sz w:val="24"/>
          <w:szCs w:val="24"/>
          <w:highlight w:val="none"/>
          <w:vertAlign w:val="subscript"/>
        </w:rPr>
        <w:t>2-2</w:t>
      </w:r>
      <w:r>
        <w:rPr>
          <w:sz w:val="24"/>
          <w:szCs w:val="24"/>
          <w:highlight w:val="none"/>
        </w:rPr>
        <w:t>）：为Q</w:t>
      </w:r>
      <w:r>
        <w:rPr>
          <w:sz w:val="24"/>
          <w:szCs w:val="24"/>
          <w:highlight w:val="none"/>
          <w:vertAlign w:val="subscript"/>
        </w:rPr>
        <w:t>4</w:t>
      </w:r>
      <w:r>
        <w:rPr>
          <w:sz w:val="24"/>
          <w:szCs w:val="24"/>
          <w:highlight w:val="none"/>
        </w:rPr>
        <w:t>冲洪积砂砾石及砂含砾石层。砂砾石层厚一般10m左右，该组下部个别地段夹有薄层淤泥质砂粘土。单井单位涌水量50～100m</w:t>
      </w:r>
      <w:r>
        <w:rPr>
          <w:sz w:val="24"/>
          <w:szCs w:val="24"/>
          <w:highlight w:val="none"/>
          <w:vertAlign w:val="superscript"/>
        </w:rPr>
        <w:t>3</w:t>
      </w:r>
      <w:r>
        <w:rPr>
          <w:sz w:val="24"/>
          <w:szCs w:val="24"/>
          <w:highlight w:val="none"/>
        </w:rPr>
        <w:t>/h·m。分布于评价区的中部区域。评价区水文地质图详见图5.2-7。</w:t>
      </w:r>
    </w:p>
    <w:p>
      <w:pPr>
        <w:widowControl/>
        <w:spacing w:line="440" w:lineRule="atLeast"/>
        <w:ind w:firstLine="0" w:firstLineChars="0"/>
        <w:jc w:val="center"/>
        <w:rPr>
          <w:highlight w:val="none"/>
        </w:rPr>
      </w:pPr>
      <w:r>
        <w:rPr>
          <w:highlight w:val="none"/>
        </w:rPr>
        <w:pict>
          <v:shape id="_x0000_s2006" o:spid="_x0000_s2006" o:spt="12" type="#_x0000_t12" style="position:absolute;left:0pt;margin-left:274.2pt;margin-top:328.3pt;height:7.1pt;width:7.15pt;z-index:251699200;mso-width-relative:page;mso-height-relative:page;" fillcolor="#FF0000" filled="t" stroked="t" coordsize="21600,21600">
            <v:path/>
            <v:fill on="t" focussize="0,0"/>
            <v:stroke color="#FF0000" joinstyle="miter"/>
            <v:imagedata o:title=""/>
            <o:lock v:ext="edit"/>
          </v:shape>
        </w:pict>
      </w:r>
      <w:r>
        <w:rPr>
          <w:sz w:val="24"/>
          <w:highlight w:val="none"/>
        </w:rPr>
        <w:pict>
          <v:shape id="_x0000_s2005" o:spid="_x0000_s2005" o:spt="202" type="#_x0000_t202" style="position:absolute;left:0pt;margin-left:268.05pt;margin-top:325.7pt;height:15.2pt;width:18.75pt;z-index:251698176;mso-width-relative:page;mso-height-relative:page;" coordsize="21600,21600">
            <v:path/>
            <v:fill focussize="0,0"/>
            <v:stroke joinstyle="miter"/>
            <v:imagedata o:title=""/>
            <o:lock v:ext="edit"/>
            <v:textbox>
              <w:txbxContent>
                <w:p>
                  <w:pPr>
                    <w:ind w:firstLine="560"/>
                  </w:pPr>
                </w:p>
              </w:txbxContent>
            </v:textbox>
          </v:shape>
        </w:pict>
      </w:r>
      <w:r>
        <w:rPr>
          <w:highlight w:val="none"/>
        </w:rPr>
        <w:pict>
          <v:shape id="_x0000_s2004" o:spid="_x0000_s2004" o:spt="61" type="#_x0000_t61" style="position:absolute;left:0pt;margin-left:110pt;margin-top:209.65pt;height:19.6pt;width:40.2pt;z-index:251697152;mso-width-relative:page;mso-height-relative:page;" coordsize="21600,21600" adj="47445,-14436">
            <v:path/>
            <v:fill focussize="0,0"/>
            <v:stroke joinstyle="miter"/>
            <v:imagedata o:title=""/>
            <o:lock v:ext="edit"/>
            <v:textbox inset="0mm,0mm,0mm,0mm">
              <w:txbxContent>
                <w:p>
                  <w:pPr>
                    <w:ind w:firstLine="0" w:firstLineChars="0"/>
                  </w:pPr>
                  <w:r>
                    <w:rPr>
                      <w:rFonts w:hint="eastAsia"/>
                      <w:sz w:val="21"/>
                      <w:szCs w:val="21"/>
                    </w:rPr>
                    <w:t>本项目</w:t>
                  </w:r>
                </w:p>
              </w:txbxContent>
            </v:textbox>
          </v:shape>
        </w:pict>
      </w:r>
      <w:r>
        <w:rPr>
          <w:highlight w:val="none"/>
        </w:rPr>
        <w:pict>
          <v:shape id="_x0000_s2003" o:spid="_x0000_s2003" o:spt="12" type="#_x0000_t12" style="position:absolute;left:0pt;margin-left:196.15pt;margin-top:191.3pt;height:7.1pt;width:7.15pt;z-index:251696128;mso-width-relative:page;mso-height-relative:page;" fillcolor="#FF0000" filled="t" stroked="t" coordsize="21600,21600">
            <v:path/>
            <v:fill on="t" focussize="0,0"/>
            <v:stroke color="#FF0000" joinstyle="miter"/>
            <v:imagedata o:title=""/>
            <o:lock v:ext="edit"/>
          </v:shape>
        </w:pict>
      </w:r>
      <w:r>
        <w:rPr>
          <w:highlight w:val="none"/>
        </w:rPr>
        <w:drawing>
          <wp:anchor distT="0" distB="0" distL="114300" distR="114300" simplePos="0" relativeHeight="251662336" behindDoc="0" locked="0" layoutInCell="1" allowOverlap="1">
            <wp:simplePos x="0" y="0"/>
            <wp:positionH relativeFrom="column">
              <wp:posOffset>1624330</wp:posOffset>
            </wp:positionH>
            <wp:positionV relativeFrom="paragraph">
              <wp:posOffset>2077085</wp:posOffset>
            </wp:positionV>
            <wp:extent cx="384810" cy="243205"/>
            <wp:effectExtent l="0" t="0" r="15240" b="4445"/>
            <wp:wrapNone/>
            <wp:docPr id="2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8"/>
                    <pic:cNvPicPr>
                      <a:picLocks noChangeAspect="1"/>
                    </pic:cNvPicPr>
                  </pic:nvPicPr>
                  <pic:blipFill>
                    <a:blip r:embed="rId48"/>
                    <a:stretch>
                      <a:fillRect/>
                    </a:stretch>
                  </pic:blipFill>
                  <pic:spPr>
                    <a:xfrm>
                      <a:off x="0" y="0"/>
                      <a:ext cx="384810" cy="243205"/>
                    </a:xfrm>
                    <a:prstGeom prst="rect">
                      <a:avLst/>
                    </a:prstGeom>
                    <a:noFill/>
                    <a:ln>
                      <a:noFill/>
                    </a:ln>
                  </pic:spPr>
                </pic:pic>
              </a:graphicData>
            </a:graphic>
          </wp:anchor>
        </w:drawing>
      </w:r>
      <w:r>
        <w:rPr>
          <w:highlight w:val="none"/>
        </w:rPr>
        <w:object>
          <v:shape id="_x0000_i1027" o:spt="75" type="#_x0000_t75" style="height:430.5pt;width:412.5pt;" o:ole="t" filled="f" o:preferrelative="t" stroked="f" coordsize="21600,21600">
            <v:path/>
            <v:fill on="f" focussize="0,0"/>
            <v:stroke on="f" joinstyle="miter"/>
            <v:imagedata r:id="rId50" cropleft="22638f" cropright="20751f" cropbottom="4974f" o:title=""/>
            <o:lock v:ext="edit" aspectratio="t"/>
            <w10:wrap type="none"/>
            <w10:anchorlock/>
          </v:shape>
          <o:OLEObject Type="Embed" ProgID="AutoCAD.Drawing.18" ShapeID="_x0000_i1027" DrawAspect="Content" ObjectID="_1468075727" r:id="rId49">
            <o:LockedField>false</o:LockedField>
          </o:OLEObject>
        </w:object>
      </w:r>
    </w:p>
    <w:p>
      <w:pPr>
        <w:widowControl/>
        <w:spacing w:line="440" w:lineRule="atLeast"/>
        <w:ind w:firstLine="420"/>
        <w:jc w:val="center"/>
        <w:rPr>
          <w:rFonts w:eastAsia="黑体"/>
          <w:sz w:val="21"/>
          <w:szCs w:val="21"/>
          <w:highlight w:val="none"/>
        </w:rPr>
      </w:pPr>
      <w:r>
        <w:rPr>
          <w:rFonts w:eastAsia="黑体"/>
          <w:sz w:val="21"/>
          <w:szCs w:val="21"/>
          <w:highlight w:val="none"/>
        </w:rPr>
        <w:t>图5.2-7评价区水文地质图</w:t>
      </w:r>
    </w:p>
    <w:p>
      <w:pPr>
        <w:pStyle w:val="7"/>
        <w:spacing w:before="0" w:after="0" w:line="360" w:lineRule="auto"/>
        <w:ind w:left="0" w:firstLine="482" w:firstLineChars="200"/>
        <w:rPr>
          <w:color w:val="auto"/>
          <w:sz w:val="24"/>
          <w:szCs w:val="24"/>
          <w:highlight w:val="none"/>
        </w:rPr>
      </w:pPr>
      <w:r>
        <w:rPr>
          <w:color w:val="auto"/>
          <w:sz w:val="24"/>
          <w:szCs w:val="24"/>
          <w:highlight w:val="none"/>
        </w:rPr>
        <w:t>（2）</w:t>
      </w:r>
      <w:r>
        <w:rPr>
          <w:b w:val="0"/>
          <w:color w:val="auto"/>
          <w:sz w:val="24"/>
          <w:highlight w:val="none"/>
        </w:rPr>
        <w:t>地下水补给、径流、排泄</w:t>
      </w:r>
    </w:p>
    <w:p>
      <w:pPr>
        <w:ind w:firstLine="480"/>
        <w:rPr>
          <w:sz w:val="24"/>
          <w:szCs w:val="24"/>
          <w:highlight w:val="none"/>
        </w:rPr>
      </w:pPr>
      <w:r>
        <w:rPr>
          <w:rFonts w:hint="eastAsia" w:ascii="宋体" w:hAnsi="宋体" w:cs="宋体"/>
          <w:sz w:val="24"/>
          <w:szCs w:val="24"/>
          <w:highlight w:val="none"/>
        </w:rPr>
        <w:t>①</w:t>
      </w:r>
      <w:r>
        <w:rPr>
          <w:sz w:val="24"/>
          <w:szCs w:val="24"/>
          <w:highlight w:val="none"/>
        </w:rPr>
        <w:t>评价区内地下水的主要补给来源有：大气降水入渗补给、侧向径流补给。降水入渗补给是本区地下水最主要的补给来源。降水入渗补给主要受降水量、降水特征、包气带岩性及厚度的影响。</w:t>
      </w:r>
    </w:p>
    <w:p>
      <w:pPr>
        <w:ind w:firstLine="480"/>
        <w:rPr>
          <w:sz w:val="24"/>
          <w:szCs w:val="24"/>
          <w:highlight w:val="none"/>
        </w:rPr>
      </w:pPr>
      <w:r>
        <w:rPr>
          <w:rFonts w:hint="eastAsia" w:ascii="宋体" w:hAnsi="宋体" w:cs="宋体"/>
          <w:sz w:val="24"/>
          <w:szCs w:val="24"/>
          <w:highlight w:val="none"/>
        </w:rPr>
        <w:t>②</w:t>
      </w:r>
      <w:r>
        <w:rPr>
          <w:sz w:val="24"/>
          <w:szCs w:val="24"/>
          <w:highlight w:val="none"/>
        </w:rPr>
        <w:t>地下水的径流特征</w:t>
      </w:r>
    </w:p>
    <w:p>
      <w:pPr>
        <w:ind w:firstLine="480"/>
        <w:rPr>
          <w:sz w:val="24"/>
          <w:szCs w:val="24"/>
          <w:highlight w:val="none"/>
        </w:rPr>
      </w:pPr>
      <w:r>
        <w:rPr>
          <w:sz w:val="24"/>
          <w:szCs w:val="24"/>
          <w:highlight w:val="none"/>
        </w:rPr>
        <w:t>区域上地下水径流总体方向由西北向东南流动，但由于评价区南部丘陵的阻隔，评价区处地下水整体流向受南部来水的冲击，地下水两个方向来水，汇流后整体由西北向东南偏东方向流动，水力坡度约为1.1‰。</w:t>
      </w:r>
    </w:p>
    <w:p>
      <w:pPr>
        <w:ind w:firstLine="480"/>
        <w:rPr>
          <w:sz w:val="24"/>
          <w:szCs w:val="24"/>
          <w:highlight w:val="none"/>
        </w:rPr>
      </w:pPr>
      <w:r>
        <w:rPr>
          <w:rFonts w:hint="eastAsia" w:ascii="宋体" w:hAnsi="宋体" w:cs="宋体"/>
          <w:sz w:val="24"/>
          <w:szCs w:val="24"/>
          <w:highlight w:val="none"/>
        </w:rPr>
        <w:t>③</w:t>
      </w:r>
      <w:r>
        <w:rPr>
          <w:sz w:val="24"/>
          <w:szCs w:val="24"/>
          <w:highlight w:val="none"/>
        </w:rPr>
        <w:t>地下水的排泄特征</w:t>
      </w:r>
    </w:p>
    <w:p>
      <w:pPr>
        <w:autoSpaceDE w:val="0"/>
        <w:autoSpaceDN w:val="0"/>
        <w:ind w:firstLine="480"/>
        <w:rPr>
          <w:sz w:val="24"/>
          <w:szCs w:val="24"/>
          <w:highlight w:val="none"/>
        </w:rPr>
      </w:pPr>
      <w:r>
        <w:rPr>
          <w:sz w:val="24"/>
          <w:szCs w:val="24"/>
          <w:highlight w:val="none"/>
        </w:rPr>
        <w:t>该区内地下水的排泄方式主要是工农业用水开采。</w:t>
      </w:r>
    </w:p>
    <w:p>
      <w:pPr>
        <w:pStyle w:val="7"/>
        <w:spacing w:before="0" w:after="0" w:line="360" w:lineRule="auto"/>
        <w:ind w:left="0" w:firstLine="482" w:firstLineChars="200"/>
        <w:rPr>
          <w:b w:val="0"/>
          <w:color w:val="auto"/>
          <w:sz w:val="24"/>
          <w:szCs w:val="24"/>
          <w:highlight w:val="none"/>
        </w:rPr>
      </w:pPr>
      <w:r>
        <w:rPr>
          <w:color w:val="auto"/>
          <w:sz w:val="24"/>
          <w:szCs w:val="24"/>
          <w:highlight w:val="none"/>
        </w:rPr>
        <w:t>（3）</w:t>
      </w:r>
      <w:r>
        <w:rPr>
          <w:b w:val="0"/>
          <w:color w:val="auto"/>
          <w:sz w:val="24"/>
          <w:szCs w:val="24"/>
          <w:highlight w:val="none"/>
        </w:rPr>
        <w:t>评价区水化学特征</w:t>
      </w:r>
    </w:p>
    <w:p>
      <w:pPr>
        <w:ind w:firstLine="480"/>
        <w:rPr>
          <w:sz w:val="24"/>
          <w:szCs w:val="24"/>
          <w:highlight w:val="none"/>
        </w:rPr>
      </w:pPr>
      <w:r>
        <w:rPr>
          <w:sz w:val="24"/>
          <w:szCs w:val="24"/>
          <w:highlight w:val="none"/>
        </w:rPr>
        <w:t>评价区浅层地下水中Ca、Mg、Na和K的平均值分别为117.48mg/L、31.77mg/L、39.59mg/L和3.13mg/L；CO</w:t>
      </w:r>
      <w:r>
        <w:rPr>
          <w:sz w:val="24"/>
          <w:szCs w:val="24"/>
          <w:highlight w:val="none"/>
          <w:vertAlign w:val="subscript"/>
        </w:rPr>
        <w:t>3</w:t>
      </w:r>
      <w:r>
        <w:rPr>
          <w:sz w:val="24"/>
          <w:szCs w:val="24"/>
          <w:highlight w:val="none"/>
          <w:vertAlign w:val="superscript"/>
        </w:rPr>
        <w:t>2-</w:t>
      </w:r>
      <w:r>
        <w:rPr>
          <w:sz w:val="24"/>
          <w:szCs w:val="24"/>
          <w:highlight w:val="none"/>
        </w:rPr>
        <w:t>、HCO</w:t>
      </w:r>
      <w:r>
        <w:rPr>
          <w:sz w:val="24"/>
          <w:szCs w:val="24"/>
          <w:highlight w:val="none"/>
          <w:vertAlign w:val="subscript"/>
        </w:rPr>
        <w:t>3</w:t>
      </w:r>
      <w:r>
        <w:rPr>
          <w:sz w:val="24"/>
          <w:szCs w:val="24"/>
          <w:highlight w:val="none"/>
          <w:vertAlign w:val="superscript"/>
        </w:rPr>
        <w:t>-</w:t>
      </w:r>
      <w:r>
        <w:rPr>
          <w:sz w:val="24"/>
          <w:szCs w:val="24"/>
          <w:highlight w:val="none"/>
        </w:rPr>
        <w:t>、Cl</w:t>
      </w:r>
      <w:r>
        <w:rPr>
          <w:sz w:val="24"/>
          <w:szCs w:val="24"/>
          <w:highlight w:val="none"/>
          <w:vertAlign w:val="superscript"/>
        </w:rPr>
        <w:t>-</w:t>
      </w:r>
      <w:r>
        <w:rPr>
          <w:sz w:val="24"/>
          <w:szCs w:val="24"/>
          <w:highlight w:val="none"/>
        </w:rPr>
        <w:t>和SO</w:t>
      </w:r>
      <w:r>
        <w:rPr>
          <w:sz w:val="24"/>
          <w:szCs w:val="24"/>
          <w:highlight w:val="none"/>
          <w:vertAlign w:val="subscript"/>
        </w:rPr>
        <w:t>4</w:t>
      </w:r>
      <w:r>
        <w:rPr>
          <w:sz w:val="24"/>
          <w:szCs w:val="24"/>
          <w:highlight w:val="none"/>
          <w:vertAlign w:val="superscript"/>
        </w:rPr>
        <w:t>2-</w:t>
      </w:r>
      <w:r>
        <w:rPr>
          <w:sz w:val="24"/>
          <w:szCs w:val="24"/>
          <w:highlight w:val="none"/>
        </w:rPr>
        <w:t>的平均值分别为0mg/L、105.6mg/L、35.12mg/L和163mg/L；溶解性总固体含量平均值为528.6mg/L。由表5.2-1</w:t>
      </w:r>
      <w:r>
        <w:rPr>
          <w:rFonts w:hint="eastAsia"/>
          <w:sz w:val="24"/>
          <w:szCs w:val="24"/>
          <w:highlight w:val="none"/>
        </w:rPr>
        <w:t>6</w:t>
      </w:r>
      <w:r>
        <w:rPr>
          <w:sz w:val="24"/>
          <w:szCs w:val="24"/>
          <w:highlight w:val="none"/>
        </w:rPr>
        <w:t>可知，评价区区地下水类型潜水主要为SO</w:t>
      </w:r>
      <w:r>
        <w:rPr>
          <w:sz w:val="24"/>
          <w:szCs w:val="24"/>
          <w:highlight w:val="none"/>
          <w:vertAlign w:val="subscript"/>
        </w:rPr>
        <w:t>4</w:t>
      </w:r>
      <w:r>
        <w:rPr>
          <w:sz w:val="24"/>
          <w:szCs w:val="24"/>
          <w:highlight w:val="none"/>
        </w:rPr>
        <w:t>·HCO</w:t>
      </w:r>
      <w:r>
        <w:rPr>
          <w:sz w:val="24"/>
          <w:szCs w:val="24"/>
          <w:highlight w:val="none"/>
          <w:vertAlign w:val="subscript"/>
        </w:rPr>
        <w:t>3</w:t>
      </w:r>
      <w:r>
        <w:rPr>
          <w:sz w:val="24"/>
          <w:szCs w:val="24"/>
          <w:highlight w:val="none"/>
        </w:rPr>
        <w:t>-Ca型，有少量地下水类型为SO</w:t>
      </w:r>
      <w:r>
        <w:rPr>
          <w:sz w:val="24"/>
          <w:szCs w:val="24"/>
          <w:highlight w:val="none"/>
          <w:vertAlign w:val="subscript"/>
        </w:rPr>
        <w:t>4</w:t>
      </w:r>
      <w:r>
        <w:rPr>
          <w:sz w:val="24"/>
          <w:szCs w:val="24"/>
          <w:highlight w:val="none"/>
        </w:rPr>
        <w:t>·HCO</w:t>
      </w:r>
      <w:r>
        <w:rPr>
          <w:sz w:val="24"/>
          <w:szCs w:val="24"/>
          <w:highlight w:val="none"/>
          <w:vertAlign w:val="subscript"/>
        </w:rPr>
        <w:t>3</w:t>
      </w:r>
      <w:r>
        <w:rPr>
          <w:sz w:val="24"/>
          <w:szCs w:val="24"/>
          <w:highlight w:val="none"/>
        </w:rPr>
        <w:t>-Ca·Na型和SO</w:t>
      </w:r>
      <w:r>
        <w:rPr>
          <w:sz w:val="24"/>
          <w:szCs w:val="24"/>
          <w:highlight w:val="none"/>
          <w:vertAlign w:val="subscript"/>
        </w:rPr>
        <w:t>4</w:t>
      </w:r>
      <w:r>
        <w:rPr>
          <w:sz w:val="24"/>
          <w:szCs w:val="24"/>
          <w:highlight w:val="none"/>
        </w:rPr>
        <w:t>·HCO</w:t>
      </w:r>
      <w:r>
        <w:rPr>
          <w:sz w:val="24"/>
          <w:szCs w:val="24"/>
          <w:highlight w:val="none"/>
          <w:vertAlign w:val="subscript"/>
        </w:rPr>
        <w:t>3</w:t>
      </w:r>
      <w:r>
        <w:rPr>
          <w:sz w:val="24"/>
          <w:szCs w:val="24"/>
          <w:highlight w:val="none"/>
        </w:rPr>
        <w:t>-Ca·Mg型。</w:t>
      </w:r>
    </w:p>
    <w:p>
      <w:pPr>
        <w:spacing w:line="240" w:lineRule="auto"/>
        <w:ind w:firstLine="420"/>
        <w:jc w:val="center"/>
        <w:rPr>
          <w:rFonts w:eastAsia="黑体"/>
          <w:sz w:val="21"/>
          <w:szCs w:val="21"/>
          <w:highlight w:val="none"/>
        </w:rPr>
      </w:pPr>
      <w:r>
        <w:rPr>
          <w:rFonts w:eastAsia="黑体"/>
          <w:sz w:val="21"/>
          <w:szCs w:val="21"/>
          <w:highlight w:val="none"/>
        </w:rPr>
        <w:t>表5.2-1</w:t>
      </w:r>
      <w:r>
        <w:rPr>
          <w:rFonts w:hint="eastAsia" w:eastAsia="黑体"/>
          <w:sz w:val="21"/>
          <w:szCs w:val="21"/>
          <w:highlight w:val="none"/>
        </w:rPr>
        <w:t xml:space="preserve">6 </w:t>
      </w:r>
      <w:r>
        <w:rPr>
          <w:rFonts w:eastAsia="黑体"/>
          <w:sz w:val="21"/>
          <w:szCs w:val="21"/>
          <w:highlight w:val="none"/>
        </w:rPr>
        <w:t>评价区浅层水质毫克当量百分比</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20"/>
        <w:gridCol w:w="892"/>
        <w:gridCol w:w="955"/>
        <w:gridCol w:w="954"/>
        <w:gridCol w:w="954"/>
        <w:gridCol w:w="890"/>
        <w:gridCol w:w="954"/>
        <w:gridCol w:w="954"/>
        <w:gridCol w:w="94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rPr>
                <w:sz w:val="20"/>
                <w:highlight w:val="none"/>
              </w:rPr>
            </w:pPr>
            <w:r>
              <w:rPr>
                <w:sz w:val="20"/>
                <w:highlight w:val="none"/>
              </w:rPr>
              <w:t>监测项目</w:t>
            </w:r>
          </w:p>
        </w:tc>
        <w:tc>
          <w:tcPr>
            <w:tcW w:w="892" w:type="dxa"/>
            <w:vAlign w:val="center"/>
          </w:tcPr>
          <w:p>
            <w:pPr>
              <w:widowControl/>
              <w:spacing w:line="240" w:lineRule="auto"/>
              <w:ind w:firstLine="0" w:firstLineChars="0"/>
              <w:jc w:val="center"/>
              <w:rPr>
                <w:sz w:val="20"/>
                <w:highlight w:val="none"/>
              </w:rPr>
            </w:pPr>
            <w:r>
              <w:rPr>
                <w:sz w:val="20"/>
                <w:highlight w:val="none"/>
              </w:rPr>
              <w:t>K</w:t>
            </w:r>
            <w:r>
              <w:rPr>
                <w:sz w:val="20"/>
                <w:highlight w:val="none"/>
                <w:vertAlign w:val="superscript"/>
              </w:rPr>
              <w:t>+</w:t>
            </w:r>
          </w:p>
        </w:tc>
        <w:tc>
          <w:tcPr>
            <w:tcW w:w="955" w:type="dxa"/>
            <w:vAlign w:val="center"/>
          </w:tcPr>
          <w:p>
            <w:pPr>
              <w:widowControl/>
              <w:spacing w:line="240" w:lineRule="auto"/>
              <w:ind w:firstLineChars="100"/>
              <w:rPr>
                <w:sz w:val="20"/>
                <w:highlight w:val="none"/>
              </w:rPr>
            </w:pPr>
            <w:r>
              <w:rPr>
                <w:sz w:val="20"/>
                <w:highlight w:val="none"/>
              </w:rPr>
              <w:t>Na</w:t>
            </w:r>
            <w:r>
              <w:rPr>
                <w:sz w:val="20"/>
                <w:highlight w:val="none"/>
                <w:vertAlign w:val="superscript"/>
              </w:rPr>
              <w:t>+</w:t>
            </w:r>
          </w:p>
        </w:tc>
        <w:tc>
          <w:tcPr>
            <w:tcW w:w="954" w:type="dxa"/>
            <w:vAlign w:val="center"/>
          </w:tcPr>
          <w:p>
            <w:pPr>
              <w:widowControl/>
              <w:spacing w:line="240" w:lineRule="auto"/>
              <w:ind w:firstLine="0" w:firstLineChars="0"/>
              <w:jc w:val="center"/>
              <w:rPr>
                <w:sz w:val="20"/>
                <w:highlight w:val="none"/>
              </w:rPr>
            </w:pPr>
            <w:r>
              <w:rPr>
                <w:sz w:val="20"/>
                <w:highlight w:val="none"/>
              </w:rPr>
              <w:t>Ca</w:t>
            </w:r>
            <w:r>
              <w:rPr>
                <w:sz w:val="20"/>
                <w:highlight w:val="none"/>
                <w:vertAlign w:val="superscript"/>
              </w:rPr>
              <w:t>2+</w:t>
            </w:r>
          </w:p>
        </w:tc>
        <w:tc>
          <w:tcPr>
            <w:tcW w:w="954" w:type="dxa"/>
            <w:vAlign w:val="center"/>
          </w:tcPr>
          <w:p>
            <w:pPr>
              <w:widowControl/>
              <w:spacing w:line="240" w:lineRule="auto"/>
              <w:ind w:firstLine="0" w:firstLineChars="0"/>
              <w:jc w:val="center"/>
              <w:rPr>
                <w:sz w:val="20"/>
                <w:highlight w:val="none"/>
              </w:rPr>
            </w:pPr>
            <w:r>
              <w:rPr>
                <w:sz w:val="20"/>
                <w:highlight w:val="none"/>
              </w:rPr>
              <w:t>Mg</w:t>
            </w:r>
            <w:r>
              <w:rPr>
                <w:sz w:val="20"/>
                <w:highlight w:val="none"/>
                <w:vertAlign w:val="superscript"/>
              </w:rPr>
              <w:t>2+</w:t>
            </w:r>
          </w:p>
        </w:tc>
        <w:tc>
          <w:tcPr>
            <w:tcW w:w="890" w:type="dxa"/>
            <w:vAlign w:val="center"/>
          </w:tcPr>
          <w:p>
            <w:pPr>
              <w:widowControl/>
              <w:spacing w:line="240" w:lineRule="auto"/>
              <w:ind w:firstLine="0" w:firstLineChars="0"/>
              <w:jc w:val="center"/>
              <w:rPr>
                <w:sz w:val="20"/>
                <w:highlight w:val="none"/>
              </w:rPr>
            </w:pPr>
            <w:r>
              <w:rPr>
                <w:sz w:val="20"/>
                <w:highlight w:val="none"/>
              </w:rPr>
              <w:t>CO</w:t>
            </w:r>
            <w:r>
              <w:rPr>
                <w:sz w:val="20"/>
                <w:highlight w:val="none"/>
                <w:vertAlign w:val="subscript"/>
              </w:rPr>
              <w:t>3</w:t>
            </w:r>
            <w:r>
              <w:rPr>
                <w:sz w:val="20"/>
                <w:highlight w:val="none"/>
                <w:vertAlign w:val="superscript"/>
              </w:rPr>
              <w:t>2-</w:t>
            </w:r>
          </w:p>
        </w:tc>
        <w:tc>
          <w:tcPr>
            <w:tcW w:w="954" w:type="dxa"/>
            <w:vAlign w:val="center"/>
          </w:tcPr>
          <w:p>
            <w:pPr>
              <w:widowControl/>
              <w:spacing w:line="240" w:lineRule="auto"/>
              <w:ind w:firstLine="0" w:firstLineChars="0"/>
              <w:jc w:val="center"/>
              <w:rPr>
                <w:sz w:val="20"/>
                <w:highlight w:val="none"/>
              </w:rPr>
            </w:pPr>
            <w:r>
              <w:rPr>
                <w:sz w:val="20"/>
                <w:highlight w:val="none"/>
              </w:rPr>
              <w:t>HCO</w:t>
            </w:r>
            <w:r>
              <w:rPr>
                <w:sz w:val="20"/>
                <w:highlight w:val="none"/>
                <w:vertAlign w:val="subscript"/>
              </w:rPr>
              <w:t>3</w:t>
            </w:r>
            <w:r>
              <w:rPr>
                <w:sz w:val="20"/>
                <w:highlight w:val="none"/>
                <w:vertAlign w:val="superscript"/>
              </w:rPr>
              <w:t>-</w:t>
            </w:r>
          </w:p>
        </w:tc>
        <w:tc>
          <w:tcPr>
            <w:tcW w:w="954" w:type="dxa"/>
            <w:vAlign w:val="center"/>
          </w:tcPr>
          <w:p>
            <w:pPr>
              <w:widowControl/>
              <w:spacing w:line="240" w:lineRule="auto"/>
              <w:ind w:firstLine="0" w:firstLineChars="0"/>
              <w:jc w:val="center"/>
              <w:rPr>
                <w:sz w:val="20"/>
                <w:highlight w:val="none"/>
              </w:rPr>
            </w:pPr>
            <w:r>
              <w:rPr>
                <w:sz w:val="20"/>
                <w:highlight w:val="none"/>
              </w:rPr>
              <w:t>Cl</w:t>
            </w:r>
            <w:r>
              <w:rPr>
                <w:sz w:val="20"/>
                <w:highlight w:val="none"/>
                <w:vertAlign w:val="superscript"/>
              </w:rPr>
              <w:t>-</w:t>
            </w:r>
          </w:p>
        </w:tc>
        <w:tc>
          <w:tcPr>
            <w:tcW w:w="949" w:type="dxa"/>
            <w:vAlign w:val="center"/>
          </w:tcPr>
          <w:p>
            <w:pPr>
              <w:widowControl/>
              <w:spacing w:line="240" w:lineRule="auto"/>
              <w:ind w:firstLine="0" w:firstLineChars="0"/>
              <w:jc w:val="center"/>
              <w:rPr>
                <w:sz w:val="20"/>
                <w:highlight w:val="none"/>
              </w:rPr>
            </w:pPr>
            <w:r>
              <w:rPr>
                <w:sz w:val="20"/>
                <w:highlight w:val="none"/>
              </w:rPr>
              <w:t>SO</w:t>
            </w:r>
            <w:r>
              <w:rPr>
                <w:sz w:val="20"/>
                <w:highlight w:val="none"/>
                <w:vertAlign w:val="subscript"/>
              </w:rPr>
              <w:t>4</w:t>
            </w:r>
            <w:r>
              <w:rPr>
                <w:sz w:val="20"/>
                <w:highlight w:val="none"/>
                <w:vertAlign w:val="superscript"/>
              </w:rPr>
              <w:t>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单位</w:t>
            </w:r>
          </w:p>
        </w:tc>
        <w:tc>
          <w:tcPr>
            <w:tcW w:w="892" w:type="dxa"/>
            <w:vAlign w:val="center"/>
          </w:tcPr>
          <w:p>
            <w:pPr>
              <w:widowControl/>
              <w:spacing w:line="240" w:lineRule="auto"/>
              <w:ind w:firstLine="0" w:firstLineChars="0"/>
              <w:jc w:val="center"/>
              <w:rPr>
                <w:sz w:val="20"/>
                <w:highlight w:val="none"/>
              </w:rPr>
            </w:pPr>
            <w:r>
              <w:rPr>
                <w:sz w:val="20"/>
                <w:highlight w:val="none"/>
              </w:rPr>
              <w:t>%</w:t>
            </w:r>
          </w:p>
        </w:tc>
        <w:tc>
          <w:tcPr>
            <w:tcW w:w="955" w:type="dxa"/>
            <w:vAlign w:val="center"/>
          </w:tcPr>
          <w:p>
            <w:pPr>
              <w:widowControl/>
              <w:spacing w:line="240" w:lineRule="auto"/>
              <w:ind w:firstLine="0" w:firstLineChars="0"/>
              <w:jc w:val="center"/>
              <w:rPr>
                <w:sz w:val="20"/>
                <w:highlight w:val="none"/>
              </w:rPr>
            </w:pPr>
            <w:r>
              <w:rPr>
                <w:sz w:val="20"/>
                <w:highlight w:val="none"/>
              </w:rPr>
              <w:t>%</w:t>
            </w:r>
          </w:p>
        </w:tc>
        <w:tc>
          <w:tcPr>
            <w:tcW w:w="954" w:type="dxa"/>
            <w:vAlign w:val="center"/>
          </w:tcPr>
          <w:p>
            <w:pPr>
              <w:widowControl/>
              <w:spacing w:line="240" w:lineRule="auto"/>
              <w:ind w:firstLine="0" w:firstLineChars="0"/>
              <w:jc w:val="center"/>
              <w:rPr>
                <w:sz w:val="20"/>
                <w:highlight w:val="none"/>
              </w:rPr>
            </w:pPr>
            <w:r>
              <w:rPr>
                <w:sz w:val="20"/>
                <w:highlight w:val="none"/>
              </w:rPr>
              <w:t>%</w:t>
            </w:r>
          </w:p>
        </w:tc>
        <w:tc>
          <w:tcPr>
            <w:tcW w:w="954" w:type="dxa"/>
            <w:vAlign w:val="center"/>
          </w:tcPr>
          <w:p>
            <w:pPr>
              <w:widowControl/>
              <w:spacing w:line="240" w:lineRule="auto"/>
              <w:ind w:firstLine="0" w:firstLineChars="0"/>
              <w:jc w:val="center"/>
              <w:rPr>
                <w:sz w:val="20"/>
                <w:highlight w:val="none"/>
              </w:rPr>
            </w:pPr>
            <w:r>
              <w:rPr>
                <w:sz w:val="20"/>
                <w:highlight w:val="none"/>
              </w:rPr>
              <w:t>%</w:t>
            </w:r>
          </w:p>
        </w:tc>
        <w:tc>
          <w:tcPr>
            <w:tcW w:w="890" w:type="dxa"/>
            <w:vAlign w:val="center"/>
          </w:tcPr>
          <w:p>
            <w:pPr>
              <w:widowControl/>
              <w:spacing w:line="240" w:lineRule="auto"/>
              <w:ind w:firstLine="0" w:firstLineChars="0"/>
              <w:jc w:val="center"/>
              <w:rPr>
                <w:sz w:val="20"/>
                <w:highlight w:val="none"/>
              </w:rPr>
            </w:pPr>
            <w:r>
              <w:rPr>
                <w:sz w:val="20"/>
                <w:highlight w:val="none"/>
              </w:rPr>
              <w:t>%</w:t>
            </w:r>
          </w:p>
        </w:tc>
        <w:tc>
          <w:tcPr>
            <w:tcW w:w="954" w:type="dxa"/>
            <w:vAlign w:val="center"/>
          </w:tcPr>
          <w:p>
            <w:pPr>
              <w:widowControl/>
              <w:spacing w:line="240" w:lineRule="auto"/>
              <w:ind w:firstLine="0" w:firstLineChars="0"/>
              <w:jc w:val="center"/>
              <w:rPr>
                <w:sz w:val="20"/>
                <w:highlight w:val="none"/>
              </w:rPr>
            </w:pPr>
            <w:r>
              <w:rPr>
                <w:sz w:val="20"/>
                <w:highlight w:val="none"/>
              </w:rPr>
              <w:t>%</w:t>
            </w:r>
          </w:p>
        </w:tc>
        <w:tc>
          <w:tcPr>
            <w:tcW w:w="954" w:type="dxa"/>
            <w:vAlign w:val="center"/>
          </w:tcPr>
          <w:p>
            <w:pPr>
              <w:widowControl/>
              <w:spacing w:line="240" w:lineRule="auto"/>
              <w:ind w:firstLine="0" w:firstLineChars="0"/>
              <w:jc w:val="center"/>
              <w:rPr>
                <w:sz w:val="20"/>
                <w:highlight w:val="none"/>
              </w:rPr>
            </w:pPr>
            <w:r>
              <w:rPr>
                <w:sz w:val="20"/>
                <w:highlight w:val="none"/>
              </w:rPr>
              <w:t>%</w:t>
            </w:r>
          </w:p>
        </w:tc>
        <w:tc>
          <w:tcPr>
            <w:tcW w:w="949" w:type="dxa"/>
            <w:vAlign w:val="center"/>
          </w:tcPr>
          <w:p>
            <w:pPr>
              <w:widowControl/>
              <w:spacing w:line="240" w:lineRule="auto"/>
              <w:ind w:firstLine="0" w:firstLineChars="0"/>
              <w:jc w:val="center"/>
              <w:rPr>
                <w:sz w:val="20"/>
                <w:highlight w:val="none"/>
              </w:rPr>
            </w:pPr>
            <w:r>
              <w:rPr>
                <w:sz w:val="20"/>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J1</w:t>
            </w:r>
          </w:p>
        </w:tc>
        <w:tc>
          <w:tcPr>
            <w:tcW w:w="892" w:type="dxa"/>
            <w:vAlign w:val="center"/>
          </w:tcPr>
          <w:p>
            <w:pPr>
              <w:spacing w:line="240" w:lineRule="auto"/>
              <w:ind w:firstLine="0" w:firstLineChars="0"/>
              <w:jc w:val="center"/>
              <w:rPr>
                <w:sz w:val="20"/>
                <w:highlight w:val="none"/>
              </w:rPr>
            </w:pPr>
            <w:r>
              <w:rPr>
                <w:sz w:val="20"/>
                <w:highlight w:val="none"/>
              </w:rPr>
              <w:t xml:space="preserve">0.950 </w:t>
            </w:r>
          </w:p>
        </w:tc>
        <w:tc>
          <w:tcPr>
            <w:tcW w:w="955" w:type="dxa"/>
            <w:vAlign w:val="center"/>
          </w:tcPr>
          <w:p>
            <w:pPr>
              <w:spacing w:line="240" w:lineRule="auto"/>
              <w:ind w:firstLine="0" w:firstLineChars="0"/>
              <w:jc w:val="center"/>
              <w:rPr>
                <w:sz w:val="20"/>
                <w:highlight w:val="none"/>
              </w:rPr>
            </w:pPr>
            <w:r>
              <w:rPr>
                <w:sz w:val="20"/>
                <w:highlight w:val="none"/>
              </w:rPr>
              <w:t xml:space="preserve">36.969 </w:t>
            </w:r>
          </w:p>
        </w:tc>
        <w:tc>
          <w:tcPr>
            <w:tcW w:w="954" w:type="dxa"/>
            <w:vAlign w:val="center"/>
          </w:tcPr>
          <w:p>
            <w:pPr>
              <w:spacing w:line="240" w:lineRule="auto"/>
              <w:ind w:firstLine="0" w:firstLineChars="0"/>
              <w:jc w:val="center"/>
              <w:rPr>
                <w:sz w:val="20"/>
                <w:highlight w:val="none"/>
              </w:rPr>
            </w:pPr>
            <w:r>
              <w:rPr>
                <w:sz w:val="20"/>
                <w:highlight w:val="none"/>
              </w:rPr>
              <w:t xml:space="preserve">38.361 </w:t>
            </w:r>
          </w:p>
        </w:tc>
        <w:tc>
          <w:tcPr>
            <w:tcW w:w="954" w:type="dxa"/>
            <w:vAlign w:val="center"/>
          </w:tcPr>
          <w:p>
            <w:pPr>
              <w:spacing w:line="240" w:lineRule="auto"/>
              <w:ind w:firstLine="0" w:firstLineChars="0"/>
              <w:jc w:val="center"/>
              <w:rPr>
                <w:sz w:val="20"/>
                <w:highlight w:val="none"/>
              </w:rPr>
            </w:pPr>
            <w:r>
              <w:rPr>
                <w:sz w:val="20"/>
                <w:highlight w:val="none"/>
              </w:rPr>
              <w:t xml:space="preserve">23.720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28.270 </w:t>
            </w:r>
          </w:p>
        </w:tc>
        <w:tc>
          <w:tcPr>
            <w:tcW w:w="954" w:type="dxa"/>
            <w:vAlign w:val="center"/>
          </w:tcPr>
          <w:p>
            <w:pPr>
              <w:spacing w:line="240" w:lineRule="auto"/>
              <w:ind w:firstLine="0" w:firstLineChars="0"/>
              <w:jc w:val="center"/>
              <w:rPr>
                <w:sz w:val="20"/>
                <w:highlight w:val="none"/>
              </w:rPr>
            </w:pPr>
            <w:r>
              <w:rPr>
                <w:sz w:val="20"/>
                <w:highlight w:val="none"/>
              </w:rPr>
              <w:t xml:space="preserve">16.356 </w:t>
            </w:r>
          </w:p>
        </w:tc>
        <w:tc>
          <w:tcPr>
            <w:tcW w:w="949" w:type="dxa"/>
            <w:vAlign w:val="center"/>
          </w:tcPr>
          <w:p>
            <w:pPr>
              <w:spacing w:line="240" w:lineRule="auto"/>
              <w:ind w:firstLine="0" w:firstLineChars="0"/>
              <w:jc w:val="center"/>
              <w:rPr>
                <w:sz w:val="20"/>
                <w:highlight w:val="none"/>
              </w:rPr>
            </w:pPr>
            <w:r>
              <w:rPr>
                <w:sz w:val="20"/>
                <w:highlight w:val="none"/>
              </w:rPr>
              <w:t xml:space="preserve">55.374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J2</w:t>
            </w:r>
          </w:p>
        </w:tc>
        <w:tc>
          <w:tcPr>
            <w:tcW w:w="892" w:type="dxa"/>
            <w:vAlign w:val="center"/>
          </w:tcPr>
          <w:p>
            <w:pPr>
              <w:spacing w:line="240" w:lineRule="auto"/>
              <w:ind w:firstLine="0" w:firstLineChars="0"/>
              <w:jc w:val="center"/>
              <w:rPr>
                <w:sz w:val="20"/>
                <w:highlight w:val="none"/>
              </w:rPr>
            </w:pPr>
            <w:r>
              <w:rPr>
                <w:sz w:val="20"/>
                <w:highlight w:val="none"/>
              </w:rPr>
              <w:t xml:space="preserve">0.943 </w:t>
            </w:r>
          </w:p>
        </w:tc>
        <w:tc>
          <w:tcPr>
            <w:tcW w:w="955" w:type="dxa"/>
            <w:vAlign w:val="center"/>
          </w:tcPr>
          <w:p>
            <w:pPr>
              <w:spacing w:line="240" w:lineRule="auto"/>
              <w:ind w:firstLine="0" w:firstLineChars="0"/>
              <w:jc w:val="center"/>
              <w:rPr>
                <w:sz w:val="20"/>
                <w:highlight w:val="none"/>
              </w:rPr>
            </w:pPr>
            <w:r>
              <w:rPr>
                <w:sz w:val="20"/>
                <w:highlight w:val="none"/>
              </w:rPr>
              <w:t xml:space="preserve">35.956 </w:t>
            </w:r>
          </w:p>
        </w:tc>
        <w:tc>
          <w:tcPr>
            <w:tcW w:w="954" w:type="dxa"/>
            <w:vAlign w:val="center"/>
          </w:tcPr>
          <w:p>
            <w:pPr>
              <w:spacing w:line="240" w:lineRule="auto"/>
              <w:ind w:firstLine="0" w:firstLineChars="0"/>
              <w:jc w:val="center"/>
              <w:rPr>
                <w:sz w:val="20"/>
                <w:highlight w:val="none"/>
              </w:rPr>
            </w:pPr>
            <w:r>
              <w:rPr>
                <w:sz w:val="20"/>
                <w:highlight w:val="none"/>
              </w:rPr>
              <w:t xml:space="preserve">38.843 </w:t>
            </w:r>
          </w:p>
        </w:tc>
        <w:tc>
          <w:tcPr>
            <w:tcW w:w="954" w:type="dxa"/>
            <w:vAlign w:val="center"/>
          </w:tcPr>
          <w:p>
            <w:pPr>
              <w:spacing w:line="240" w:lineRule="auto"/>
              <w:ind w:firstLine="0" w:firstLineChars="0"/>
              <w:jc w:val="center"/>
              <w:rPr>
                <w:sz w:val="20"/>
                <w:highlight w:val="none"/>
              </w:rPr>
            </w:pPr>
            <w:r>
              <w:rPr>
                <w:sz w:val="20"/>
                <w:highlight w:val="none"/>
              </w:rPr>
              <w:t xml:space="preserve">24.258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27.000 </w:t>
            </w:r>
          </w:p>
        </w:tc>
        <w:tc>
          <w:tcPr>
            <w:tcW w:w="954" w:type="dxa"/>
            <w:vAlign w:val="center"/>
          </w:tcPr>
          <w:p>
            <w:pPr>
              <w:spacing w:line="240" w:lineRule="auto"/>
              <w:ind w:firstLine="0" w:firstLineChars="0"/>
              <w:jc w:val="center"/>
              <w:rPr>
                <w:sz w:val="20"/>
                <w:highlight w:val="none"/>
              </w:rPr>
            </w:pPr>
            <w:r>
              <w:rPr>
                <w:sz w:val="20"/>
                <w:highlight w:val="none"/>
              </w:rPr>
              <w:t xml:space="preserve">16.676 </w:t>
            </w:r>
          </w:p>
        </w:tc>
        <w:tc>
          <w:tcPr>
            <w:tcW w:w="949" w:type="dxa"/>
            <w:vAlign w:val="center"/>
          </w:tcPr>
          <w:p>
            <w:pPr>
              <w:spacing w:line="240" w:lineRule="auto"/>
              <w:ind w:firstLine="0" w:firstLineChars="0"/>
              <w:jc w:val="center"/>
              <w:rPr>
                <w:sz w:val="20"/>
                <w:highlight w:val="none"/>
              </w:rPr>
            </w:pPr>
            <w:r>
              <w:rPr>
                <w:sz w:val="20"/>
                <w:highlight w:val="none"/>
              </w:rPr>
              <w:t xml:space="preserve">56.324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J3</w:t>
            </w:r>
          </w:p>
        </w:tc>
        <w:tc>
          <w:tcPr>
            <w:tcW w:w="892" w:type="dxa"/>
            <w:vAlign w:val="center"/>
          </w:tcPr>
          <w:p>
            <w:pPr>
              <w:spacing w:line="240" w:lineRule="auto"/>
              <w:ind w:firstLine="0" w:firstLineChars="0"/>
              <w:jc w:val="center"/>
              <w:rPr>
                <w:sz w:val="20"/>
                <w:highlight w:val="none"/>
              </w:rPr>
            </w:pPr>
            <w:r>
              <w:rPr>
                <w:sz w:val="20"/>
                <w:highlight w:val="none"/>
              </w:rPr>
              <w:t xml:space="preserve">1.007 </w:t>
            </w:r>
          </w:p>
        </w:tc>
        <w:tc>
          <w:tcPr>
            <w:tcW w:w="955" w:type="dxa"/>
            <w:vAlign w:val="center"/>
          </w:tcPr>
          <w:p>
            <w:pPr>
              <w:spacing w:line="240" w:lineRule="auto"/>
              <w:ind w:firstLine="0" w:firstLineChars="0"/>
              <w:jc w:val="center"/>
              <w:rPr>
                <w:sz w:val="20"/>
                <w:highlight w:val="none"/>
              </w:rPr>
            </w:pPr>
            <w:r>
              <w:rPr>
                <w:sz w:val="20"/>
                <w:highlight w:val="none"/>
              </w:rPr>
              <w:t xml:space="preserve">14.518 </w:t>
            </w:r>
          </w:p>
        </w:tc>
        <w:tc>
          <w:tcPr>
            <w:tcW w:w="954" w:type="dxa"/>
            <w:vAlign w:val="center"/>
          </w:tcPr>
          <w:p>
            <w:pPr>
              <w:spacing w:line="240" w:lineRule="auto"/>
              <w:ind w:firstLine="0" w:firstLineChars="0"/>
              <w:jc w:val="center"/>
              <w:rPr>
                <w:sz w:val="20"/>
                <w:highlight w:val="none"/>
              </w:rPr>
            </w:pPr>
            <w:r>
              <w:rPr>
                <w:sz w:val="20"/>
                <w:highlight w:val="none"/>
              </w:rPr>
              <w:t xml:space="preserve">60.445 </w:t>
            </w:r>
          </w:p>
        </w:tc>
        <w:tc>
          <w:tcPr>
            <w:tcW w:w="954" w:type="dxa"/>
            <w:vAlign w:val="center"/>
          </w:tcPr>
          <w:p>
            <w:pPr>
              <w:spacing w:line="240" w:lineRule="auto"/>
              <w:ind w:firstLine="0" w:firstLineChars="0"/>
              <w:jc w:val="center"/>
              <w:rPr>
                <w:sz w:val="20"/>
                <w:highlight w:val="none"/>
              </w:rPr>
            </w:pPr>
            <w:r>
              <w:rPr>
                <w:sz w:val="20"/>
                <w:highlight w:val="none"/>
              </w:rPr>
              <w:t xml:space="preserve">24.031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26.573 </w:t>
            </w:r>
          </w:p>
        </w:tc>
        <w:tc>
          <w:tcPr>
            <w:tcW w:w="954" w:type="dxa"/>
            <w:vAlign w:val="center"/>
          </w:tcPr>
          <w:p>
            <w:pPr>
              <w:spacing w:line="240" w:lineRule="auto"/>
              <w:ind w:firstLine="0" w:firstLineChars="0"/>
              <w:jc w:val="center"/>
              <w:rPr>
                <w:sz w:val="20"/>
                <w:highlight w:val="none"/>
              </w:rPr>
            </w:pPr>
            <w:r>
              <w:rPr>
                <w:sz w:val="20"/>
                <w:highlight w:val="none"/>
              </w:rPr>
              <w:t xml:space="preserve">12.641 </w:t>
            </w:r>
          </w:p>
        </w:tc>
        <w:tc>
          <w:tcPr>
            <w:tcW w:w="949" w:type="dxa"/>
            <w:vAlign w:val="center"/>
          </w:tcPr>
          <w:p>
            <w:pPr>
              <w:spacing w:line="240" w:lineRule="auto"/>
              <w:ind w:firstLine="0" w:firstLineChars="0"/>
              <w:jc w:val="center"/>
              <w:rPr>
                <w:sz w:val="20"/>
                <w:highlight w:val="none"/>
              </w:rPr>
            </w:pPr>
            <w:r>
              <w:rPr>
                <w:sz w:val="20"/>
                <w:highlight w:val="none"/>
              </w:rPr>
              <w:t xml:space="preserve">60.786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J4</w:t>
            </w:r>
          </w:p>
        </w:tc>
        <w:tc>
          <w:tcPr>
            <w:tcW w:w="892" w:type="dxa"/>
            <w:vAlign w:val="center"/>
          </w:tcPr>
          <w:p>
            <w:pPr>
              <w:spacing w:line="240" w:lineRule="auto"/>
              <w:ind w:firstLine="0" w:firstLineChars="0"/>
              <w:jc w:val="center"/>
              <w:rPr>
                <w:sz w:val="20"/>
                <w:highlight w:val="none"/>
              </w:rPr>
            </w:pPr>
            <w:r>
              <w:rPr>
                <w:sz w:val="20"/>
                <w:highlight w:val="none"/>
              </w:rPr>
              <w:t xml:space="preserve">1.046 </w:t>
            </w:r>
          </w:p>
        </w:tc>
        <w:tc>
          <w:tcPr>
            <w:tcW w:w="955" w:type="dxa"/>
            <w:vAlign w:val="center"/>
          </w:tcPr>
          <w:p>
            <w:pPr>
              <w:spacing w:line="240" w:lineRule="auto"/>
              <w:ind w:firstLine="0" w:firstLineChars="0"/>
              <w:jc w:val="center"/>
              <w:rPr>
                <w:sz w:val="20"/>
                <w:highlight w:val="none"/>
              </w:rPr>
            </w:pPr>
            <w:r>
              <w:rPr>
                <w:sz w:val="20"/>
                <w:highlight w:val="none"/>
              </w:rPr>
              <w:t xml:space="preserve">14.535 </w:t>
            </w:r>
          </w:p>
        </w:tc>
        <w:tc>
          <w:tcPr>
            <w:tcW w:w="954" w:type="dxa"/>
            <w:vAlign w:val="center"/>
          </w:tcPr>
          <w:p>
            <w:pPr>
              <w:spacing w:line="240" w:lineRule="auto"/>
              <w:ind w:firstLine="0" w:firstLineChars="0"/>
              <w:jc w:val="center"/>
              <w:rPr>
                <w:sz w:val="20"/>
                <w:highlight w:val="none"/>
              </w:rPr>
            </w:pPr>
            <w:r>
              <w:rPr>
                <w:sz w:val="20"/>
                <w:highlight w:val="none"/>
              </w:rPr>
              <w:t xml:space="preserve">58.245 </w:t>
            </w:r>
          </w:p>
        </w:tc>
        <w:tc>
          <w:tcPr>
            <w:tcW w:w="954" w:type="dxa"/>
            <w:vAlign w:val="center"/>
          </w:tcPr>
          <w:p>
            <w:pPr>
              <w:spacing w:line="240" w:lineRule="auto"/>
              <w:ind w:firstLine="0" w:firstLineChars="0"/>
              <w:jc w:val="center"/>
              <w:rPr>
                <w:sz w:val="20"/>
                <w:highlight w:val="none"/>
              </w:rPr>
            </w:pPr>
            <w:r>
              <w:rPr>
                <w:sz w:val="20"/>
                <w:highlight w:val="none"/>
              </w:rPr>
              <w:t xml:space="preserve">26.174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24.780 </w:t>
            </w:r>
          </w:p>
        </w:tc>
        <w:tc>
          <w:tcPr>
            <w:tcW w:w="954" w:type="dxa"/>
            <w:vAlign w:val="center"/>
          </w:tcPr>
          <w:p>
            <w:pPr>
              <w:spacing w:line="240" w:lineRule="auto"/>
              <w:ind w:firstLine="0" w:firstLineChars="0"/>
              <w:jc w:val="center"/>
              <w:rPr>
                <w:sz w:val="20"/>
                <w:highlight w:val="none"/>
              </w:rPr>
            </w:pPr>
            <w:r>
              <w:rPr>
                <w:sz w:val="20"/>
                <w:highlight w:val="none"/>
              </w:rPr>
              <w:t xml:space="preserve">13.300 </w:t>
            </w:r>
          </w:p>
        </w:tc>
        <w:tc>
          <w:tcPr>
            <w:tcW w:w="949" w:type="dxa"/>
            <w:vAlign w:val="center"/>
          </w:tcPr>
          <w:p>
            <w:pPr>
              <w:spacing w:line="240" w:lineRule="auto"/>
              <w:ind w:firstLine="0" w:firstLineChars="0"/>
              <w:jc w:val="center"/>
              <w:rPr>
                <w:sz w:val="20"/>
                <w:highlight w:val="none"/>
              </w:rPr>
            </w:pPr>
            <w:r>
              <w:rPr>
                <w:sz w:val="20"/>
                <w:highlight w:val="none"/>
              </w:rPr>
              <w:t xml:space="preserve">61.920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J5</w:t>
            </w:r>
          </w:p>
        </w:tc>
        <w:tc>
          <w:tcPr>
            <w:tcW w:w="892" w:type="dxa"/>
            <w:vAlign w:val="center"/>
          </w:tcPr>
          <w:p>
            <w:pPr>
              <w:spacing w:line="240" w:lineRule="auto"/>
              <w:ind w:firstLine="0" w:firstLineChars="0"/>
              <w:jc w:val="center"/>
              <w:rPr>
                <w:sz w:val="20"/>
                <w:highlight w:val="none"/>
              </w:rPr>
            </w:pPr>
            <w:r>
              <w:rPr>
                <w:sz w:val="20"/>
                <w:highlight w:val="none"/>
              </w:rPr>
              <w:t xml:space="preserve">0.401 </w:t>
            </w:r>
          </w:p>
        </w:tc>
        <w:tc>
          <w:tcPr>
            <w:tcW w:w="955" w:type="dxa"/>
            <w:vAlign w:val="center"/>
          </w:tcPr>
          <w:p>
            <w:pPr>
              <w:spacing w:line="240" w:lineRule="auto"/>
              <w:ind w:firstLine="0" w:firstLineChars="0"/>
              <w:jc w:val="center"/>
              <w:rPr>
                <w:sz w:val="20"/>
                <w:highlight w:val="none"/>
              </w:rPr>
            </w:pPr>
            <w:r>
              <w:rPr>
                <w:sz w:val="20"/>
                <w:highlight w:val="none"/>
              </w:rPr>
              <w:t xml:space="preserve">6.670 </w:t>
            </w:r>
          </w:p>
        </w:tc>
        <w:tc>
          <w:tcPr>
            <w:tcW w:w="954" w:type="dxa"/>
            <w:vAlign w:val="center"/>
          </w:tcPr>
          <w:p>
            <w:pPr>
              <w:spacing w:line="240" w:lineRule="auto"/>
              <w:ind w:firstLine="0" w:firstLineChars="0"/>
              <w:jc w:val="center"/>
              <w:rPr>
                <w:sz w:val="20"/>
                <w:highlight w:val="none"/>
              </w:rPr>
            </w:pPr>
            <w:r>
              <w:rPr>
                <w:sz w:val="20"/>
                <w:highlight w:val="none"/>
              </w:rPr>
              <w:t xml:space="preserve">65.366 </w:t>
            </w:r>
          </w:p>
        </w:tc>
        <w:tc>
          <w:tcPr>
            <w:tcW w:w="954" w:type="dxa"/>
            <w:vAlign w:val="center"/>
          </w:tcPr>
          <w:p>
            <w:pPr>
              <w:spacing w:line="240" w:lineRule="auto"/>
              <w:ind w:firstLine="0" w:firstLineChars="0"/>
              <w:jc w:val="center"/>
              <w:rPr>
                <w:sz w:val="20"/>
                <w:highlight w:val="none"/>
              </w:rPr>
            </w:pPr>
            <w:r>
              <w:rPr>
                <w:sz w:val="20"/>
                <w:highlight w:val="none"/>
              </w:rPr>
              <w:t xml:space="preserve">27.563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25.625 </w:t>
            </w:r>
          </w:p>
        </w:tc>
        <w:tc>
          <w:tcPr>
            <w:tcW w:w="954" w:type="dxa"/>
            <w:vAlign w:val="center"/>
          </w:tcPr>
          <w:p>
            <w:pPr>
              <w:spacing w:line="240" w:lineRule="auto"/>
              <w:ind w:firstLine="0" w:firstLineChars="0"/>
              <w:jc w:val="center"/>
              <w:rPr>
                <w:sz w:val="20"/>
                <w:highlight w:val="none"/>
              </w:rPr>
            </w:pPr>
            <w:r>
              <w:rPr>
                <w:sz w:val="20"/>
                <w:highlight w:val="none"/>
              </w:rPr>
              <w:t xml:space="preserve">21.976 </w:t>
            </w:r>
          </w:p>
        </w:tc>
        <w:tc>
          <w:tcPr>
            <w:tcW w:w="949" w:type="dxa"/>
            <w:vAlign w:val="center"/>
          </w:tcPr>
          <w:p>
            <w:pPr>
              <w:spacing w:line="240" w:lineRule="auto"/>
              <w:ind w:firstLine="0" w:firstLineChars="0"/>
              <w:jc w:val="center"/>
              <w:rPr>
                <w:sz w:val="20"/>
                <w:highlight w:val="none"/>
              </w:rPr>
            </w:pPr>
            <w:r>
              <w:rPr>
                <w:sz w:val="20"/>
                <w:highlight w:val="none"/>
              </w:rPr>
              <w:t xml:space="preserve">52.400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J6</w:t>
            </w:r>
          </w:p>
        </w:tc>
        <w:tc>
          <w:tcPr>
            <w:tcW w:w="892" w:type="dxa"/>
            <w:vAlign w:val="center"/>
          </w:tcPr>
          <w:p>
            <w:pPr>
              <w:spacing w:line="240" w:lineRule="auto"/>
              <w:ind w:firstLine="0" w:firstLineChars="0"/>
              <w:jc w:val="center"/>
              <w:rPr>
                <w:sz w:val="20"/>
                <w:highlight w:val="none"/>
              </w:rPr>
            </w:pPr>
            <w:r>
              <w:rPr>
                <w:sz w:val="20"/>
                <w:highlight w:val="none"/>
              </w:rPr>
              <w:t xml:space="preserve">0.420 </w:t>
            </w:r>
          </w:p>
        </w:tc>
        <w:tc>
          <w:tcPr>
            <w:tcW w:w="955" w:type="dxa"/>
            <w:vAlign w:val="center"/>
          </w:tcPr>
          <w:p>
            <w:pPr>
              <w:spacing w:line="240" w:lineRule="auto"/>
              <w:ind w:firstLine="0" w:firstLineChars="0"/>
              <w:jc w:val="center"/>
              <w:rPr>
                <w:sz w:val="20"/>
                <w:highlight w:val="none"/>
              </w:rPr>
            </w:pPr>
            <w:r>
              <w:rPr>
                <w:sz w:val="20"/>
                <w:highlight w:val="none"/>
              </w:rPr>
              <w:t xml:space="preserve">6.778 </w:t>
            </w:r>
          </w:p>
        </w:tc>
        <w:tc>
          <w:tcPr>
            <w:tcW w:w="954" w:type="dxa"/>
            <w:vAlign w:val="center"/>
          </w:tcPr>
          <w:p>
            <w:pPr>
              <w:spacing w:line="240" w:lineRule="auto"/>
              <w:ind w:firstLine="0" w:firstLineChars="0"/>
              <w:jc w:val="center"/>
              <w:rPr>
                <w:sz w:val="20"/>
                <w:highlight w:val="none"/>
              </w:rPr>
            </w:pPr>
            <w:r>
              <w:rPr>
                <w:sz w:val="20"/>
                <w:highlight w:val="none"/>
              </w:rPr>
              <w:t xml:space="preserve">63.409 </w:t>
            </w:r>
          </w:p>
        </w:tc>
        <w:tc>
          <w:tcPr>
            <w:tcW w:w="954" w:type="dxa"/>
            <w:vAlign w:val="center"/>
          </w:tcPr>
          <w:p>
            <w:pPr>
              <w:spacing w:line="240" w:lineRule="auto"/>
              <w:ind w:firstLine="0" w:firstLineChars="0"/>
              <w:jc w:val="center"/>
              <w:rPr>
                <w:sz w:val="20"/>
                <w:highlight w:val="none"/>
              </w:rPr>
            </w:pPr>
            <w:r>
              <w:rPr>
                <w:sz w:val="20"/>
                <w:highlight w:val="none"/>
              </w:rPr>
              <w:t xml:space="preserve">29.393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25.778 </w:t>
            </w:r>
          </w:p>
        </w:tc>
        <w:tc>
          <w:tcPr>
            <w:tcW w:w="954" w:type="dxa"/>
            <w:vAlign w:val="center"/>
          </w:tcPr>
          <w:p>
            <w:pPr>
              <w:spacing w:line="240" w:lineRule="auto"/>
              <w:ind w:firstLine="0" w:firstLineChars="0"/>
              <w:jc w:val="center"/>
              <w:rPr>
                <w:sz w:val="20"/>
                <w:highlight w:val="none"/>
              </w:rPr>
            </w:pPr>
            <w:r>
              <w:rPr>
                <w:sz w:val="20"/>
                <w:highlight w:val="none"/>
              </w:rPr>
              <w:t xml:space="preserve">21.168 </w:t>
            </w:r>
          </w:p>
        </w:tc>
        <w:tc>
          <w:tcPr>
            <w:tcW w:w="949" w:type="dxa"/>
            <w:vAlign w:val="center"/>
          </w:tcPr>
          <w:p>
            <w:pPr>
              <w:spacing w:line="240" w:lineRule="auto"/>
              <w:ind w:firstLine="0" w:firstLineChars="0"/>
              <w:jc w:val="center"/>
              <w:rPr>
                <w:sz w:val="20"/>
                <w:highlight w:val="none"/>
              </w:rPr>
            </w:pPr>
            <w:r>
              <w:rPr>
                <w:sz w:val="20"/>
                <w:highlight w:val="none"/>
              </w:rPr>
              <w:t xml:space="preserve">53.054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J7</w:t>
            </w:r>
          </w:p>
        </w:tc>
        <w:tc>
          <w:tcPr>
            <w:tcW w:w="892" w:type="dxa"/>
            <w:vAlign w:val="center"/>
          </w:tcPr>
          <w:p>
            <w:pPr>
              <w:spacing w:line="240" w:lineRule="auto"/>
              <w:ind w:firstLine="0" w:firstLineChars="0"/>
              <w:jc w:val="center"/>
              <w:rPr>
                <w:sz w:val="20"/>
                <w:highlight w:val="none"/>
              </w:rPr>
            </w:pPr>
            <w:r>
              <w:rPr>
                <w:sz w:val="20"/>
                <w:highlight w:val="none"/>
              </w:rPr>
              <w:t xml:space="preserve">0.548 </w:t>
            </w:r>
          </w:p>
        </w:tc>
        <w:tc>
          <w:tcPr>
            <w:tcW w:w="955" w:type="dxa"/>
            <w:vAlign w:val="center"/>
          </w:tcPr>
          <w:p>
            <w:pPr>
              <w:spacing w:line="240" w:lineRule="auto"/>
              <w:ind w:firstLine="0" w:firstLineChars="0"/>
              <w:jc w:val="center"/>
              <w:rPr>
                <w:sz w:val="20"/>
                <w:highlight w:val="none"/>
              </w:rPr>
            </w:pPr>
            <w:r>
              <w:rPr>
                <w:sz w:val="20"/>
                <w:highlight w:val="none"/>
              </w:rPr>
              <w:t xml:space="preserve">5.296 </w:t>
            </w:r>
          </w:p>
        </w:tc>
        <w:tc>
          <w:tcPr>
            <w:tcW w:w="954" w:type="dxa"/>
            <w:vAlign w:val="center"/>
          </w:tcPr>
          <w:p>
            <w:pPr>
              <w:spacing w:line="240" w:lineRule="auto"/>
              <w:ind w:firstLine="0" w:firstLineChars="0"/>
              <w:jc w:val="center"/>
              <w:rPr>
                <w:sz w:val="20"/>
                <w:highlight w:val="none"/>
              </w:rPr>
            </w:pPr>
            <w:r>
              <w:rPr>
                <w:sz w:val="20"/>
                <w:highlight w:val="none"/>
              </w:rPr>
              <w:t xml:space="preserve">72.973 </w:t>
            </w:r>
          </w:p>
        </w:tc>
        <w:tc>
          <w:tcPr>
            <w:tcW w:w="954" w:type="dxa"/>
            <w:vAlign w:val="center"/>
          </w:tcPr>
          <w:p>
            <w:pPr>
              <w:spacing w:line="240" w:lineRule="auto"/>
              <w:ind w:firstLine="0" w:firstLineChars="0"/>
              <w:jc w:val="center"/>
              <w:rPr>
                <w:sz w:val="20"/>
                <w:highlight w:val="none"/>
              </w:rPr>
            </w:pPr>
            <w:r>
              <w:rPr>
                <w:sz w:val="20"/>
                <w:highlight w:val="none"/>
              </w:rPr>
              <w:t xml:space="preserve">21.183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25.167 </w:t>
            </w:r>
          </w:p>
        </w:tc>
        <w:tc>
          <w:tcPr>
            <w:tcW w:w="954" w:type="dxa"/>
            <w:vAlign w:val="center"/>
          </w:tcPr>
          <w:p>
            <w:pPr>
              <w:spacing w:line="240" w:lineRule="auto"/>
              <w:ind w:firstLine="0" w:firstLineChars="0"/>
              <w:jc w:val="center"/>
              <w:rPr>
                <w:sz w:val="20"/>
                <w:highlight w:val="none"/>
              </w:rPr>
            </w:pPr>
            <w:r>
              <w:rPr>
                <w:sz w:val="20"/>
                <w:highlight w:val="none"/>
              </w:rPr>
              <w:t xml:space="preserve">11.837 </w:t>
            </w:r>
          </w:p>
        </w:tc>
        <w:tc>
          <w:tcPr>
            <w:tcW w:w="949" w:type="dxa"/>
            <w:vAlign w:val="center"/>
          </w:tcPr>
          <w:p>
            <w:pPr>
              <w:spacing w:line="240" w:lineRule="auto"/>
              <w:ind w:firstLine="0" w:firstLineChars="0"/>
              <w:jc w:val="center"/>
              <w:rPr>
                <w:sz w:val="20"/>
                <w:highlight w:val="none"/>
              </w:rPr>
            </w:pPr>
            <w:r>
              <w:rPr>
                <w:sz w:val="20"/>
                <w:highlight w:val="none"/>
              </w:rPr>
              <w:t xml:space="preserve">62.996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J8</w:t>
            </w:r>
          </w:p>
        </w:tc>
        <w:tc>
          <w:tcPr>
            <w:tcW w:w="892" w:type="dxa"/>
            <w:vAlign w:val="center"/>
          </w:tcPr>
          <w:p>
            <w:pPr>
              <w:spacing w:line="240" w:lineRule="auto"/>
              <w:ind w:firstLine="0" w:firstLineChars="0"/>
              <w:jc w:val="center"/>
              <w:rPr>
                <w:sz w:val="20"/>
                <w:highlight w:val="none"/>
              </w:rPr>
            </w:pPr>
            <w:r>
              <w:rPr>
                <w:sz w:val="20"/>
                <w:highlight w:val="none"/>
              </w:rPr>
              <w:t xml:space="preserve">0.495 </w:t>
            </w:r>
          </w:p>
        </w:tc>
        <w:tc>
          <w:tcPr>
            <w:tcW w:w="955" w:type="dxa"/>
            <w:vAlign w:val="center"/>
          </w:tcPr>
          <w:p>
            <w:pPr>
              <w:spacing w:line="240" w:lineRule="auto"/>
              <w:ind w:firstLine="0" w:firstLineChars="0"/>
              <w:jc w:val="center"/>
              <w:rPr>
                <w:sz w:val="20"/>
                <w:highlight w:val="none"/>
              </w:rPr>
            </w:pPr>
            <w:r>
              <w:rPr>
                <w:sz w:val="20"/>
                <w:highlight w:val="none"/>
              </w:rPr>
              <w:t xml:space="preserve">5.490 </w:t>
            </w:r>
          </w:p>
        </w:tc>
        <w:tc>
          <w:tcPr>
            <w:tcW w:w="954" w:type="dxa"/>
            <w:vAlign w:val="center"/>
          </w:tcPr>
          <w:p>
            <w:pPr>
              <w:spacing w:line="240" w:lineRule="auto"/>
              <w:ind w:firstLine="0" w:firstLineChars="0"/>
              <w:jc w:val="center"/>
              <w:rPr>
                <w:sz w:val="20"/>
                <w:highlight w:val="none"/>
              </w:rPr>
            </w:pPr>
            <w:r>
              <w:rPr>
                <w:sz w:val="20"/>
                <w:highlight w:val="none"/>
              </w:rPr>
              <w:t xml:space="preserve">74.955 </w:t>
            </w:r>
          </w:p>
        </w:tc>
        <w:tc>
          <w:tcPr>
            <w:tcW w:w="954" w:type="dxa"/>
            <w:vAlign w:val="center"/>
          </w:tcPr>
          <w:p>
            <w:pPr>
              <w:spacing w:line="240" w:lineRule="auto"/>
              <w:ind w:firstLine="0" w:firstLineChars="0"/>
              <w:jc w:val="center"/>
              <w:rPr>
                <w:sz w:val="20"/>
                <w:highlight w:val="none"/>
              </w:rPr>
            </w:pPr>
            <w:r>
              <w:rPr>
                <w:sz w:val="20"/>
                <w:highlight w:val="none"/>
              </w:rPr>
              <w:t xml:space="preserve">19.060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25.240 </w:t>
            </w:r>
          </w:p>
        </w:tc>
        <w:tc>
          <w:tcPr>
            <w:tcW w:w="954" w:type="dxa"/>
            <w:vAlign w:val="center"/>
          </w:tcPr>
          <w:p>
            <w:pPr>
              <w:spacing w:line="240" w:lineRule="auto"/>
              <w:ind w:firstLine="0" w:firstLineChars="0"/>
              <w:jc w:val="center"/>
              <w:rPr>
                <w:sz w:val="20"/>
                <w:highlight w:val="none"/>
              </w:rPr>
            </w:pPr>
            <w:r>
              <w:rPr>
                <w:sz w:val="20"/>
                <w:highlight w:val="none"/>
              </w:rPr>
              <w:t xml:space="preserve">11.611 </w:t>
            </w:r>
          </w:p>
        </w:tc>
        <w:tc>
          <w:tcPr>
            <w:tcW w:w="949" w:type="dxa"/>
            <w:vAlign w:val="center"/>
          </w:tcPr>
          <w:p>
            <w:pPr>
              <w:spacing w:line="240" w:lineRule="auto"/>
              <w:ind w:firstLine="0" w:firstLineChars="0"/>
              <w:jc w:val="center"/>
              <w:rPr>
                <w:sz w:val="20"/>
                <w:highlight w:val="none"/>
              </w:rPr>
            </w:pPr>
            <w:r>
              <w:rPr>
                <w:sz w:val="20"/>
                <w:highlight w:val="none"/>
              </w:rPr>
              <w:t xml:space="preserve">63.149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J9</w:t>
            </w:r>
          </w:p>
        </w:tc>
        <w:tc>
          <w:tcPr>
            <w:tcW w:w="892" w:type="dxa"/>
            <w:vAlign w:val="center"/>
          </w:tcPr>
          <w:p>
            <w:pPr>
              <w:spacing w:line="240" w:lineRule="auto"/>
              <w:ind w:firstLine="0" w:firstLineChars="0"/>
              <w:jc w:val="center"/>
              <w:rPr>
                <w:sz w:val="20"/>
                <w:highlight w:val="none"/>
              </w:rPr>
            </w:pPr>
            <w:r>
              <w:rPr>
                <w:sz w:val="20"/>
                <w:highlight w:val="none"/>
              </w:rPr>
              <w:t xml:space="preserve">1.135 </w:t>
            </w:r>
          </w:p>
        </w:tc>
        <w:tc>
          <w:tcPr>
            <w:tcW w:w="955" w:type="dxa"/>
            <w:vAlign w:val="center"/>
          </w:tcPr>
          <w:p>
            <w:pPr>
              <w:spacing w:line="240" w:lineRule="auto"/>
              <w:ind w:firstLine="0" w:firstLineChars="0"/>
              <w:jc w:val="center"/>
              <w:rPr>
                <w:sz w:val="20"/>
                <w:highlight w:val="none"/>
              </w:rPr>
            </w:pPr>
            <w:r>
              <w:rPr>
                <w:sz w:val="20"/>
                <w:highlight w:val="none"/>
              </w:rPr>
              <w:t xml:space="preserve">18.575 </w:t>
            </w:r>
          </w:p>
        </w:tc>
        <w:tc>
          <w:tcPr>
            <w:tcW w:w="954" w:type="dxa"/>
            <w:vAlign w:val="center"/>
          </w:tcPr>
          <w:p>
            <w:pPr>
              <w:spacing w:line="240" w:lineRule="auto"/>
              <w:ind w:firstLine="0" w:firstLineChars="0"/>
              <w:jc w:val="center"/>
              <w:rPr>
                <w:sz w:val="20"/>
                <w:highlight w:val="none"/>
              </w:rPr>
            </w:pPr>
            <w:r>
              <w:rPr>
                <w:sz w:val="20"/>
                <w:highlight w:val="none"/>
              </w:rPr>
              <w:t xml:space="preserve">52.954 </w:t>
            </w:r>
          </w:p>
        </w:tc>
        <w:tc>
          <w:tcPr>
            <w:tcW w:w="954" w:type="dxa"/>
            <w:vAlign w:val="center"/>
          </w:tcPr>
          <w:p>
            <w:pPr>
              <w:spacing w:line="240" w:lineRule="auto"/>
              <w:ind w:firstLine="0" w:firstLineChars="0"/>
              <w:jc w:val="center"/>
              <w:rPr>
                <w:sz w:val="20"/>
                <w:highlight w:val="none"/>
              </w:rPr>
            </w:pPr>
            <w:r>
              <w:rPr>
                <w:sz w:val="20"/>
                <w:highlight w:val="none"/>
              </w:rPr>
              <w:t xml:space="preserve">27.337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39.656 </w:t>
            </w:r>
          </w:p>
        </w:tc>
        <w:tc>
          <w:tcPr>
            <w:tcW w:w="954" w:type="dxa"/>
            <w:vAlign w:val="center"/>
          </w:tcPr>
          <w:p>
            <w:pPr>
              <w:spacing w:line="240" w:lineRule="auto"/>
              <w:ind w:firstLine="0" w:firstLineChars="0"/>
              <w:jc w:val="center"/>
              <w:rPr>
                <w:sz w:val="20"/>
                <w:highlight w:val="none"/>
              </w:rPr>
            </w:pPr>
            <w:r>
              <w:rPr>
                <w:sz w:val="20"/>
                <w:highlight w:val="none"/>
              </w:rPr>
              <w:t xml:space="preserve">17.209 </w:t>
            </w:r>
          </w:p>
        </w:tc>
        <w:tc>
          <w:tcPr>
            <w:tcW w:w="949" w:type="dxa"/>
            <w:vAlign w:val="center"/>
          </w:tcPr>
          <w:p>
            <w:pPr>
              <w:spacing w:line="240" w:lineRule="auto"/>
              <w:ind w:firstLine="0" w:firstLineChars="0"/>
              <w:jc w:val="center"/>
              <w:rPr>
                <w:sz w:val="20"/>
                <w:highlight w:val="none"/>
              </w:rPr>
            </w:pPr>
            <w:r>
              <w:rPr>
                <w:sz w:val="20"/>
                <w:highlight w:val="none"/>
              </w:rPr>
              <w:t xml:space="preserve">43.136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J10</w:t>
            </w:r>
          </w:p>
        </w:tc>
        <w:tc>
          <w:tcPr>
            <w:tcW w:w="892" w:type="dxa"/>
            <w:vAlign w:val="center"/>
          </w:tcPr>
          <w:p>
            <w:pPr>
              <w:spacing w:line="240" w:lineRule="auto"/>
              <w:ind w:firstLine="0" w:firstLineChars="0"/>
              <w:jc w:val="center"/>
              <w:rPr>
                <w:sz w:val="20"/>
                <w:highlight w:val="none"/>
              </w:rPr>
            </w:pPr>
            <w:r>
              <w:rPr>
                <w:sz w:val="20"/>
                <w:highlight w:val="none"/>
              </w:rPr>
              <w:t xml:space="preserve">1.076 </w:t>
            </w:r>
          </w:p>
        </w:tc>
        <w:tc>
          <w:tcPr>
            <w:tcW w:w="955" w:type="dxa"/>
            <w:vAlign w:val="center"/>
          </w:tcPr>
          <w:p>
            <w:pPr>
              <w:spacing w:line="240" w:lineRule="auto"/>
              <w:ind w:firstLine="0" w:firstLineChars="0"/>
              <w:jc w:val="center"/>
              <w:rPr>
                <w:sz w:val="20"/>
                <w:highlight w:val="none"/>
              </w:rPr>
            </w:pPr>
            <w:r>
              <w:rPr>
                <w:sz w:val="20"/>
                <w:highlight w:val="none"/>
              </w:rPr>
              <w:t xml:space="preserve">19.931 </w:t>
            </w:r>
          </w:p>
        </w:tc>
        <w:tc>
          <w:tcPr>
            <w:tcW w:w="954" w:type="dxa"/>
            <w:vAlign w:val="center"/>
          </w:tcPr>
          <w:p>
            <w:pPr>
              <w:spacing w:line="240" w:lineRule="auto"/>
              <w:ind w:firstLine="0" w:firstLineChars="0"/>
              <w:jc w:val="center"/>
              <w:rPr>
                <w:sz w:val="20"/>
                <w:highlight w:val="none"/>
              </w:rPr>
            </w:pPr>
            <w:r>
              <w:rPr>
                <w:sz w:val="20"/>
                <w:highlight w:val="none"/>
              </w:rPr>
              <w:t xml:space="preserve">50.828 </w:t>
            </w:r>
          </w:p>
        </w:tc>
        <w:tc>
          <w:tcPr>
            <w:tcW w:w="954" w:type="dxa"/>
            <w:vAlign w:val="center"/>
          </w:tcPr>
          <w:p>
            <w:pPr>
              <w:spacing w:line="240" w:lineRule="auto"/>
              <w:ind w:firstLine="0" w:firstLineChars="0"/>
              <w:jc w:val="center"/>
              <w:rPr>
                <w:sz w:val="20"/>
                <w:highlight w:val="none"/>
              </w:rPr>
            </w:pPr>
            <w:r>
              <w:rPr>
                <w:sz w:val="20"/>
                <w:highlight w:val="none"/>
              </w:rPr>
              <w:t xml:space="preserve">28.165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40.714 </w:t>
            </w:r>
          </w:p>
        </w:tc>
        <w:tc>
          <w:tcPr>
            <w:tcW w:w="954" w:type="dxa"/>
            <w:vAlign w:val="center"/>
          </w:tcPr>
          <w:p>
            <w:pPr>
              <w:spacing w:line="240" w:lineRule="auto"/>
              <w:ind w:firstLine="0" w:firstLineChars="0"/>
              <w:jc w:val="center"/>
              <w:rPr>
                <w:sz w:val="20"/>
                <w:highlight w:val="none"/>
              </w:rPr>
            </w:pPr>
            <w:r>
              <w:rPr>
                <w:sz w:val="20"/>
                <w:highlight w:val="none"/>
              </w:rPr>
              <w:t xml:space="preserve">17.808 </w:t>
            </w:r>
          </w:p>
        </w:tc>
        <w:tc>
          <w:tcPr>
            <w:tcW w:w="949" w:type="dxa"/>
            <w:vAlign w:val="center"/>
          </w:tcPr>
          <w:p>
            <w:pPr>
              <w:spacing w:line="240" w:lineRule="auto"/>
              <w:ind w:firstLine="0" w:firstLineChars="0"/>
              <w:jc w:val="center"/>
              <w:rPr>
                <w:sz w:val="20"/>
                <w:highlight w:val="none"/>
              </w:rPr>
            </w:pPr>
            <w:r>
              <w:rPr>
                <w:sz w:val="20"/>
                <w:highlight w:val="none"/>
              </w:rPr>
              <w:t xml:space="preserve">41.478 </w:t>
            </w:r>
          </w:p>
        </w:tc>
      </w:tr>
    </w:tbl>
    <w:p>
      <w:pPr>
        <w:ind w:firstLine="420"/>
        <w:rPr>
          <w:sz w:val="21"/>
          <w:szCs w:val="21"/>
          <w:highlight w:val="none"/>
        </w:rPr>
      </w:pPr>
      <w:r>
        <w:rPr>
          <w:sz w:val="21"/>
          <w:szCs w:val="21"/>
          <w:highlight w:val="none"/>
        </w:rPr>
        <w:t>注：加黑为毫克当量百分比大于25%</w:t>
      </w:r>
    </w:p>
    <w:p>
      <w:pPr>
        <w:autoSpaceDE w:val="0"/>
        <w:autoSpaceDN w:val="0"/>
        <w:ind w:firstLine="420"/>
        <w:jc w:val="center"/>
        <w:rPr>
          <w:b/>
          <w:sz w:val="24"/>
          <w:highlight w:val="none"/>
        </w:rPr>
      </w:pPr>
      <w:r>
        <w:rPr>
          <w:sz w:val="21"/>
          <w:szCs w:val="21"/>
          <w:highlight w:val="none"/>
        </w:rPr>
        <w:drawing>
          <wp:inline distT="0" distB="0" distL="0" distR="0">
            <wp:extent cx="3600450" cy="3495675"/>
            <wp:effectExtent l="19050" t="0" r="0" b="0"/>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noChangeArrowheads="1"/>
                    </pic:cNvPicPr>
                  </pic:nvPicPr>
                  <pic:blipFill>
                    <a:blip r:embed="rId51" cstate="print"/>
                    <a:srcRect/>
                    <a:stretch>
                      <a:fillRect/>
                    </a:stretch>
                  </pic:blipFill>
                  <pic:spPr>
                    <a:xfrm>
                      <a:off x="0" y="0"/>
                      <a:ext cx="3600450" cy="3495675"/>
                    </a:xfrm>
                    <a:prstGeom prst="rect">
                      <a:avLst/>
                    </a:prstGeom>
                    <a:noFill/>
                    <a:ln w="9525" cmpd="sng">
                      <a:noFill/>
                      <a:miter lim="800000"/>
                      <a:headEnd/>
                      <a:tailEnd/>
                    </a:ln>
                  </pic:spPr>
                </pic:pic>
              </a:graphicData>
            </a:graphic>
          </wp:inline>
        </w:drawing>
      </w:r>
    </w:p>
    <w:p>
      <w:pPr>
        <w:ind w:firstLine="420"/>
        <w:jc w:val="center"/>
        <w:rPr>
          <w:rFonts w:eastAsia="黑体"/>
          <w:sz w:val="21"/>
          <w:szCs w:val="21"/>
          <w:highlight w:val="none"/>
        </w:rPr>
      </w:pPr>
      <w:r>
        <w:rPr>
          <w:rFonts w:eastAsia="黑体"/>
          <w:sz w:val="21"/>
          <w:szCs w:val="21"/>
          <w:highlight w:val="none"/>
        </w:rPr>
        <w:t>图5.2-8评价区水化学类型piper图</w:t>
      </w:r>
    </w:p>
    <w:p>
      <w:pPr>
        <w:ind w:firstLine="560"/>
        <w:rPr>
          <w:highlight w:val="none"/>
        </w:rPr>
      </w:pPr>
    </w:p>
    <w:p>
      <w:pPr>
        <w:pStyle w:val="7"/>
        <w:spacing w:before="0" w:after="0" w:line="360" w:lineRule="auto"/>
        <w:ind w:left="0" w:firstLine="480" w:firstLineChars="200"/>
        <w:rPr>
          <w:b w:val="0"/>
          <w:color w:val="auto"/>
          <w:sz w:val="24"/>
          <w:szCs w:val="24"/>
          <w:highlight w:val="none"/>
        </w:rPr>
      </w:pPr>
      <w:r>
        <w:rPr>
          <w:b w:val="0"/>
          <w:color w:val="auto"/>
          <w:sz w:val="24"/>
          <w:szCs w:val="24"/>
          <w:highlight w:val="none"/>
        </w:rPr>
        <w:t>（4）评价区地下水环境现状调查与评价</w:t>
      </w:r>
    </w:p>
    <w:p>
      <w:pPr>
        <w:pStyle w:val="8"/>
        <w:spacing w:before="0" w:after="0" w:line="360" w:lineRule="auto"/>
        <w:ind w:left="140" w:leftChars="50" w:firstLine="240" w:firstLineChars="100"/>
        <w:rPr>
          <w:rFonts w:ascii="Times New Roman" w:hAnsi="Times New Roman" w:eastAsiaTheme="majorEastAsia"/>
          <w:b w:val="0"/>
          <w:color w:val="auto"/>
          <w:szCs w:val="22"/>
          <w:highlight w:val="none"/>
        </w:rPr>
      </w:pPr>
      <w:r>
        <w:rPr>
          <w:rFonts w:hint="eastAsia" w:ascii="宋体" w:hAnsi="宋体" w:eastAsia="宋体" w:cs="宋体"/>
          <w:b w:val="0"/>
          <w:color w:val="auto"/>
          <w:szCs w:val="22"/>
          <w:highlight w:val="none"/>
        </w:rPr>
        <w:t>①</w:t>
      </w:r>
      <w:r>
        <w:rPr>
          <w:rFonts w:ascii="Times New Roman" w:hAnsi="Times New Roman" w:eastAsiaTheme="majorEastAsia"/>
          <w:b w:val="0"/>
          <w:color w:val="auto"/>
          <w:highlight w:val="none"/>
        </w:rPr>
        <w:t>水文地质调查</w:t>
      </w:r>
    </w:p>
    <w:p>
      <w:pPr>
        <w:ind w:firstLine="480"/>
        <w:rPr>
          <w:sz w:val="24"/>
          <w:szCs w:val="22"/>
          <w:highlight w:val="none"/>
        </w:rPr>
      </w:pPr>
      <w:r>
        <w:rPr>
          <w:rFonts w:hint="eastAsia"/>
          <w:sz w:val="24"/>
          <w:szCs w:val="22"/>
          <w:highlight w:val="none"/>
        </w:rPr>
        <w:t>为了查明评价区的水文地质以及地下水位情况，分别在2018年5月20日和2018年7月20日对研究区进行了</w:t>
      </w:r>
      <w:r>
        <w:rPr>
          <w:sz w:val="24"/>
          <w:szCs w:val="22"/>
          <w:highlight w:val="none"/>
        </w:rPr>
        <w:t>区域水文地质</w:t>
      </w:r>
      <w:r>
        <w:rPr>
          <w:rFonts w:hint="eastAsia"/>
          <w:sz w:val="24"/>
          <w:szCs w:val="22"/>
          <w:highlight w:val="none"/>
        </w:rPr>
        <w:t>调查</w:t>
      </w:r>
      <w:r>
        <w:rPr>
          <w:sz w:val="24"/>
          <w:szCs w:val="22"/>
          <w:highlight w:val="none"/>
        </w:rPr>
        <w:t>，统测评价区的地下水位，调查该区域的地层岩性、含水层厚度以及分布规律；调查该区域内地貌单元的形态和分布规律；调查该区域内已有机民井的位置、井深，井的口径和井管结构，了解其开采形式与开采量。</w:t>
      </w:r>
      <w:r>
        <w:rPr>
          <w:rFonts w:hint="eastAsia"/>
          <w:sz w:val="24"/>
          <w:szCs w:val="22"/>
          <w:highlight w:val="none"/>
        </w:rPr>
        <w:t>调查</w:t>
      </w:r>
      <w:r>
        <w:rPr>
          <w:sz w:val="24"/>
          <w:szCs w:val="22"/>
          <w:highlight w:val="none"/>
        </w:rPr>
        <w:t>观测线路的布置一般沿地质、地貌、水文地质条件变化最大的方向，以垂直地貌单元为主，观测点均匀布置在地质、地貌、地下水具有代表性地段。对一些重要的观测点，采用了数码照相和摄像等手段，记录地质、地貌、水文地质现象。</w:t>
      </w:r>
    </w:p>
    <w:p>
      <w:pPr>
        <w:ind w:firstLine="480"/>
        <w:rPr>
          <w:sz w:val="24"/>
          <w:highlight w:val="none"/>
        </w:rPr>
      </w:pPr>
      <w:r>
        <w:rPr>
          <w:rFonts w:hint="eastAsia"/>
          <w:sz w:val="24"/>
          <w:szCs w:val="22"/>
          <w:highlight w:val="none"/>
        </w:rPr>
        <w:t>本次调查仅关注第四系松散岩类孔隙水的特征，</w:t>
      </w:r>
      <w:r>
        <w:rPr>
          <w:sz w:val="24"/>
          <w:szCs w:val="22"/>
          <w:highlight w:val="none"/>
        </w:rPr>
        <w:t>水位统测采用人工测量方法，分别于</w:t>
      </w:r>
      <w:r>
        <w:rPr>
          <w:rFonts w:hint="eastAsia"/>
          <w:sz w:val="24"/>
          <w:szCs w:val="22"/>
          <w:highlight w:val="none"/>
        </w:rPr>
        <w:t>2018年5月20日和2018年7月25日</w:t>
      </w:r>
      <w:r>
        <w:rPr>
          <w:sz w:val="24"/>
          <w:szCs w:val="22"/>
          <w:highlight w:val="none"/>
        </w:rPr>
        <w:t>在评价区范围内选择了</w:t>
      </w:r>
      <w:r>
        <w:rPr>
          <w:rFonts w:hint="eastAsia"/>
          <w:sz w:val="24"/>
          <w:szCs w:val="22"/>
          <w:highlight w:val="none"/>
        </w:rPr>
        <w:t>14</w:t>
      </w:r>
      <w:r>
        <w:rPr>
          <w:sz w:val="24"/>
          <w:szCs w:val="22"/>
          <w:highlight w:val="none"/>
        </w:rPr>
        <w:t>口浅井，分别对浅层地下水</w:t>
      </w:r>
      <w:r>
        <w:rPr>
          <w:rFonts w:hint="eastAsia"/>
          <w:sz w:val="24"/>
          <w:szCs w:val="22"/>
          <w:highlight w:val="none"/>
        </w:rPr>
        <w:t>水位</w:t>
      </w:r>
      <w:r>
        <w:rPr>
          <w:sz w:val="24"/>
          <w:szCs w:val="22"/>
          <w:highlight w:val="none"/>
        </w:rPr>
        <w:t>进行了水位测量</w:t>
      </w:r>
      <w:r>
        <w:rPr>
          <w:rFonts w:hint="eastAsia"/>
          <w:sz w:val="24"/>
          <w:szCs w:val="22"/>
          <w:highlight w:val="none"/>
        </w:rPr>
        <w:t>并绘制了5月和7月份第四系松散岩类孔隙水地下水水位流场</w:t>
      </w:r>
      <w:r>
        <w:rPr>
          <w:sz w:val="24"/>
          <w:highlight w:val="none"/>
        </w:rPr>
        <w:t>，详见表5.2-1</w:t>
      </w:r>
      <w:r>
        <w:rPr>
          <w:rFonts w:hint="eastAsia"/>
          <w:sz w:val="24"/>
          <w:highlight w:val="none"/>
        </w:rPr>
        <w:t>7</w:t>
      </w:r>
      <w:r>
        <w:rPr>
          <w:sz w:val="24"/>
          <w:highlight w:val="none"/>
        </w:rPr>
        <w:t>和表5.2-1</w:t>
      </w:r>
      <w:r>
        <w:rPr>
          <w:rFonts w:hint="eastAsia"/>
          <w:sz w:val="24"/>
          <w:highlight w:val="none"/>
        </w:rPr>
        <w:t>8</w:t>
      </w:r>
      <w:r>
        <w:rPr>
          <w:sz w:val="24"/>
          <w:highlight w:val="none"/>
        </w:rPr>
        <w:t>。</w:t>
      </w:r>
    </w:p>
    <w:p>
      <w:pPr>
        <w:autoSpaceDE w:val="0"/>
        <w:autoSpaceDN w:val="0"/>
        <w:spacing w:line="240" w:lineRule="auto"/>
        <w:ind w:firstLine="420"/>
        <w:jc w:val="center"/>
        <w:rPr>
          <w:rFonts w:eastAsia="黑体"/>
          <w:sz w:val="21"/>
          <w:szCs w:val="21"/>
          <w:highlight w:val="none"/>
        </w:rPr>
      </w:pPr>
      <w:r>
        <w:rPr>
          <w:rFonts w:eastAsia="黑体"/>
          <w:sz w:val="21"/>
          <w:szCs w:val="21"/>
          <w:highlight w:val="none"/>
        </w:rPr>
        <w:t>表5.2-1</w:t>
      </w:r>
      <w:r>
        <w:rPr>
          <w:rFonts w:hint="eastAsia" w:eastAsia="黑体"/>
          <w:sz w:val="21"/>
          <w:szCs w:val="21"/>
          <w:highlight w:val="none"/>
        </w:rPr>
        <w:t>7</w:t>
      </w:r>
      <w:r>
        <w:rPr>
          <w:rFonts w:eastAsia="黑体"/>
          <w:sz w:val="21"/>
          <w:szCs w:val="21"/>
          <w:highlight w:val="none"/>
        </w:rPr>
        <w:t xml:space="preserve">    2018年5月20日水井调查成果一览表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5"/>
        <w:gridCol w:w="1474"/>
        <w:gridCol w:w="1364"/>
        <w:gridCol w:w="885"/>
        <w:gridCol w:w="1302"/>
        <w:gridCol w:w="1306"/>
        <w:gridCol w:w="13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编号</w:t>
            </w:r>
          </w:p>
        </w:tc>
        <w:tc>
          <w:tcPr>
            <w:tcW w:w="1474" w:type="dxa"/>
            <w:vAlign w:val="center"/>
          </w:tcPr>
          <w:p>
            <w:pPr>
              <w:spacing w:line="240" w:lineRule="auto"/>
              <w:ind w:firstLine="0" w:firstLineChars="0"/>
              <w:jc w:val="center"/>
              <w:rPr>
                <w:sz w:val="21"/>
                <w:szCs w:val="21"/>
                <w:highlight w:val="none"/>
              </w:rPr>
            </w:pPr>
            <w:r>
              <w:rPr>
                <w:sz w:val="21"/>
                <w:szCs w:val="21"/>
                <w:highlight w:val="none"/>
              </w:rPr>
              <w:t>X</w:t>
            </w:r>
          </w:p>
        </w:tc>
        <w:tc>
          <w:tcPr>
            <w:tcW w:w="1364" w:type="dxa"/>
            <w:vAlign w:val="center"/>
          </w:tcPr>
          <w:p>
            <w:pPr>
              <w:spacing w:line="240" w:lineRule="auto"/>
              <w:ind w:firstLine="0" w:firstLineChars="0"/>
              <w:jc w:val="center"/>
              <w:rPr>
                <w:sz w:val="21"/>
                <w:szCs w:val="21"/>
                <w:highlight w:val="none"/>
              </w:rPr>
            </w:pPr>
            <w:r>
              <w:rPr>
                <w:sz w:val="21"/>
                <w:szCs w:val="21"/>
                <w:highlight w:val="none"/>
              </w:rPr>
              <w:t>Y</w:t>
            </w:r>
          </w:p>
        </w:tc>
        <w:tc>
          <w:tcPr>
            <w:tcW w:w="885" w:type="dxa"/>
            <w:vAlign w:val="center"/>
          </w:tcPr>
          <w:p>
            <w:pPr>
              <w:spacing w:line="240" w:lineRule="auto"/>
              <w:ind w:firstLine="0" w:firstLineChars="0"/>
              <w:jc w:val="center"/>
              <w:rPr>
                <w:sz w:val="21"/>
                <w:szCs w:val="21"/>
                <w:highlight w:val="none"/>
              </w:rPr>
            </w:pPr>
            <w:r>
              <w:rPr>
                <w:sz w:val="21"/>
                <w:szCs w:val="21"/>
                <w:highlight w:val="none"/>
              </w:rPr>
              <w:t>井深(m)</w:t>
            </w:r>
          </w:p>
        </w:tc>
        <w:tc>
          <w:tcPr>
            <w:tcW w:w="1302" w:type="dxa"/>
            <w:vAlign w:val="center"/>
          </w:tcPr>
          <w:p>
            <w:pPr>
              <w:spacing w:line="240" w:lineRule="auto"/>
              <w:ind w:firstLine="0" w:firstLineChars="0"/>
              <w:jc w:val="center"/>
              <w:rPr>
                <w:sz w:val="21"/>
                <w:szCs w:val="21"/>
                <w:highlight w:val="none"/>
              </w:rPr>
            </w:pPr>
            <w:r>
              <w:rPr>
                <w:sz w:val="21"/>
                <w:szCs w:val="21"/>
                <w:highlight w:val="none"/>
              </w:rPr>
              <w:t>水位标高(m)</w:t>
            </w:r>
          </w:p>
        </w:tc>
        <w:tc>
          <w:tcPr>
            <w:tcW w:w="1306" w:type="dxa"/>
            <w:vAlign w:val="center"/>
          </w:tcPr>
          <w:p>
            <w:pPr>
              <w:spacing w:line="240" w:lineRule="auto"/>
              <w:ind w:firstLine="0" w:firstLineChars="0"/>
              <w:jc w:val="center"/>
              <w:rPr>
                <w:sz w:val="21"/>
                <w:szCs w:val="21"/>
                <w:highlight w:val="none"/>
              </w:rPr>
            </w:pPr>
            <w:r>
              <w:rPr>
                <w:sz w:val="21"/>
                <w:szCs w:val="21"/>
                <w:highlight w:val="none"/>
              </w:rPr>
              <w:t>水位埋深(m)</w:t>
            </w:r>
          </w:p>
        </w:tc>
        <w:tc>
          <w:tcPr>
            <w:tcW w:w="1306" w:type="dxa"/>
            <w:vAlign w:val="center"/>
          </w:tcPr>
          <w:p>
            <w:pPr>
              <w:spacing w:line="240" w:lineRule="auto"/>
              <w:ind w:firstLine="0" w:firstLineChars="0"/>
              <w:jc w:val="center"/>
              <w:rPr>
                <w:sz w:val="21"/>
                <w:szCs w:val="21"/>
                <w:highlight w:val="none"/>
              </w:rPr>
            </w:pPr>
            <w:r>
              <w:rPr>
                <w:sz w:val="21"/>
                <w:szCs w:val="21"/>
                <w:highlight w:val="none"/>
              </w:rPr>
              <w:t>地面高程(m)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G1</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20566698.63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4447879.13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40.0</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22.24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62.24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G2</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20567220.65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4448679.89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30.0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38.54</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27.27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65.81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G3</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20568282.17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4448301.09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30.0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32.8</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29.18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61.98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G4</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20569417.38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4447818.93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31.74</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19.26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51.00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G5</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20570807.60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4447935.63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34.50</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12.39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46.89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G6</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20571246.57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4446715.24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15.0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26.61</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14.89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41.50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G7</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20570499.85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4446060.99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15.0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26.83</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14.66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41.49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w:t>
            </w:r>
            <w:r>
              <w:rPr>
                <w:rFonts w:hint="eastAsia"/>
                <w:sz w:val="21"/>
                <w:szCs w:val="21"/>
                <w:highlight w:val="none"/>
              </w:rPr>
              <w:t>8</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20568330.01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4446518.15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32.19</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17.49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49.68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w:t>
            </w:r>
            <w:r>
              <w:rPr>
                <w:rFonts w:hint="eastAsia"/>
                <w:sz w:val="21"/>
                <w:szCs w:val="21"/>
                <w:highlight w:val="none"/>
              </w:rPr>
              <w:t>9</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20566601.64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4445783.28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37.1</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12.81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49.91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G10</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20565831.00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4444877.27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37.2</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14.75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51.95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G11</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20568855.07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4444557.18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30.81</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10.14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40.95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G12</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20568360.26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4445569.46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32.81</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14.07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46.88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G13</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20570443.97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4445299.30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26.63</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13.32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39.95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G14</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20571193.79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4443955.60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26.40</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11.00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37.40</w:t>
            </w:r>
          </w:p>
        </w:tc>
      </w:tr>
    </w:tbl>
    <w:p>
      <w:pPr>
        <w:autoSpaceDE w:val="0"/>
        <w:autoSpaceDN w:val="0"/>
        <w:spacing w:line="240" w:lineRule="auto"/>
        <w:ind w:firstLine="420"/>
        <w:jc w:val="center"/>
        <w:rPr>
          <w:rFonts w:eastAsia="黑体"/>
          <w:sz w:val="21"/>
          <w:szCs w:val="21"/>
          <w:highlight w:val="none"/>
        </w:rPr>
      </w:pPr>
    </w:p>
    <w:p>
      <w:pPr>
        <w:widowControl/>
        <w:spacing w:line="240" w:lineRule="auto"/>
        <w:ind w:firstLine="0" w:firstLineChars="0"/>
        <w:textAlignment w:val="auto"/>
        <w:rPr>
          <w:rFonts w:eastAsia="黑体"/>
          <w:sz w:val="21"/>
          <w:szCs w:val="21"/>
          <w:highlight w:val="none"/>
        </w:rPr>
      </w:pPr>
      <w:r>
        <w:rPr>
          <w:rFonts w:eastAsia="黑体"/>
          <w:sz w:val="21"/>
          <w:szCs w:val="21"/>
          <w:highlight w:val="none"/>
        </w:rPr>
        <w:br w:type="page"/>
      </w:r>
    </w:p>
    <w:p>
      <w:pPr>
        <w:autoSpaceDE w:val="0"/>
        <w:autoSpaceDN w:val="0"/>
        <w:spacing w:line="240" w:lineRule="auto"/>
        <w:ind w:firstLine="420"/>
        <w:jc w:val="center"/>
        <w:rPr>
          <w:rFonts w:eastAsia="黑体"/>
          <w:sz w:val="21"/>
          <w:szCs w:val="21"/>
          <w:highlight w:val="none"/>
        </w:rPr>
      </w:pPr>
      <w:r>
        <w:rPr>
          <w:rFonts w:eastAsia="黑体"/>
          <w:sz w:val="21"/>
          <w:szCs w:val="21"/>
          <w:highlight w:val="none"/>
        </w:rPr>
        <w:t>表5.2-1</w:t>
      </w:r>
      <w:r>
        <w:rPr>
          <w:rFonts w:hint="eastAsia" w:eastAsia="黑体"/>
          <w:sz w:val="21"/>
          <w:szCs w:val="21"/>
          <w:highlight w:val="none"/>
        </w:rPr>
        <w:t xml:space="preserve">8 </w:t>
      </w:r>
      <w:r>
        <w:rPr>
          <w:rFonts w:eastAsia="黑体"/>
          <w:sz w:val="21"/>
          <w:szCs w:val="21"/>
          <w:highlight w:val="none"/>
        </w:rPr>
        <w:t xml:space="preserve">   2018年7月2</w:t>
      </w:r>
      <w:r>
        <w:rPr>
          <w:rFonts w:hint="eastAsia" w:eastAsia="黑体"/>
          <w:sz w:val="21"/>
          <w:szCs w:val="21"/>
          <w:highlight w:val="none"/>
        </w:rPr>
        <w:t>5</w:t>
      </w:r>
      <w:r>
        <w:rPr>
          <w:rFonts w:eastAsia="黑体"/>
          <w:sz w:val="21"/>
          <w:szCs w:val="21"/>
          <w:highlight w:val="none"/>
        </w:rPr>
        <w:t>日水井调查成果一览表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95"/>
        <w:gridCol w:w="1485"/>
        <w:gridCol w:w="1382"/>
        <w:gridCol w:w="897"/>
        <w:gridCol w:w="1319"/>
        <w:gridCol w:w="1323"/>
        <w:gridCol w:w="132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blHeader/>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编号</w:t>
            </w:r>
          </w:p>
        </w:tc>
        <w:tc>
          <w:tcPr>
            <w:tcW w:w="1485" w:type="dxa"/>
            <w:vAlign w:val="center"/>
          </w:tcPr>
          <w:p>
            <w:pPr>
              <w:spacing w:line="240" w:lineRule="auto"/>
              <w:ind w:firstLine="0" w:firstLineChars="0"/>
              <w:jc w:val="center"/>
              <w:rPr>
                <w:sz w:val="21"/>
                <w:szCs w:val="21"/>
                <w:highlight w:val="none"/>
              </w:rPr>
            </w:pPr>
            <w:r>
              <w:rPr>
                <w:sz w:val="21"/>
                <w:szCs w:val="21"/>
                <w:highlight w:val="none"/>
              </w:rPr>
              <w:t>X</w:t>
            </w:r>
          </w:p>
        </w:tc>
        <w:tc>
          <w:tcPr>
            <w:tcW w:w="1382" w:type="dxa"/>
            <w:vAlign w:val="center"/>
          </w:tcPr>
          <w:p>
            <w:pPr>
              <w:spacing w:line="240" w:lineRule="auto"/>
              <w:ind w:firstLine="0" w:firstLineChars="0"/>
              <w:jc w:val="center"/>
              <w:rPr>
                <w:sz w:val="21"/>
                <w:szCs w:val="21"/>
                <w:highlight w:val="none"/>
              </w:rPr>
            </w:pPr>
            <w:r>
              <w:rPr>
                <w:sz w:val="21"/>
                <w:szCs w:val="21"/>
                <w:highlight w:val="none"/>
              </w:rPr>
              <w:t>Y</w:t>
            </w:r>
          </w:p>
        </w:tc>
        <w:tc>
          <w:tcPr>
            <w:tcW w:w="897" w:type="dxa"/>
            <w:vAlign w:val="center"/>
          </w:tcPr>
          <w:p>
            <w:pPr>
              <w:spacing w:line="240" w:lineRule="auto"/>
              <w:ind w:firstLine="0" w:firstLineChars="0"/>
              <w:jc w:val="center"/>
              <w:rPr>
                <w:sz w:val="21"/>
                <w:szCs w:val="21"/>
                <w:highlight w:val="none"/>
              </w:rPr>
            </w:pPr>
            <w:r>
              <w:rPr>
                <w:sz w:val="21"/>
                <w:szCs w:val="21"/>
                <w:highlight w:val="none"/>
              </w:rPr>
              <w:t>井深(m)</w:t>
            </w:r>
          </w:p>
        </w:tc>
        <w:tc>
          <w:tcPr>
            <w:tcW w:w="1319" w:type="dxa"/>
            <w:vAlign w:val="center"/>
          </w:tcPr>
          <w:p>
            <w:pPr>
              <w:spacing w:line="240" w:lineRule="auto"/>
              <w:ind w:firstLine="0" w:firstLineChars="0"/>
              <w:jc w:val="center"/>
              <w:rPr>
                <w:sz w:val="21"/>
                <w:szCs w:val="21"/>
                <w:highlight w:val="none"/>
              </w:rPr>
            </w:pPr>
            <w:r>
              <w:rPr>
                <w:sz w:val="21"/>
                <w:szCs w:val="21"/>
                <w:highlight w:val="none"/>
              </w:rPr>
              <w:t>水位标高(m)</w:t>
            </w:r>
          </w:p>
        </w:tc>
        <w:tc>
          <w:tcPr>
            <w:tcW w:w="1323" w:type="dxa"/>
            <w:vAlign w:val="center"/>
          </w:tcPr>
          <w:p>
            <w:pPr>
              <w:spacing w:line="240" w:lineRule="auto"/>
              <w:ind w:firstLine="0" w:firstLineChars="0"/>
              <w:jc w:val="center"/>
              <w:rPr>
                <w:sz w:val="21"/>
                <w:szCs w:val="21"/>
                <w:highlight w:val="none"/>
              </w:rPr>
            </w:pPr>
            <w:r>
              <w:rPr>
                <w:sz w:val="21"/>
                <w:szCs w:val="21"/>
                <w:highlight w:val="none"/>
              </w:rPr>
              <w:t>水位埋深(m)</w:t>
            </w:r>
          </w:p>
        </w:tc>
        <w:tc>
          <w:tcPr>
            <w:tcW w:w="1321" w:type="dxa"/>
            <w:vAlign w:val="center"/>
          </w:tcPr>
          <w:p>
            <w:pPr>
              <w:spacing w:line="240" w:lineRule="auto"/>
              <w:ind w:firstLine="0" w:firstLineChars="0"/>
              <w:jc w:val="center"/>
              <w:rPr>
                <w:sz w:val="21"/>
                <w:szCs w:val="21"/>
                <w:highlight w:val="none"/>
              </w:rPr>
            </w:pPr>
            <w:r>
              <w:rPr>
                <w:sz w:val="21"/>
                <w:szCs w:val="21"/>
                <w:highlight w:val="none"/>
              </w:rPr>
              <w:t>地面高程(m)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G1</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20566698.63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4447879.13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40.4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21.8</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62.24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G2</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20567220.65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4448679.89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30.0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39.1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26.7</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65.81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G3</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20568282.17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4448301.09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30.0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33.2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28.8</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61.98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G4</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20569417.38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4447818.93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32.1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18.9</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51.00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G5</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20570807.60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4447935.63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34.9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12.0</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46.89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G6</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20571246.57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4446715.24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15.0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27.0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14.6</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41.50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G7</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20570499.85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4446060.99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15.0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27.1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14.4</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41.49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G8</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20568330.01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4446518.15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32.6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17.0</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49.68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G9</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20566601.64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4445783.28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37.5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12.4</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49.91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G10</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20565831.00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4444877.27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37.7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14.3</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51.95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G11</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20568855.07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4444557.18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31.0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10.0</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40.95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G12</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20568360.26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4445569.46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33.2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13.7</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46.88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G13</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20570443.97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4445299.30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27.0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13.0</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39.95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95" w:type="dxa"/>
            <w:vAlign w:val="center"/>
          </w:tcPr>
          <w:p>
            <w:pPr>
              <w:spacing w:line="240" w:lineRule="auto"/>
              <w:ind w:firstLine="0" w:firstLineChars="0"/>
              <w:jc w:val="center"/>
              <w:rPr>
                <w:sz w:val="21"/>
                <w:szCs w:val="21"/>
                <w:highlight w:val="none"/>
              </w:rPr>
            </w:pPr>
            <w:r>
              <w:rPr>
                <w:sz w:val="21"/>
                <w:szCs w:val="21"/>
                <w:highlight w:val="none"/>
              </w:rPr>
              <w:t>G14</w:t>
            </w:r>
          </w:p>
        </w:tc>
        <w:tc>
          <w:tcPr>
            <w:tcW w:w="1485" w:type="dxa"/>
            <w:vAlign w:val="center"/>
          </w:tcPr>
          <w:p>
            <w:pPr>
              <w:spacing w:line="240" w:lineRule="auto"/>
              <w:ind w:firstLine="0" w:firstLineChars="0"/>
              <w:jc w:val="center"/>
              <w:rPr>
                <w:sz w:val="21"/>
                <w:szCs w:val="21"/>
                <w:highlight w:val="none"/>
              </w:rPr>
            </w:pPr>
            <w:r>
              <w:rPr>
                <w:sz w:val="21"/>
                <w:szCs w:val="21"/>
                <w:highlight w:val="none"/>
              </w:rPr>
              <w:t xml:space="preserve">20571193.79 </w:t>
            </w:r>
          </w:p>
        </w:tc>
        <w:tc>
          <w:tcPr>
            <w:tcW w:w="1382" w:type="dxa"/>
            <w:vAlign w:val="center"/>
          </w:tcPr>
          <w:p>
            <w:pPr>
              <w:spacing w:line="240" w:lineRule="auto"/>
              <w:ind w:firstLine="0" w:firstLineChars="0"/>
              <w:jc w:val="center"/>
              <w:rPr>
                <w:sz w:val="21"/>
                <w:szCs w:val="21"/>
                <w:highlight w:val="none"/>
              </w:rPr>
            </w:pPr>
            <w:r>
              <w:rPr>
                <w:sz w:val="21"/>
                <w:szCs w:val="21"/>
                <w:highlight w:val="none"/>
              </w:rPr>
              <w:t xml:space="preserve">4443955.60 </w:t>
            </w:r>
          </w:p>
        </w:tc>
        <w:tc>
          <w:tcPr>
            <w:tcW w:w="897"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19" w:type="dxa"/>
            <w:vAlign w:val="center"/>
          </w:tcPr>
          <w:p>
            <w:pPr>
              <w:spacing w:line="240" w:lineRule="auto"/>
              <w:ind w:firstLine="0" w:firstLineChars="0"/>
              <w:jc w:val="center"/>
              <w:rPr>
                <w:sz w:val="21"/>
                <w:szCs w:val="21"/>
                <w:highlight w:val="none"/>
              </w:rPr>
            </w:pPr>
            <w:r>
              <w:rPr>
                <w:sz w:val="21"/>
                <w:szCs w:val="21"/>
                <w:highlight w:val="none"/>
              </w:rPr>
              <w:t xml:space="preserve">26.7 </w:t>
            </w:r>
          </w:p>
        </w:tc>
        <w:tc>
          <w:tcPr>
            <w:tcW w:w="1323" w:type="dxa"/>
            <w:vAlign w:val="center"/>
          </w:tcPr>
          <w:p>
            <w:pPr>
              <w:spacing w:line="240" w:lineRule="auto"/>
              <w:ind w:firstLine="0" w:firstLineChars="0"/>
              <w:jc w:val="center"/>
              <w:rPr>
                <w:sz w:val="21"/>
                <w:szCs w:val="21"/>
                <w:highlight w:val="none"/>
              </w:rPr>
            </w:pPr>
            <w:r>
              <w:rPr>
                <w:rFonts w:hint="eastAsia"/>
                <w:sz w:val="21"/>
                <w:szCs w:val="21"/>
                <w:highlight w:val="none"/>
              </w:rPr>
              <w:t>10.7</w:t>
            </w:r>
          </w:p>
        </w:tc>
        <w:tc>
          <w:tcPr>
            <w:tcW w:w="1321" w:type="dxa"/>
            <w:vAlign w:val="center"/>
          </w:tcPr>
          <w:p>
            <w:pPr>
              <w:spacing w:line="240" w:lineRule="auto"/>
              <w:ind w:firstLine="0" w:firstLineChars="0"/>
              <w:jc w:val="center"/>
              <w:rPr>
                <w:sz w:val="21"/>
                <w:szCs w:val="21"/>
                <w:highlight w:val="none"/>
              </w:rPr>
            </w:pPr>
            <w:r>
              <w:rPr>
                <w:rFonts w:hint="eastAsia"/>
                <w:sz w:val="21"/>
                <w:szCs w:val="21"/>
                <w:highlight w:val="none"/>
              </w:rPr>
              <w:t>37.40</w:t>
            </w:r>
          </w:p>
        </w:tc>
      </w:tr>
    </w:tbl>
    <w:p>
      <w:pPr>
        <w:pStyle w:val="8"/>
        <w:spacing w:line="360" w:lineRule="auto"/>
        <w:ind w:left="140" w:leftChars="50" w:firstLine="240" w:firstLineChars="100"/>
        <w:rPr>
          <w:rFonts w:ascii="Times New Roman" w:hAnsi="Times New Roman"/>
          <w:b w:val="0"/>
          <w:color w:val="auto"/>
          <w:szCs w:val="24"/>
          <w:highlight w:val="none"/>
        </w:rPr>
      </w:pPr>
      <w:r>
        <w:rPr>
          <w:rFonts w:hint="eastAsia" w:ascii="宋体" w:hAnsi="宋体" w:eastAsia="宋体" w:cs="宋体"/>
          <w:b w:val="0"/>
          <w:color w:val="auto"/>
          <w:szCs w:val="24"/>
          <w:highlight w:val="none"/>
        </w:rPr>
        <w:t>②</w:t>
      </w:r>
      <w:r>
        <w:rPr>
          <w:rFonts w:ascii="Times New Roman" w:hAnsi="Times New Roman"/>
          <w:b w:val="0"/>
          <w:color w:val="auto"/>
          <w:szCs w:val="24"/>
          <w:highlight w:val="none"/>
        </w:rPr>
        <w:t>评价区水文地质试验</w:t>
      </w:r>
    </w:p>
    <w:p>
      <w:pPr>
        <w:ind w:firstLine="480"/>
        <w:rPr>
          <w:sz w:val="24"/>
          <w:highlight w:val="none"/>
        </w:rPr>
      </w:pPr>
      <w:r>
        <w:rPr>
          <w:sz w:val="24"/>
          <w:highlight w:val="none"/>
        </w:rPr>
        <w:t>该项工作包括抽水试验和渗水试验。抽水试验具体要求参照《供水水文地质勘察规范》（GB 50027-2001）进行。同时，通过双环渗水试验测试包气带渗透性能，综合分析包气带的天然防渗性能，为拟建厂区地下水污染防治措施的设计提供科学依据。</w:t>
      </w:r>
    </w:p>
    <w:p>
      <w:pPr>
        <w:autoSpaceDE w:val="0"/>
        <w:autoSpaceDN w:val="0"/>
        <w:ind w:firstLine="482"/>
        <w:rPr>
          <w:b/>
          <w:sz w:val="24"/>
          <w:highlight w:val="none"/>
        </w:rPr>
      </w:pPr>
      <w:r>
        <w:rPr>
          <w:b/>
          <w:sz w:val="24"/>
          <w:highlight w:val="none"/>
        </w:rPr>
        <w:t>a.抽水试验</w:t>
      </w:r>
    </w:p>
    <w:p>
      <w:pPr>
        <w:autoSpaceDE w:val="0"/>
        <w:autoSpaceDN w:val="0"/>
        <w:ind w:firstLine="480"/>
        <w:rPr>
          <w:sz w:val="24"/>
          <w:highlight w:val="none"/>
        </w:rPr>
      </w:pPr>
      <w:r>
        <w:rPr>
          <w:sz w:val="24"/>
          <w:highlight w:val="none"/>
        </w:rPr>
        <w:t>为了查明评价区的水文地质参数，本次野外抽水试验分别在西新店子村、项目东南750m和大曹各寨村三个试验点进行了三次抽水试验。</w:t>
      </w:r>
    </w:p>
    <w:p>
      <w:pPr>
        <w:autoSpaceDE w:val="0"/>
        <w:autoSpaceDN w:val="0"/>
        <w:ind w:firstLine="480"/>
        <w:rPr>
          <w:sz w:val="24"/>
          <w:highlight w:val="none"/>
        </w:rPr>
      </w:pPr>
      <w:r>
        <w:rPr>
          <w:sz w:val="24"/>
          <w:highlight w:val="none"/>
        </w:rPr>
        <w:t>西新店子村抽水试验井深为</w:t>
      </w:r>
      <w:r>
        <w:rPr>
          <w:rFonts w:hint="eastAsia"/>
          <w:sz w:val="24"/>
          <w:highlight w:val="none"/>
        </w:rPr>
        <w:t>30</w:t>
      </w:r>
      <w:r>
        <w:rPr>
          <w:sz w:val="24"/>
          <w:highlight w:val="none"/>
        </w:rPr>
        <w:t>m，井径0.3m，静止水位埋深17.39m，整个抽水试验历时10个小时，其中抽水试验阶段历时5个小时，水位稳定时间4小时40分钟，恢复试验阶段历时5个小时，水位最大降深为3.09m，涌水量为51.0m</w:t>
      </w:r>
      <w:r>
        <w:rPr>
          <w:sz w:val="24"/>
          <w:highlight w:val="none"/>
          <w:vertAlign w:val="superscript"/>
        </w:rPr>
        <w:t>3</w:t>
      </w:r>
      <w:r>
        <w:rPr>
          <w:sz w:val="24"/>
          <w:highlight w:val="none"/>
        </w:rPr>
        <w:t>/h，抽水试验结束时刻水位恢复至试验前水位（表5.2-1</w:t>
      </w:r>
      <w:r>
        <w:rPr>
          <w:rFonts w:hint="eastAsia"/>
          <w:sz w:val="24"/>
          <w:highlight w:val="none"/>
        </w:rPr>
        <w:t>9</w:t>
      </w:r>
      <w:r>
        <w:rPr>
          <w:sz w:val="24"/>
          <w:highlight w:val="none"/>
        </w:rPr>
        <w:t>）。图5.2-</w:t>
      </w:r>
      <w:r>
        <w:rPr>
          <w:rFonts w:hint="eastAsia"/>
          <w:sz w:val="24"/>
          <w:highlight w:val="none"/>
        </w:rPr>
        <w:t>9</w:t>
      </w:r>
      <w:r>
        <w:rPr>
          <w:sz w:val="24"/>
          <w:highlight w:val="none"/>
        </w:rPr>
        <w:t>和图5.2-1</w:t>
      </w:r>
      <w:r>
        <w:rPr>
          <w:rFonts w:hint="eastAsia"/>
          <w:sz w:val="24"/>
          <w:highlight w:val="none"/>
        </w:rPr>
        <w:t>0</w:t>
      </w:r>
      <w:r>
        <w:rPr>
          <w:sz w:val="24"/>
          <w:highlight w:val="none"/>
        </w:rPr>
        <w:t>为抽水试验水位降深和水位埋深分别对时间的变化曲线。</w:t>
      </w:r>
    </w:p>
    <w:p>
      <w:pPr>
        <w:widowControl/>
        <w:spacing w:line="240" w:lineRule="auto"/>
        <w:ind w:firstLine="0" w:firstLineChars="0"/>
        <w:textAlignment w:val="auto"/>
        <w:rPr>
          <w:rFonts w:eastAsia="黑体"/>
          <w:sz w:val="21"/>
          <w:szCs w:val="21"/>
          <w:highlight w:val="none"/>
        </w:rPr>
      </w:pPr>
      <w:r>
        <w:rPr>
          <w:rFonts w:eastAsia="黑体"/>
          <w:sz w:val="21"/>
          <w:szCs w:val="21"/>
          <w:highlight w:val="none"/>
        </w:rPr>
        <w:br w:type="page"/>
      </w:r>
    </w:p>
    <w:p>
      <w:pPr>
        <w:autoSpaceDE w:val="0"/>
        <w:autoSpaceDN w:val="0"/>
        <w:spacing w:line="240" w:lineRule="auto"/>
        <w:ind w:firstLine="420"/>
        <w:jc w:val="center"/>
        <w:rPr>
          <w:rFonts w:eastAsia="黑体"/>
          <w:sz w:val="21"/>
          <w:szCs w:val="21"/>
          <w:highlight w:val="none"/>
        </w:rPr>
      </w:pPr>
      <w:r>
        <w:rPr>
          <w:rFonts w:eastAsia="黑体"/>
          <w:sz w:val="21"/>
          <w:szCs w:val="21"/>
          <w:highlight w:val="none"/>
        </w:rPr>
        <w:t>表5.2-1</w:t>
      </w:r>
      <w:r>
        <w:rPr>
          <w:rFonts w:hint="eastAsia" w:eastAsia="黑体"/>
          <w:sz w:val="21"/>
          <w:szCs w:val="21"/>
          <w:highlight w:val="none"/>
        </w:rPr>
        <w:t>9</w:t>
      </w:r>
      <w:r>
        <w:rPr>
          <w:rFonts w:eastAsia="黑体"/>
          <w:sz w:val="21"/>
          <w:szCs w:val="21"/>
          <w:highlight w:val="none"/>
        </w:rPr>
        <w:t>西新店子村抽水试验结果</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1"/>
        <w:gridCol w:w="1163"/>
        <w:gridCol w:w="1164"/>
        <w:gridCol w:w="1578"/>
        <w:gridCol w:w="1520"/>
        <w:gridCol w:w="1078"/>
        <w:gridCol w:w="85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试验</w:t>
            </w:r>
          </w:p>
          <w:p>
            <w:pPr>
              <w:spacing w:line="280" w:lineRule="exact"/>
              <w:ind w:firstLine="0" w:firstLineChars="0"/>
              <w:jc w:val="center"/>
              <w:rPr>
                <w:sz w:val="21"/>
                <w:szCs w:val="21"/>
                <w:highlight w:val="none"/>
              </w:rPr>
            </w:pPr>
            <w:r>
              <w:rPr>
                <w:sz w:val="21"/>
                <w:szCs w:val="21"/>
                <w:highlight w:val="none"/>
              </w:rPr>
              <w:t>时间</w:t>
            </w:r>
          </w:p>
        </w:tc>
        <w:tc>
          <w:tcPr>
            <w:tcW w:w="2327" w:type="dxa"/>
            <w:gridSpan w:val="2"/>
            <w:vAlign w:val="center"/>
          </w:tcPr>
          <w:p>
            <w:pPr>
              <w:spacing w:line="280" w:lineRule="exact"/>
              <w:ind w:firstLine="0" w:firstLineChars="0"/>
              <w:jc w:val="center"/>
              <w:rPr>
                <w:sz w:val="21"/>
                <w:szCs w:val="21"/>
                <w:highlight w:val="none"/>
              </w:rPr>
            </w:pPr>
            <w:r>
              <w:rPr>
                <w:sz w:val="21"/>
                <w:szCs w:val="21"/>
                <w:highlight w:val="none"/>
              </w:rPr>
              <w:t>2018.7.28</w:t>
            </w:r>
          </w:p>
        </w:tc>
        <w:tc>
          <w:tcPr>
            <w:tcW w:w="1578" w:type="dxa"/>
            <w:vAlign w:val="center"/>
          </w:tcPr>
          <w:p>
            <w:pPr>
              <w:spacing w:line="280" w:lineRule="exact"/>
              <w:ind w:firstLine="0" w:firstLineChars="0"/>
              <w:jc w:val="center"/>
              <w:rPr>
                <w:sz w:val="21"/>
                <w:szCs w:val="21"/>
                <w:highlight w:val="none"/>
              </w:rPr>
            </w:pPr>
            <w:r>
              <w:rPr>
                <w:sz w:val="21"/>
                <w:szCs w:val="21"/>
                <w:highlight w:val="none"/>
              </w:rPr>
              <w:t>井深</w:t>
            </w:r>
          </w:p>
        </w:tc>
        <w:tc>
          <w:tcPr>
            <w:tcW w:w="1520" w:type="dxa"/>
            <w:vAlign w:val="center"/>
          </w:tcPr>
          <w:p>
            <w:pPr>
              <w:spacing w:line="280" w:lineRule="exact"/>
              <w:ind w:firstLine="0" w:firstLineChars="0"/>
              <w:jc w:val="center"/>
              <w:rPr>
                <w:sz w:val="21"/>
                <w:szCs w:val="21"/>
                <w:highlight w:val="none"/>
              </w:rPr>
            </w:pPr>
            <w:r>
              <w:rPr>
                <w:rFonts w:hint="eastAsia"/>
                <w:sz w:val="21"/>
                <w:szCs w:val="21"/>
                <w:highlight w:val="none"/>
              </w:rPr>
              <w:t>30</w:t>
            </w:r>
            <w:r>
              <w:rPr>
                <w:sz w:val="21"/>
                <w:szCs w:val="21"/>
                <w:highlight w:val="none"/>
              </w:rPr>
              <w:t>m</w:t>
            </w:r>
          </w:p>
        </w:tc>
        <w:tc>
          <w:tcPr>
            <w:tcW w:w="1078" w:type="dxa"/>
            <w:vAlign w:val="center"/>
          </w:tcPr>
          <w:p>
            <w:pPr>
              <w:spacing w:line="280" w:lineRule="exact"/>
              <w:ind w:firstLine="0" w:firstLineChars="0"/>
              <w:jc w:val="center"/>
              <w:rPr>
                <w:sz w:val="21"/>
                <w:szCs w:val="21"/>
                <w:highlight w:val="none"/>
              </w:rPr>
            </w:pPr>
            <w:r>
              <w:rPr>
                <w:sz w:val="21"/>
                <w:szCs w:val="21"/>
                <w:highlight w:val="none"/>
              </w:rPr>
              <w:t>井径</w:t>
            </w:r>
          </w:p>
        </w:tc>
        <w:tc>
          <w:tcPr>
            <w:tcW w:w="858" w:type="dxa"/>
            <w:vAlign w:val="center"/>
          </w:tcPr>
          <w:p>
            <w:pPr>
              <w:spacing w:line="280" w:lineRule="exact"/>
              <w:ind w:firstLine="0" w:firstLineChars="0"/>
              <w:jc w:val="center"/>
              <w:rPr>
                <w:sz w:val="21"/>
                <w:szCs w:val="21"/>
                <w:highlight w:val="none"/>
              </w:rPr>
            </w:pPr>
            <w:r>
              <w:rPr>
                <w:sz w:val="21"/>
                <w:szCs w:val="21"/>
                <w:highlight w:val="none"/>
              </w:rPr>
              <w:t>300</w:t>
            </w:r>
            <w:r>
              <w:rPr>
                <w:rFonts w:hint="eastAsia"/>
                <w:sz w:val="21"/>
                <w:szCs w:val="21"/>
                <w:highlight w:val="none"/>
              </w:rPr>
              <w:t>m</w:t>
            </w:r>
            <w:r>
              <w:rPr>
                <w:sz w:val="21"/>
                <w:szCs w:val="21"/>
                <w:highlight w:val="none"/>
              </w:rPr>
              <w:t>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地点</w:t>
            </w:r>
          </w:p>
        </w:tc>
        <w:tc>
          <w:tcPr>
            <w:tcW w:w="2327" w:type="dxa"/>
            <w:gridSpan w:val="2"/>
            <w:vAlign w:val="center"/>
          </w:tcPr>
          <w:p>
            <w:pPr>
              <w:spacing w:line="280" w:lineRule="exact"/>
              <w:ind w:firstLine="0" w:firstLineChars="0"/>
              <w:jc w:val="center"/>
              <w:rPr>
                <w:sz w:val="21"/>
                <w:szCs w:val="21"/>
                <w:highlight w:val="none"/>
              </w:rPr>
            </w:pPr>
            <w:r>
              <w:rPr>
                <w:sz w:val="21"/>
                <w:szCs w:val="21"/>
                <w:highlight w:val="none"/>
              </w:rPr>
              <w:t>西新店子村</w:t>
            </w:r>
          </w:p>
        </w:tc>
        <w:tc>
          <w:tcPr>
            <w:tcW w:w="3098" w:type="dxa"/>
            <w:gridSpan w:val="2"/>
            <w:vAlign w:val="center"/>
          </w:tcPr>
          <w:p>
            <w:pPr>
              <w:spacing w:line="280" w:lineRule="exact"/>
              <w:ind w:firstLine="0" w:firstLineChars="0"/>
              <w:jc w:val="center"/>
              <w:rPr>
                <w:sz w:val="21"/>
                <w:szCs w:val="21"/>
                <w:highlight w:val="none"/>
              </w:rPr>
            </w:pPr>
            <w:r>
              <w:rPr>
                <w:sz w:val="21"/>
                <w:szCs w:val="21"/>
                <w:highlight w:val="none"/>
              </w:rPr>
              <w:t>静止水位埋深</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17.39m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1161" w:type="dxa"/>
            <w:vMerge w:val="restart"/>
            <w:vAlign w:val="center"/>
          </w:tcPr>
          <w:p>
            <w:pPr>
              <w:spacing w:line="280" w:lineRule="exact"/>
              <w:ind w:firstLine="0" w:firstLineChars="0"/>
              <w:jc w:val="center"/>
              <w:rPr>
                <w:sz w:val="21"/>
                <w:szCs w:val="21"/>
                <w:highlight w:val="none"/>
              </w:rPr>
            </w:pPr>
            <w:r>
              <w:rPr>
                <w:sz w:val="21"/>
                <w:szCs w:val="21"/>
                <w:highlight w:val="none"/>
              </w:rPr>
              <w:t>抽水</w:t>
            </w:r>
          </w:p>
          <w:p>
            <w:pPr>
              <w:spacing w:line="280" w:lineRule="exact"/>
              <w:ind w:firstLine="0" w:firstLineChars="0"/>
              <w:jc w:val="center"/>
              <w:rPr>
                <w:sz w:val="21"/>
                <w:szCs w:val="21"/>
                <w:highlight w:val="none"/>
              </w:rPr>
            </w:pPr>
            <w:r>
              <w:rPr>
                <w:sz w:val="21"/>
                <w:szCs w:val="21"/>
                <w:highlight w:val="none"/>
              </w:rPr>
              <w:t>试验</w:t>
            </w:r>
          </w:p>
        </w:tc>
        <w:tc>
          <w:tcPr>
            <w:tcW w:w="1163" w:type="dxa"/>
            <w:vAlign w:val="center"/>
          </w:tcPr>
          <w:p>
            <w:pPr>
              <w:spacing w:line="280" w:lineRule="exact"/>
              <w:ind w:firstLine="0" w:firstLineChars="0"/>
              <w:jc w:val="center"/>
              <w:rPr>
                <w:sz w:val="21"/>
                <w:szCs w:val="21"/>
                <w:highlight w:val="none"/>
              </w:rPr>
            </w:pPr>
            <w:r>
              <w:rPr>
                <w:sz w:val="21"/>
                <w:szCs w:val="21"/>
                <w:highlight w:val="none"/>
              </w:rPr>
              <w:t>抽水试验</w:t>
            </w:r>
          </w:p>
          <w:p>
            <w:pPr>
              <w:spacing w:line="280" w:lineRule="exact"/>
              <w:ind w:firstLine="0" w:firstLineChars="0"/>
              <w:jc w:val="center"/>
              <w:rPr>
                <w:sz w:val="21"/>
                <w:szCs w:val="21"/>
                <w:highlight w:val="none"/>
              </w:rPr>
            </w:pPr>
            <w:r>
              <w:rPr>
                <w:sz w:val="21"/>
                <w:szCs w:val="21"/>
                <w:highlight w:val="none"/>
              </w:rPr>
              <w:t>时间</w:t>
            </w:r>
          </w:p>
        </w:tc>
        <w:tc>
          <w:tcPr>
            <w:tcW w:w="1164" w:type="dxa"/>
            <w:vAlign w:val="center"/>
          </w:tcPr>
          <w:p>
            <w:pPr>
              <w:spacing w:line="280" w:lineRule="exact"/>
              <w:ind w:firstLine="0" w:firstLineChars="0"/>
              <w:jc w:val="center"/>
              <w:rPr>
                <w:sz w:val="21"/>
                <w:szCs w:val="21"/>
                <w:highlight w:val="none"/>
              </w:rPr>
            </w:pPr>
            <w:r>
              <w:rPr>
                <w:sz w:val="21"/>
                <w:szCs w:val="21"/>
                <w:highlight w:val="none"/>
              </w:rPr>
              <w:t>稳定</w:t>
            </w:r>
          </w:p>
          <w:p>
            <w:pPr>
              <w:spacing w:line="280" w:lineRule="exact"/>
              <w:ind w:firstLine="0" w:firstLineChars="0"/>
              <w:jc w:val="center"/>
              <w:rPr>
                <w:sz w:val="21"/>
                <w:szCs w:val="21"/>
                <w:highlight w:val="none"/>
              </w:rPr>
            </w:pPr>
            <w:r>
              <w:rPr>
                <w:sz w:val="21"/>
                <w:szCs w:val="21"/>
                <w:highlight w:val="none"/>
              </w:rPr>
              <w:t>时间</w:t>
            </w:r>
          </w:p>
        </w:tc>
        <w:tc>
          <w:tcPr>
            <w:tcW w:w="1578" w:type="dxa"/>
            <w:vAlign w:val="center"/>
          </w:tcPr>
          <w:p>
            <w:pPr>
              <w:spacing w:line="280" w:lineRule="exact"/>
              <w:ind w:firstLine="0" w:firstLineChars="0"/>
              <w:jc w:val="center"/>
              <w:rPr>
                <w:sz w:val="21"/>
                <w:szCs w:val="21"/>
                <w:highlight w:val="none"/>
              </w:rPr>
            </w:pPr>
            <w:r>
              <w:rPr>
                <w:sz w:val="21"/>
                <w:szCs w:val="21"/>
                <w:highlight w:val="none"/>
              </w:rPr>
              <w:t>抽水量</w:t>
            </w:r>
          </w:p>
        </w:tc>
        <w:tc>
          <w:tcPr>
            <w:tcW w:w="1520" w:type="dxa"/>
            <w:vAlign w:val="center"/>
          </w:tcPr>
          <w:p>
            <w:pPr>
              <w:spacing w:line="280" w:lineRule="exact"/>
              <w:ind w:firstLine="0" w:firstLineChars="0"/>
              <w:jc w:val="center"/>
              <w:rPr>
                <w:sz w:val="21"/>
                <w:szCs w:val="21"/>
                <w:highlight w:val="none"/>
              </w:rPr>
            </w:pPr>
            <w:r>
              <w:rPr>
                <w:sz w:val="21"/>
                <w:szCs w:val="21"/>
                <w:highlight w:val="none"/>
              </w:rPr>
              <w:t>降深</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单位涌水量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2" w:hRule="atLeast"/>
        </w:trPr>
        <w:tc>
          <w:tcPr>
            <w:tcW w:w="1161" w:type="dxa"/>
            <w:vMerge w:val="continue"/>
            <w:vAlign w:val="center"/>
          </w:tcPr>
          <w:p>
            <w:pPr>
              <w:spacing w:line="280" w:lineRule="exact"/>
              <w:ind w:firstLine="0" w:firstLineChars="0"/>
              <w:jc w:val="center"/>
              <w:rPr>
                <w:sz w:val="21"/>
                <w:szCs w:val="21"/>
                <w:highlight w:val="none"/>
              </w:rPr>
            </w:pPr>
          </w:p>
        </w:tc>
        <w:tc>
          <w:tcPr>
            <w:tcW w:w="1163" w:type="dxa"/>
            <w:vAlign w:val="center"/>
          </w:tcPr>
          <w:p>
            <w:pPr>
              <w:spacing w:line="280" w:lineRule="exact"/>
              <w:ind w:firstLine="0" w:firstLineChars="0"/>
              <w:jc w:val="center"/>
              <w:rPr>
                <w:sz w:val="21"/>
                <w:szCs w:val="21"/>
                <w:highlight w:val="none"/>
              </w:rPr>
            </w:pPr>
            <w:r>
              <w:rPr>
                <w:sz w:val="21"/>
                <w:szCs w:val="21"/>
                <w:highlight w:val="none"/>
              </w:rPr>
              <w:t>h</w:t>
            </w:r>
          </w:p>
        </w:tc>
        <w:tc>
          <w:tcPr>
            <w:tcW w:w="1164" w:type="dxa"/>
            <w:vAlign w:val="center"/>
          </w:tcPr>
          <w:p>
            <w:pPr>
              <w:spacing w:line="280" w:lineRule="exact"/>
              <w:ind w:firstLine="0" w:firstLineChars="0"/>
              <w:jc w:val="center"/>
              <w:rPr>
                <w:sz w:val="21"/>
                <w:szCs w:val="21"/>
                <w:highlight w:val="none"/>
              </w:rPr>
            </w:pPr>
            <w:r>
              <w:rPr>
                <w:sz w:val="21"/>
                <w:szCs w:val="21"/>
                <w:highlight w:val="none"/>
              </w:rPr>
              <w:t>h</w:t>
            </w:r>
          </w:p>
        </w:tc>
        <w:tc>
          <w:tcPr>
            <w:tcW w:w="1578" w:type="dxa"/>
            <w:vAlign w:val="center"/>
          </w:tcPr>
          <w:p>
            <w:pPr>
              <w:spacing w:line="280" w:lineRule="exact"/>
              <w:ind w:firstLine="0" w:firstLineChars="0"/>
              <w:jc w:val="center"/>
              <w:rPr>
                <w:sz w:val="21"/>
                <w:szCs w:val="21"/>
                <w:highlight w:val="none"/>
              </w:rPr>
            </w:pPr>
            <w:r>
              <w:rPr>
                <w:sz w:val="21"/>
                <w:szCs w:val="21"/>
                <w:highlight w:val="none"/>
              </w:rPr>
              <w:t>m³/h</w:t>
            </w:r>
          </w:p>
        </w:tc>
        <w:tc>
          <w:tcPr>
            <w:tcW w:w="1520" w:type="dxa"/>
            <w:vAlign w:val="center"/>
          </w:tcPr>
          <w:p>
            <w:pPr>
              <w:spacing w:line="280" w:lineRule="exact"/>
              <w:ind w:firstLine="0" w:firstLineChars="0"/>
              <w:jc w:val="center"/>
              <w:rPr>
                <w:sz w:val="21"/>
                <w:szCs w:val="21"/>
                <w:highlight w:val="none"/>
              </w:rPr>
            </w:pPr>
            <w:r>
              <w:rPr>
                <w:sz w:val="21"/>
                <w:szCs w:val="21"/>
                <w:highlight w:val="none"/>
              </w:rPr>
              <w:t>m</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m³/h·m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抽水井</w:t>
            </w:r>
          </w:p>
        </w:tc>
        <w:tc>
          <w:tcPr>
            <w:tcW w:w="1163" w:type="dxa"/>
            <w:vAlign w:val="center"/>
          </w:tcPr>
          <w:p>
            <w:pPr>
              <w:spacing w:line="280" w:lineRule="exact"/>
              <w:ind w:firstLine="199" w:firstLineChars="95"/>
              <w:rPr>
                <w:sz w:val="21"/>
                <w:szCs w:val="21"/>
                <w:highlight w:val="none"/>
              </w:rPr>
            </w:pPr>
            <w:r>
              <w:rPr>
                <w:sz w:val="21"/>
                <w:szCs w:val="21"/>
                <w:highlight w:val="none"/>
              </w:rPr>
              <w:t>10:00</w:t>
            </w:r>
          </w:p>
        </w:tc>
        <w:tc>
          <w:tcPr>
            <w:tcW w:w="1164" w:type="dxa"/>
            <w:vAlign w:val="center"/>
          </w:tcPr>
          <w:p>
            <w:pPr>
              <w:spacing w:line="280" w:lineRule="exact"/>
              <w:ind w:firstLine="199" w:firstLineChars="95"/>
              <w:rPr>
                <w:sz w:val="21"/>
                <w:szCs w:val="21"/>
                <w:highlight w:val="none"/>
              </w:rPr>
            </w:pPr>
            <w:r>
              <w:rPr>
                <w:sz w:val="21"/>
                <w:szCs w:val="21"/>
                <w:highlight w:val="none"/>
              </w:rPr>
              <w:t>4:40</w:t>
            </w:r>
          </w:p>
        </w:tc>
        <w:tc>
          <w:tcPr>
            <w:tcW w:w="1578" w:type="dxa"/>
            <w:vAlign w:val="center"/>
          </w:tcPr>
          <w:p>
            <w:pPr>
              <w:spacing w:line="280" w:lineRule="exact"/>
              <w:ind w:firstLine="0" w:firstLineChars="0"/>
              <w:jc w:val="center"/>
              <w:rPr>
                <w:sz w:val="21"/>
                <w:szCs w:val="21"/>
                <w:highlight w:val="none"/>
              </w:rPr>
            </w:pPr>
            <w:r>
              <w:rPr>
                <w:sz w:val="21"/>
                <w:szCs w:val="21"/>
                <w:highlight w:val="none"/>
              </w:rPr>
              <w:t>51.0</w:t>
            </w:r>
          </w:p>
        </w:tc>
        <w:tc>
          <w:tcPr>
            <w:tcW w:w="1520" w:type="dxa"/>
            <w:vAlign w:val="center"/>
          </w:tcPr>
          <w:p>
            <w:pPr>
              <w:spacing w:line="280" w:lineRule="exact"/>
              <w:ind w:firstLine="420"/>
              <w:rPr>
                <w:sz w:val="21"/>
                <w:szCs w:val="21"/>
                <w:highlight w:val="none"/>
              </w:rPr>
            </w:pPr>
            <w:r>
              <w:rPr>
                <w:sz w:val="21"/>
                <w:szCs w:val="21"/>
                <w:highlight w:val="none"/>
              </w:rPr>
              <w:t>3.09</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16.505</w:t>
            </w:r>
          </w:p>
        </w:tc>
      </w:tr>
    </w:tbl>
    <w:p>
      <w:pPr>
        <w:autoSpaceDE w:val="0"/>
        <w:autoSpaceDN w:val="0"/>
        <w:ind w:firstLine="0" w:firstLineChars="0"/>
        <w:jc w:val="center"/>
        <w:rPr>
          <w:sz w:val="24"/>
          <w:highlight w:val="none"/>
        </w:rPr>
      </w:pPr>
    </w:p>
    <w:p>
      <w:pPr>
        <w:autoSpaceDE w:val="0"/>
        <w:autoSpaceDN w:val="0"/>
        <w:ind w:firstLine="0" w:firstLineChars="0"/>
        <w:jc w:val="center"/>
        <w:rPr>
          <w:sz w:val="24"/>
          <w:highlight w:val="none"/>
        </w:rPr>
      </w:pPr>
      <w:r>
        <w:rPr>
          <w:sz w:val="24"/>
          <w:highlight w:val="none"/>
        </w:rPr>
        <w:drawing>
          <wp:inline distT="0" distB="0" distL="0" distR="0">
            <wp:extent cx="4591050" cy="2409825"/>
            <wp:effectExtent l="19050" t="0" r="0" b="0"/>
            <wp:docPr id="26" name="图表 1"/>
            <wp:cNvGraphicFramePr/>
            <a:graphic xmlns:a="http://schemas.openxmlformats.org/drawingml/2006/main">
              <a:graphicData uri="http://schemas.openxmlformats.org/drawingml/2006/picture">
                <pic:pic xmlns:pic="http://schemas.openxmlformats.org/drawingml/2006/picture">
                  <pic:nvPicPr>
                    <pic:cNvPr id="26" name="图表 1"/>
                    <pic:cNvPicPr>
                      <a:picLocks noChangeArrowheads="1"/>
                    </pic:cNvPicPr>
                  </pic:nvPicPr>
                  <pic:blipFill>
                    <a:blip r:embed="rId52" cstate="print"/>
                    <a:srcRect/>
                    <a:stretch>
                      <a:fillRect/>
                    </a:stretch>
                  </pic:blipFill>
                  <pic:spPr>
                    <a:xfrm>
                      <a:off x="0" y="0"/>
                      <a:ext cx="4591050" cy="2409825"/>
                    </a:xfrm>
                    <a:prstGeom prst="rect">
                      <a:avLst/>
                    </a:prstGeom>
                    <a:noFill/>
                    <a:ln w="9525" cmpd="sng">
                      <a:noFill/>
                      <a:miter lim="800000"/>
                      <a:headEnd/>
                      <a:tailEnd/>
                    </a:ln>
                  </pic:spPr>
                </pic:pic>
              </a:graphicData>
            </a:graphic>
          </wp:inline>
        </w:drawing>
      </w:r>
    </w:p>
    <w:p>
      <w:pPr>
        <w:autoSpaceDE w:val="0"/>
        <w:autoSpaceDN w:val="0"/>
        <w:ind w:firstLine="420"/>
        <w:jc w:val="center"/>
        <w:rPr>
          <w:rFonts w:eastAsia="黑体"/>
          <w:sz w:val="21"/>
          <w:szCs w:val="21"/>
          <w:highlight w:val="none"/>
        </w:rPr>
      </w:pPr>
      <w:r>
        <w:rPr>
          <w:rFonts w:eastAsia="黑体"/>
          <w:sz w:val="21"/>
          <w:szCs w:val="21"/>
          <w:highlight w:val="none"/>
        </w:rPr>
        <w:t>图5.2-</w:t>
      </w:r>
      <w:r>
        <w:rPr>
          <w:rFonts w:hint="eastAsia" w:eastAsia="黑体"/>
          <w:sz w:val="21"/>
          <w:szCs w:val="21"/>
          <w:highlight w:val="none"/>
        </w:rPr>
        <w:t>9</w:t>
      </w:r>
      <w:r>
        <w:rPr>
          <w:rFonts w:eastAsia="黑体"/>
          <w:sz w:val="21"/>
          <w:szCs w:val="21"/>
          <w:highlight w:val="none"/>
        </w:rPr>
        <w:t>西新店子村抽水试验降深-时间曲线</w:t>
      </w:r>
    </w:p>
    <w:p>
      <w:pPr>
        <w:autoSpaceDE w:val="0"/>
        <w:autoSpaceDN w:val="0"/>
        <w:ind w:firstLine="0" w:firstLineChars="0"/>
        <w:jc w:val="center"/>
        <w:rPr>
          <w:rFonts w:eastAsia="黑体"/>
          <w:sz w:val="21"/>
          <w:szCs w:val="21"/>
          <w:highlight w:val="none"/>
        </w:rPr>
      </w:pPr>
      <w:r>
        <w:rPr>
          <w:rFonts w:eastAsia="黑体"/>
          <w:sz w:val="21"/>
          <w:szCs w:val="21"/>
          <w:highlight w:val="none"/>
        </w:rPr>
        <w:drawing>
          <wp:inline distT="0" distB="0" distL="0" distR="0">
            <wp:extent cx="4591050" cy="2552700"/>
            <wp:effectExtent l="19050" t="0" r="0" b="0"/>
            <wp:docPr id="17" name="图表 2"/>
            <wp:cNvGraphicFramePr/>
            <a:graphic xmlns:a="http://schemas.openxmlformats.org/drawingml/2006/main">
              <a:graphicData uri="http://schemas.openxmlformats.org/drawingml/2006/picture">
                <pic:pic xmlns:pic="http://schemas.openxmlformats.org/drawingml/2006/picture">
                  <pic:nvPicPr>
                    <pic:cNvPr id="17" name="图表 2"/>
                    <pic:cNvPicPr>
                      <a:picLocks noChangeArrowheads="1"/>
                    </pic:cNvPicPr>
                  </pic:nvPicPr>
                  <pic:blipFill>
                    <a:blip r:embed="rId53" cstate="print"/>
                    <a:srcRect/>
                    <a:stretch>
                      <a:fillRect/>
                    </a:stretch>
                  </pic:blipFill>
                  <pic:spPr>
                    <a:xfrm>
                      <a:off x="0" y="0"/>
                      <a:ext cx="4591050" cy="2552700"/>
                    </a:xfrm>
                    <a:prstGeom prst="rect">
                      <a:avLst/>
                    </a:prstGeom>
                    <a:noFill/>
                    <a:ln w="9525" cmpd="sng">
                      <a:noFill/>
                      <a:miter lim="800000"/>
                      <a:headEnd/>
                      <a:tailEnd/>
                    </a:ln>
                  </pic:spPr>
                </pic:pic>
              </a:graphicData>
            </a:graphic>
          </wp:inline>
        </w:drawing>
      </w:r>
    </w:p>
    <w:p>
      <w:pPr>
        <w:autoSpaceDE w:val="0"/>
        <w:autoSpaceDN w:val="0"/>
        <w:ind w:firstLine="420"/>
        <w:jc w:val="center"/>
        <w:rPr>
          <w:rFonts w:eastAsia="黑体"/>
          <w:sz w:val="21"/>
          <w:szCs w:val="21"/>
          <w:highlight w:val="none"/>
        </w:rPr>
      </w:pPr>
      <w:r>
        <w:rPr>
          <w:rFonts w:eastAsia="黑体"/>
          <w:sz w:val="21"/>
          <w:szCs w:val="21"/>
          <w:highlight w:val="none"/>
        </w:rPr>
        <w:t>图5.2-</w:t>
      </w:r>
      <w:r>
        <w:rPr>
          <w:rFonts w:hint="eastAsia" w:eastAsia="黑体"/>
          <w:sz w:val="21"/>
          <w:szCs w:val="21"/>
          <w:highlight w:val="none"/>
        </w:rPr>
        <w:t>10</w:t>
      </w:r>
      <w:r>
        <w:rPr>
          <w:rFonts w:eastAsia="黑体"/>
          <w:sz w:val="21"/>
          <w:szCs w:val="21"/>
          <w:highlight w:val="none"/>
        </w:rPr>
        <w:t>西新店子抽水试验水位埋深-时间曲线</w:t>
      </w:r>
    </w:p>
    <w:p>
      <w:pPr>
        <w:autoSpaceDE w:val="0"/>
        <w:autoSpaceDN w:val="0"/>
        <w:ind w:firstLine="480"/>
        <w:rPr>
          <w:sz w:val="24"/>
          <w:highlight w:val="none"/>
        </w:rPr>
      </w:pPr>
      <w:r>
        <w:rPr>
          <w:sz w:val="24"/>
          <w:highlight w:val="none"/>
        </w:rPr>
        <w:t>本项目东南750m抽水试验井深为20m，井径0.3m，静止水位埋深14.0m，整个抽水试验历时10个小时，其中抽水试验阶段历时5个小时，水位稳定时间4小时50分钟，恢复试验阶段历时5个小时，水位最大降深为0.48m，涌水量为17.70m</w:t>
      </w:r>
      <w:r>
        <w:rPr>
          <w:sz w:val="24"/>
          <w:highlight w:val="none"/>
          <w:vertAlign w:val="superscript"/>
        </w:rPr>
        <w:t>3</w:t>
      </w:r>
      <w:r>
        <w:rPr>
          <w:sz w:val="24"/>
          <w:highlight w:val="none"/>
        </w:rPr>
        <w:t>/h，抽水试验结束时刻水位恢复至试验前水位（表5.2-</w:t>
      </w:r>
      <w:r>
        <w:rPr>
          <w:rFonts w:hint="eastAsia"/>
          <w:sz w:val="24"/>
          <w:highlight w:val="none"/>
        </w:rPr>
        <w:t>20</w:t>
      </w:r>
      <w:r>
        <w:rPr>
          <w:sz w:val="24"/>
          <w:highlight w:val="none"/>
        </w:rPr>
        <w:t>）。图5.2-14和图5.2-15为抽水试验水位降深和水位埋深分别对时间的变化曲线。</w:t>
      </w:r>
    </w:p>
    <w:p>
      <w:pPr>
        <w:autoSpaceDE w:val="0"/>
        <w:autoSpaceDN w:val="0"/>
        <w:spacing w:line="240" w:lineRule="auto"/>
        <w:ind w:firstLine="42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20</w:t>
      </w:r>
      <w:r>
        <w:rPr>
          <w:rFonts w:eastAsia="黑体"/>
          <w:sz w:val="21"/>
          <w:szCs w:val="21"/>
          <w:highlight w:val="none"/>
        </w:rPr>
        <w:t>项目东南750</w:t>
      </w:r>
      <w:r>
        <w:rPr>
          <w:sz w:val="24"/>
          <w:highlight w:val="none"/>
        </w:rPr>
        <w:t>m</w:t>
      </w:r>
      <w:r>
        <w:rPr>
          <w:rFonts w:eastAsia="黑体"/>
          <w:sz w:val="21"/>
          <w:szCs w:val="21"/>
          <w:highlight w:val="none"/>
        </w:rPr>
        <w:t>抽水试验结果</w:t>
      </w:r>
    </w:p>
    <w:tbl>
      <w:tblPr>
        <w:tblStyle w:val="48"/>
        <w:tblW w:w="8001"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1"/>
        <w:gridCol w:w="1163"/>
        <w:gridCol w:w="1164"/>
        <w:gridCol w:w="1298"/>
        <w:gridCol w:w="1279"/>
        <w:gridCol w:w="1078"/>
        <w:gridCol w:w="85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试验</w:t>
            </w:r>
          </w:p>
          <w:p>
            <w:pPr>
              <w:spacing w:line="280" w:lineRule="exact"/>
              <w:ind w:firstLine="0" w:firstLineChars="0"/>
              <w:jc w:val="center"/>
              <w:rPr>
                <w:sz w:val="21"/>
                <w:szCs w:val="21"/>
                <w:highlight w:val="none"/>
              </w:rPr>
            </w:pPr>
            <w:r>
              <w:rPr>
                <w:sz w:val="21"/>
                <w:szCs w:val="21"/>
                <w:highlight w:val="none"/>
              </w:rPr>
              <w:t>时间</w:t>
            </w:r>
          </w:p>
        </w:tc>
        <w:tc>
          <w:tcPr>
            <w:tcW w:w="2327" w:type="dxa"/>
            <w:gridSpan w:val="2"/>
            <w:vAlign w:val="center"/>
          </w:tcPr>
          <w:p>
            <w:pPr>
              <w:spacing w:line="280" w:lineRule="exact"/>
              <w:ind w:firstLine="0" w:firstLineChars="0"/>
              <w:jc w:val="center"/>
              <w:rPr>
                <w:sz w:val="21"/>
                <w:szCs w:val="21"/>
                <w:highlight w:val="none"/>
              </w:rPr>
            </w:pPr>
            <w:r>
              <w:rPr>
                <w:sz w:val="21"/>
                <w:szCs w:val="21"/>
                <w:highlight w:val="none"/>
              </w:rPr>
              <w:t>2018.7.28</w:t>
            </w:r>
          </w:p>
        </w:tc>
        <w:tc>
          <w:tcPr>
            <w:tcW w:w="1298" w:type="dxa"/>
            <w:vAlign w:val="center"/>
          </w:tcPr>
          <w:p>
            <w:pPr>
              <w:spacing w:line="280" w:lineRule="exact"/>
              <w:ind w:firstLine="0" w:firstLineChars="0"/>
              <w:jc w:val="center"/>
              <w:rPr>
                <w:sz w:val="21"/>
                <w:szCs w:val="21"/>
                <w:highlight w:val="none"/>
              </w:rPr>
            </w:pPr>
            <w:r>
              <w:rPr>
                <w:sz w:val="21"/>
                <w:szCs w:val="21"/>
                <w:highlight w:val="none"/>
              </w:rPr>
              <w:t>井深</w:t>
            </w:r>
          </w:p>
        </w:tc>
        <w:tc>
          <w:tcPr>
            <w:tcW w:w="1279" w:type="dxa"/>
            <w:vAlign w:val="center"/>
          </w:tcPr>
          <w:p>
            <w:pPr>
              <w:spacing w:line="280" w:lineRule="exact"/>
              <w:ind w:firstLine="0" w:firstLineChars="0"/>
              <w:jc w:val="center"/>
              <w:rPr>
                <w:sz w:val="21"/>
                <w:szCs w:val="21"/>
                <w:highlight w:val="none"/>
              </w:rPr>
            </w:pPr>
            <w:r>
              <w:rPr>
                <w:sz w:val="21"/>
                <w:szCs w:val="21"/>
                <w:highlight w:val="none"/>
              </w:rPr>
              <w:t>20m</w:t>
            </w:r>
          </w:p>
        </w:tc>
        <w:tc>
          <w:tcPr>
            <w:tcW w:w="1078" w:type="dxa"/>
            <w:vAlign w:val="center"/>
          </w:tcPr>
          <w:p>
            <w:pPr>
              <w:spacing w:line="280" w:lineRule="exact"/>
              <w:ind w:firstLine="0" w:firstLineChars="0"/>
              <w:jc w:val="center"/>
              <w:rPr>
                <w:sz w:val="21"/>
                <w:szCs w:val="21"/>
                <w:highlight w:val="none"/>
              </w:rPr>
            </w:pPr>
            <w:r>
              <w:rPr>
                <w:sz w:val="21"/>
                <w:szCs w:val="21"/>
                <w:highlight w:val="none"/>
              </w:rPr>
              <w:t>井径</w:t>
            </w:r>
          </w:p>
        </w:tc>
        <w:tc>
          <w:tcPr>
            <w:tcW w:w="858" w:type="dxa"/>
            <w:vAlign w:val="center"/>
          </w:tcPr>
          <w:p>
            <w:pPr>
              <w:spacing w:line="280" w:lineRule="exact"/>
              <w:ind w:firstLine="0" w:firstLineChars="0"/>
              <w:jc w:val="center"/>
              <w:rPr>
                <w:sz w:val="21"/>
                <w:szCs w:val="21"/>
                <w:highlight w:val="none"/>
              </w:rPr>
            </w:pPr>
            <w:r>
              <w:rPr>
                <w:sz w:val="21"/>
                <w:szCs w:val="21"/>
                <w:highlight w:val="none"/>
              </w:rPr>
              <w:t>300mm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地点</w:t>
            </w:r>
          </w:p>
        </w:tc>
        <w:tc>
          <w:tcPr>
            <w:tcW w:w="2327" w:type="dxa"/>
            <w:gridSpan w:val="2"/>
            <w:vAlign w:val="center"/>
          </w:tcPr>
          <w:p>
            <w:pPr>
              <w:spacing w:line="280" w:lineRule="exact"/>
              <w:ind w:firstLine="0" w:firstLineChars="0"/>
              <w:jc w:val="center"/>
              <w:rPr>
                <w:sz w:val="21"/>
                <w:szCs w:val="21"/>
                <w:highlight w:val="none"/>
              </w:rPr>
            </w:pPr>
            <w:r>
              <w:rPr>
                <w:sz w:val="21"/>
                <w:szCs w:val="21"/>
                <w:highlight w:val="none"/>
              </w:rPr>
              <w:t>项目东南750m</w:t>
            </w:r>
          </w:p>
        </w:tc>
        <w:tc>
          <w:tcPr>
            <w:tcW w:w="2577" w:type="dxa"/>
            <w:gridSpan w:val="2"/>
            <w:vAlign w:val="center"/>
          </w:tcPr>
          <w:p>
            <w:pPr>
              <w:spacing w:line="280" w:lineRule="exact"/>
              <w:ind w:firstLine="0" w:firstLineChars="0"/>
              <w:jc w:val="center"/>
              <w:rPr>
                <w:sz w:val="21"/>
                <w:szCs w:val="21"/>
                <w:highlight w:val="none"/>
              </w:rPr>
            </w:pPr>
            <w:r>
              <w:rPr>
                <w:sz w:val="21"/>
                <w:szCs w:val="21"/>
                <w:highlight w:val="none"/>
              </w:rPr>
              <w:t>静止水位埋深</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14.0m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161" w:type="dxa"/>
            <w:vMerge w:val="restart"/>
            <w:vAlign w:val="center"/>
          </w:tcPr>
          <w:p>
            <w:pPr>
              <w:spacing w:line="280" w:lineRule="exact"/>
              <w:ind w:firstLine="0" w:firstLineChars="0"/>
              <w:jc w:val="center"/>
              <w:rPr>
                <w:sz w:val="21"/>
                <w:szCs w:val="21"/>
                <w:highlight w:val="none"/>
              </w:rPr>
            </w:pPr>
            <w:r>
              <w:rPr>
                <w:sz w:val="21"/>
                <w:szCs w:val="21"/>
                <w:highlight w:val="none"/>
              </w:rPr>
              <w:t>抽水</w:t>
            </w:r>
          </w:p>
          <w:p>
            <w:pPr>
              <w:spacing w:line="280" w:lineRule="exact"/>
              <w:ind w:firstLine="0" w:firstLineChars="0"/>
              <w:jc w:val="center"/>
              <w:rPr>
                <w:sz w:val="21"/>
                <w:szCs w:val="21"/>
                <w:highlight w:val="none"/>
              </w:rPr>
            </w:pPr>
            <w:r>
              <w:rPr>
                <w:sz w:val="21"/>
                <w:szCs w:val="21"/>
                <w:highlight w:val="none"/>
              </w:rPr>
              <w:t>试验</w:t>
            </w:r>
          </w:p>
        </w:tc>
        <w:tc>
          <w:tcPr>
            <w:tcW w:w="1163" w:type="dxa"/>
            <w:vAlign w:val="center"/>
          </w:tcPr>
          <w:p>
            <w:pPr>
              <w:spacing w:line="280" w:lineRule="exact"/>
              <w:ind w:firstLine="0" w:firstLineChars="0"/>
              <w:jc w:val="center"/>
              <w:rPr>
                <w:sz w:val="21"/>
                <w:szCs w:val="21"/>
                <w:highlight w:val="none"/>
              </w:rPr>
            </w:pPr>
            <w:r>
              <w:rPr>
                <w:sz w:val="21"/>
                <w:szCs w:val="21"/>
                <w:highlight w:val="none"/>
              </w:rPr>
              <w:t>抽水时间</w:t>
            </w:r>
          </w:p>
        </w:tc>
        <w:tc>
          <w:tcPr>
            <w:tcW w:w="1164" w:type="dxa"/>
            <w:vAlign w:val="center"/>
          </w:tcPr>
          <w:p>
            <w:pPr>
              <w:spacing w:line="280" w:lineRule="exact"/>
              <w:ind w:firstLine="0" w:firstLineChars="0"/>
              <w:jc w:val="center"/>
              <w:rPr>
                <w:sz w:val="21"/>
                <w:szCs w:val="21"/>
                <w:highlight w:val="none"/>
              </w:rPr>
            </w:pPr>
            <w:r>
              <w:rPr>
                <w:sz w:val="21"/>
                <w:szCs w:val="21"/>
                <w:highlight w:val="none"/>
              </w:rPr>
              <w:t>稳定时间</w:t>
            </w:r>
          </w:p>
        </w:tc>
        <w:tc>
          <w:tcPr>
            <w:tcW w:w="1298" w:type="dxa"/>
            <w:vAlign w:val="center"/>
          </w:tcPr>
          <w:p>
            <w:pPr>
              <w:spacing w:line="280" w:lineRule="exact"/>
              <w:ind w:firstLine="0" w:firstLineChars="0"/>
              <w:jc w:val="center"/>
              <w:rPr>
                <w:sz w:val="21"/>
                <w:szCs w:val="21"/>
                <w:highlight w:val="none"/>
              </w:rPr>
            </w:pPr>
            <w:r>
              <w:rPr>
                <w:sz w:val="21"/>
                <w:szCs w:val="21"/>
                <w:highlight w:val="none"/>
              </w:rPr>
              <w:t>抽水量</w:t>
            </w:r>
          </w:p>
        </w:tc>
        <w:tc>
          <w:tcPr>
            <w:tcW w:w="1279" w:type="dxa"/>
            <w:vAlign w:val="center"/>
          </w:tcPr>
          <w:p>
            <w:pPr>
              <w:spacing w:line="280" w:lineRule="exact"/>
              <w:ind w:firstLine="0" w:firstLineChars="0"/>
              <w:jc w:val="center"/>
              <w:rPr>
                <w:sz w:val="21"/>
                <w:szCs w:val="21"/>
                <w:highlight w:val="none"/>
              </w:rPr>
            </w:pPr>
            <w:r>
              <w:rPr>
                <w:sz w:val="21"/>
                <w:szCs w:val="21"/>
                <w:highlight w:val="none"/>
              </w:rPr>
              <w:t>降深</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单位涌水量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2" w:hRule="atLeast"/>
        </w:trPr>
        <w:tc>
          <w:tcPr>
            <w:tcW w:w="1161" w:type="dxa"/>
            <w:vMerge w:val="continue"/>
            <w:vAlign w:val="center"/>
          </w:tcPr>
          <w:p>
            <w:pPr>
              <w:spacing w:line="280" w:lineRule="exact"/>
              <w:ind w:firstLine="0" w:firstLineChars="0"/>
              <w:jc w:val="center"/>
              <w:rPr>
                <w:sz w:val="21"/>
                <w:szCs w:val="21"/>
                <w:highlight w:val="none"/>
              </w:rPr>
            </w:pPr>
          </w:p>
        </w:tc>
        <w:tc>
          <w:tcPr>
            <w:tcW w:w="1163" w:type="dxa"/>
            <w:vAlign w:val="center"/>
          </w:tcPr>
          <w:p>
            <w:pPr>
              <w:spacing w:line="280" w:lineRule="exact"/>
              <w:ind w:firstLine="0" w:firstLineChars="0"/>
              <w:jc w:val="center"/>
              <w:rPr>
                <w:sz w:val="21"/>
                <w:szCs w:val="21"/>
                <w:highlight w:val="none"/>
              </w:rPr>
            </w:pPr>
            <w:r>
              <w:rPr>
                <w:sz w:val="21"/>
                <w:szCs w:val="21"/>
                <w:highlight w:val="none"/>
              </w:rPr>
              <w:t>h</w:t>
            </w:r>
          </w:p>
        </w:tc>
        <w:tc>
          <w:tcPr>
            <w:tcW w:w="1164" w:type="dxa"/>
            <w:vAlign w:val="center"/>
          </w:tcPr>
          <w:p>
            <w:pPr>
              <w:spacing w:line="280" w:lineRule="exact"/>
              <w:ind w:firstLine="0" w:firstLineChars="0"/>
              <w:jc w:val="center"/>
              <w:rPr>
                <w:sz w:val="21"/>
                <w:szCs w:val="21"/>
                <w:highlight w:val="none"/>
              </w:rPr>
            </w:pPr>
            <w:r>
              <w:rPr>
                <w:sz w:val="21"/>
                <w:szCs w:val="21"/>
                <w:highlight w:val="none"/>
              </w:rPr>
              <w:t>h</w:t>
            </w:r>
          </w:p>
        </w:tc>
        <w:tc>
          <w:tcPr>
            <w:tcW w:w="1298" w:type="dxa"/>
            <w:vAlign w:val="center"/>
          </w:tcPr>
          <w:p>
            <w:pPr>
              <w:spacing w:line="280" w:lineRule="exact"/>
              <w:ind w:firstLine="0" w:firstLineChars="0"/>
              <w:jc w:val="center"/>
              <w:rPr>
                <w:sz w:val="21"/>
                <w:szCs w:val="21"/>
                <w:highlight w:val="none"/>
              </w:rPr>
            </w:pPr>
            <w:r>
              <w:rPr>
                <w:sz w:val="21"/>
                <w:szCs w:val="21"/>
                <w:highlight w:val="none"/>
              </w:rPr>
              <w:t>m³/h</w:t>
            </w:r>
          </w:p>
        </w:tc>
        <w:tc>
          <w:tcPr>
            <w:tcW w:w="1279" w:type="dxa"/>
            <w:vAlign w:val="center"/>
          </w:tcPr>
          <w:p>
            <w:pPr>
              <w:spacing w:line="280" w:lineRule="exact"/>
              <w:ind w:firstLine="0" w:firstLineChars="0"/>
              <w:jc w:val="center"/>
              <w:rPr>
                <w:sz w:val="21"/>
                <w:szCs w:val="21"/>
                <w:highlight w:val="none"/>
              </w:rPr>
            </w:pPr>
            <w:r>
              <w:rPr>
                <w:sz w:val="21"/>
                <w:szCs w:val="21"/>
                <w:highlight w:val="none"/>
              </w:rPr>
              <w:t>m</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m³/h·m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抽水井</w:t>
            </w:r>
          </w:p>
        </w:tc>
        <w:tc>
          <w:tcPr>
            <w:tcW w:w="1163" w:type="dxa"/>
            <w:vAlign w:val="center"/>
          </w:tcPr>
          <w:p>
            <w:pPr>
              <w:spacing w:line="280" w:lineRule="exact"/>
              <w:ind w:firstLine="0" w:firstLineChars="0"/>
              <w:jc w:val="center"/>
              <w:rPr>
                <w:sz w:val="21"/>
                <w:szCs w:val="21"/>
                <w:highlight w:val="none"/>
              </w:rPr>
            </w:pPr>
            <w:r>
              <w:rPr>
                <w:sz w:val="21"/>
                <w:szCs w:val="21"/>
                <w:highlight w:val="none"/>
              </w:rPr>
              <w:t>10:00</w:t>
            </w:r>
          </w:p>
        </w:tc>
        <w:tc>
          <w:tcPr>
            <w:tcW w:w="1164" w:type="dxa"/>
            <w:vAlign w:val="center"/>
          </w:tcPr>
          <w:p>
            <w:pPr>
              <w:spacing w:line="280" w:lineRule="exact"/>
              <w:ind w:firstLine="0" w:firstLineChars="0"/>
              <w:jc w:val="center"/>
              <w:rPr>
                <w:sz w:val="21"/>
                <w:szCs w:val="21"/>
                <w:highlight w:val="none"/>
              </w:rPr>
            </w:pPr>
            <w:r>
              <w:rPr>
                <w:sz w:val="21"/>
                <w:szCs w:val="21"/>
                <w:highlight w:val="none"/>
              </w:rPr>
              <w:t>4:50</w:t>
            </w:r>
          </w:p>
        </w:tc>
        <w:tc>
          <w:tcPr>
            <w:tcW w:w="1298" w:type="dxa"/>
            <w:vAlign w:val="center"/>
          </w:tcPr>
          <w:p>
            <w:pPr>
              <w:spacing w:line="280" w:lineRule="exact"/>
              <w:ind w:firstLine="0" w:firstLineChars="0"/>
              <w:jc w:val="center"/>
              <w:rPr>
                <w:sz w:val="21"/>
                <w:szCs w:val="21"/>
                <w:highlight w:val="none"/>
              </w:rPr>
            </w:pPr>
            <w:r>
              <w:rPr>
                <w:sz w:val="21"/>
                <w:szCs w:val="21"/>
                <w:highlight w:val="none"/>
              </w:rPr>
              <w:t>17.7</w:t>
            </w:r>
          </w:p>
        </w:tc>
        <w:tc>
          <w:tcPr>
            <w:tcW w:w="1279" w:type="dxa"/>
            <w:vAlign w:val="center"/>
          </w:tcPr>
          <w:p>
            <w:pPr>
              <w:spacing w:line="280" w:lineRule="exact"/>
              <w:ind w:firstLine="0" w:firstLineChars="0"/>
              <w:jc w:val="center"/>
              <w:rPr>
                <w:sz w:val="21"/>
                <w:szCs w:val="21"/>
                <w:highlight w:val="none"/>
              </w:rPr>
            </w:pPr>
            <w:r>
              <w:rPr>
                <w:sz w:val="21"/>
                <w:szCs w:val="21"/>
                <w:highlight w:val="none"/>
              </w:rPr>
              <w:t>0.48</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36.89</w:t>
            </w:r>
          </w:p>
        </w:tc>
      </w:tr>
    </w:tbl>
    <w:p>
      <w:pPr>
        <w:autoSpaceDE w:val="0"/>
        <w:autoSpaceDN w:val="0"/>
        <w:spacing w:before="120" w:beforeLines="50"/>
        <w:ind w:firstLine="0" w:firstLineChars="0"/>
        <w:jc w:val="center"/>
        <w:rPr>
          <w:rFonts w:eastAsia="黑体"/>
          <w:sz w:val="21"/>
          <w:szCs w:val="21"/>
          <w:highlight w:val="none"/>
        </w:rPr>
      </w:pPr>
      <w:r>
        <w:rPr>
          <w:rFonts w:eastAsia="黑体"/>
          <w:sz w:val="21"/>
          <w:szCs w:val="21"/>
          <w:highlight w:val="none"/>
        </w:rPr>
        <w:drawing>
          <wp:inline distT="0" distB="0" distL="0" distR="0">
            <wp:extent cx="4591050" cy="2409825"/>
            <wp:effectExtent l="19050" t="0" r="0" b="0"/>
            <wp:docPr id="10" name="图表 3"/>
            <wp:cNvGraphicFramePr/>
            <a:graphic xmlns:a="http://schemas.openxmlformats.org/drawingml/2006/main">
              <a:graphicData uri="http://schemas.openxmlformats.org/drawingml/2006/picture">
                <pic:pic xmlns:pic="http://schemas.openxmlformats.org/drawingml/2006/picture">
                  <pic:nvPicPr>
                    <pic:cNvPr id="10" name="图表 3"/>
                    <pic:cNvPicPr>
                      <a:picLocks noChangeArrowheads="1"/>
                    </pic:cNvPicPr>
                  </pic:nvPicPr>
                  <pic:blipFill>
                    <a:blip r:embed="rId54" cstate="print"/>
                    <a:srcRect/>
                    <a:stretch>
                      <a:fillRect/>
                    </a:stretch>
                  </pic:blipFill>
                  <pic:spPr>
                    <a:xfrm>
                      <a:off x="0" y="0"/>
                      <a:ext cx="4591050" cy="2409825"/>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rPr>
      </w:pPr>
      <w:r>
        <w:rPr>
          <w:rFonts w:eastAsia="黑体"/>
          <w:sz w:val="21"/>
          <w:szCs w:val="21"/>
          <w:highlight w:val="none"/>
        </w:rPr>
        <w:t>图5.2-1</w:t>
      </w:r>
      <w:r>
        <w:rPr>
          <w:rFonts w:hint="eastAsia" w:eastAsia="黑体"/>
          <w:sz w:val="21"/>
          <w:szCs w:val="21"/>
          <w:highlight w:val="none"/>
        </w:rPr>
        <w:t>1</w:t>
      </w:r>
      <w:r>
        <w:rPr>
          <w:rFonts w:eastAsia="黑体"/>
          <w:sz w:val="21"/>
          <w:szCs w:val="21"/>
          <w:highlight w:val="none"/>
        </w:rPr>
        <w:t>项目东南750m抽水试验水位埋深-时间曲线</w:t>
      </w:r>
    </w:p>
    <w:p>
      <w:pPr>
        <w:autoSpaceDE w:val="0"/>
        <w:autoSpaceDN w:val="0"/>
        <w:ind w:firstLine="0" w:firstLineChars="0"/>
        <w:jc w:val="center"/>
        <w:rPr>
          <w:rFonts w:eastAsia="黑体"/>
          <w:sz w:val="21"/>
          <w:szCs w:val="21"/>
          <w:highlight w:val="none"/>
        </w:rPr>
      </w:pPr>
      <w:r>
        <w:rPr>
          <w:rFonts w:eastAsia="黑体"/>
          <w:sz w:val="21"/>
          <w:szCs w:val="21"/>
          <w:highlight w:val="none"/>
        </w:rPr>
        <w:drawing>
          <wp:inline distT="0" distB="0" distL="0" distR="0">
            <wp:extent cx="4591050" cy="2752725"/>
            <wp:effectExtent l="19050" t="0" r="0" b="0"/>
            <wp:docPr id="27" name="图表 8"/>
            <wp:cNvGraphicFramePr/>
            <a:graphic xmlns:a="http://schemas.openxmlformats.org/drawingml/2006/main">
              <a:graphicData uri="http://schemas.openxmlformats.org/drawingml/2006/picture">
                <pic:pic xmlns:pic="http://schemas.openxmlformats.org/drawingml/2006/picture">
                  <pic:nvPicPr>
                    <pic:cNvPr id="27" name="图表 8"/>
                    <pic:cNvPicPr>
                      <a:picLocks noChangeArrowheads="1"/>
                    </pic:cNvPicPr>
                  </pic:nvPicPr>
                  <pic:blipFill>
                    <a:blip r:embed="rId55" cstate="print"/>
                    <a:srcRect/>
                    <a:stretch>
                      <a:fillRect/>
                    </a:stretch>
                  </pic:blipFill>
                  <pic:spPr>
                    <a:xfrm>
                      <a:off x="0" y="0"/>
                      <a:ext cx="4591050" cy="2752725"/>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rPr>
      </w:pPr>
      <w:r>
        <w:rPr>
          <w:rFonts w:eastAsia="黑体"/>
          <w:sz w:val="21"/>
          <w:szCs w:val="21"/>
          <w:highlight w:val="none"/>
        </w:rPr>
        <w:t>图5.2-1</w:t>
      </w:r>
      <w:r>
        <w:rPr>
          <w:rFonts w:hint="eastAsia" w:eastAsia="黑体"/>
          <w:sz w:val="21"/>
          <w:szCs w:val="21"/>
          <w:highlight w:val="none"/>
        </w:rPr>
        <w:t>2</w:t>
      </w:r>
      <w:r>
        <w:rPr>
          <w:rFonts w:eastAsia="黑体"/>
          <w:sz w:val="21"/>
          <w:szCs w:val="21"/>
          <w:highlight w:val="none"/>
        </w:rPr>
        <w:t xml:space="preserve">  项目东南750m抽水试验水位降深-时间曲线</w:t>
      </w:r>
    </w:p>
    <w:p>
      <w:pPr>
        <w:autoSpaceDE w:val="0"/>
        <w:autoSpaceDN w:val="0"/>
        <w:ind w:firstLine="480"/>
        <w:rPr>
          <w:sz w:val="24"/>
          <w:highlight w:val="none"/>
        </w:rPr>
      </w:pPr>
      <w:r>
        <w:rPr>
          <w:sz w:val="24"/>
          <w:highlight w:val="none"/>
        </w:rPr>
        <w:t>大曹各寨村抽水试验井深为</w:t>
      </w:r>
      <w:r>
        <w:rPr>
          <w:rFonts w:hint="eastAsia"/>
          <w:sz w:val="24"/>
          <w:highlight w:val="none"/>
        </w:rPr>
        <w:t>30</w:t>
      </w:r>
      <w:r>
        <w:rPr>
          <w:sz w:val="24"/>
          <w:highlight w:val="none"/>
        </w:rPr>
        <w:t>m，井径0.3m，静止水位埋深13.0m，整个抽水试验历时8个小时，其中抽水试验阶段历时5个小时，水位稳定时间4小时50分钟，恢复试验阶段历时3个小时，水位最大降深为10.49m，涌水量为214.58m</w:t>
      </w:r>
      <w:r>
        <w:rPr>
          <w:sz w:val="24"/>
          <w:highlight w:val="none"/>
          <w:vertAlign w:val="superscript"/>
        </w:rPr>
        <w:t>3</w:t>
      </w:r>
      <w:r>
        <w:rPr>
          <w:sz w:val="24"/>
          <w:highlight w:val="none"/>
        </w:rPr>
        <w:t>/h，抽水试验结束时刻水位恢复至试验前水位（表5.2-</w:t>
      </w:r>
      <w:r>
        <w:rPr>
          <w:rFonts w:hint="eastAsia"/>
          <w:sz w:val="24"/>
          <w:highlight w:val="none"/>
        </w:rPr>
        <w:t>21</w:t>
      </w:r>
      <w:r>
        <w:rPr>
          <w:sz w:val="24"/>
          <w:highlight w:val="none"/>
        </w:rPr>
        <w:t>）。图5.2-1</w:t>
      </w:r>
      <w:r>
        <w:rPr>
          <w:rFonts w:hint="eastAsia"/>
          <w:sz w:val="24"/>
          <w:highlight w:val="none"/>
        </w:rPr>
        <w:t>3</w:t>
      </w:r>
      <w:r>
        <w:rPr>
          <w:sz w:val="24"/>
          <w:highlight w:val="none"/>
        </w:rPr>
        <w:t>和图5.2-1</w:t>
      </w:r>
      <w:r>
        <w:rPr>
          <w:rFonts w:hint="eastAsia"/>
          <w:sz w:val="24"/>
          <w:highlight w:val="none"/>
        </w:rPr>
        <w:t>4</w:t>
      </w:r>
      <w:r>
        <w:rPr>
          <w:sz w:val="24"/>
          <w:highlight w:val="none"/>
        </w:rPr>
        <w:t>为抽水试验水位降深和水位埋深分别对时间的变化曲线。</w:t>
      </w:r>
    </w:p>
    <w:p>
      <w:pPr>
        <w:autoSpaceDE w:val="0"/>
        <w:autoSpaceDN w:val="0"/>
        <w:spacing w:line="240" w:lineRule="auto"/>
        <w:ind w:firstLine="0" w:firstLineChars="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21</w:t>
      </w:r>
      <w:r>
        <w:rPr>
          <w:rFonts w:eastAsia="黑体"/>
          <w:sz w:val="21"/>
          <w:szCs w:val="21"/>
          <w:highlight w:val="none"/>
        </w:rPr>
        <w:t>大曹各寨村内抽水试验结果</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1"/>
        <w:gridCol w:w="1163"/>
        <w:gridCol w:w="1164"/>
        <w:gridCol w:w="1578"/>
        <w:gridCol w:w="1520"/>
        <w:gridCol w:w="1078"/>
        <w:gridCol w:w="85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1161" w:type="dxa"/>
            <w:vAlign w:val="center"/>
          </w:tcPr>
          <w:p>
            <w:pPr>
              <w:spacing w:line="240" w:lineRule="auto"/>
              <w:ind w:firstLine="0" w:firstLineChars="0"/>
              <w:jc w:val="center"/>
              <w:rPr>
                <w:sz w:val="21"/>
                <w:szCs w:val="21"/>
                <w:highlight w:val="none"/>
              </w:rPr>
            </w:pPr>
            <w:r>
              <w:rPr>
                <w:sz w:val="21"/>
                <w:szCs w:val="21"/>
                <w:highlight w:val="none"/>
              </w:rPr>
              <w:t>试验</w:t>
            </w:r>
          </w:p>
          <w:p>
            <w:pPr>
              <w:spacing w:line="240" w:lineRule="auto"/>
              <w:ind w:firstLine="0" w:firstLineChars="0"/>
              <w:jc w:val="center"/>
              <w:rPr>
                <w:sz w:val="21"/>
                <w:szCs w:val="21"/>
                <w:highlight w:val="none"/>
              </w:rPr>
            </w:pPr>
            <w:r>
              <w:rPr>
                <w:sz w:val="21"/>
                <w:szCs w:val="21"/>
                <w:highlight w:val="none"/>
              </w:rPr>
              <w:t>时间</w:t>
            </w:r>
          </w:p>
        </w:tc>
        <w:tc>
          <w:tcPr>
            <w:tcW w:w="2327" w:type="dxa"/>
            <w:gridSpan w:val="2"/>
            <w:vAlign w:val="center"/>
          </w:tcPr>
          <w:p>
            <w:pPr>
              <w:spacing w:line="240" w:lineRule="auto"/>
              <w:ind w:firstLine="420"/>
              <w:jc w:val="center"/>
              <w:rPr>
                <w:sz w:val="21"/>
                <w:szCs w:val="21"/>
                <w:highlight w:val="none"/>
              </w:rPr>
            </w:pPr>
            <w:r>
              <w:rPr>
                <w:sz w:val="21"/>
                <w:szCs w:val="21"/>
                <w:highlight w:val="none"/>
              </w:rPr>
              <w:t>2018.7.28</w:t>
            </w:r>
          </w:p>
        </w:tc>
        <w:tc>
          <w:tcPr>
            <w:tcW w:w="1578" w:type="dxa"/>
            <w:vAlign w:val="center"/>
          </w:tcPr>
          <w:p>
            <w:pPr>
              <w:spacing w:line="240" w:lineRule="auto"/>
              <w:ind w:firstLine="420"/>
              <w:rPr>
                <w:sz w:val="21"/>
                <w:szCs w:val="21"/>
                <w:highlight w:val="none"/>
              </w:rPr>
            </w:pPr>
            <w:r>
              <w:rPr>
                <w:sz w:val="21"/>
                <w:szCs w:val="21"/>
                <w:highlight w:val="none"/>
              </w:rPr>
              <w:t>井深</w:t>
            </w:r>
          </w:p>
        </w:tc>
        <w:tc>
          <w:tcPr>
            <w:tcW w:w="1520" w:type="dxa"/>
            <w:vAlign w:val="center"/>
          </w:tcPr>
          <w:p>
            <w:pPr>
              <w:spacing w:line="240" w:lineRule="auto"/>
              <w:ind w:firstLine="0" w:firstLineChars="0"/>
              <w:jc w:val="center"/>
              <w:rPr>
                <w:sz w:val="21"/>
                <w:szCs w:val="21"/>
                <w:highlight w:val="none"/>
              </w:rPr>
            </w:pPr>
            <w:r>
              <w:rPr>
                <w:rFonts w:hint="eastAsia"/>
                <w:sz w:val="21"/>
                <w:szCs w:val="21"/>
                <w:highlight w:val="none"/>
              </w:rPr>
              <w:t>30</w:t>
            </w:r>
            <w:r>
              <w:rPr>
                <w:sz w:val="21"/>
                <w:szCs w:val="21"/>
                <w:highlight w:val="none"/>
              </w:rPr>
              <w:t>m</w:t>
            </w:r>
          </w:p>
        </w:tc>
        <w:tc>
          <w:tcPr>
            <w:tcW w:w="1078" w:type="dxa"/>
            <w:vAlign w:val="center"/>
          </w:tcPr>
          <w:p>
            <w:pPr>
              <w:spacing w:line="240" w:lineRule="auto"/>
              <w:ind w:firstLine="0" w:firstLineChars="0"/>
              <w:jc w:val="center"/>
              <w:rPr>
                <w:sz w:val="21"/>
                <w:szCs w:val="21"/>
                <w:highlight w:val="none"/>
              </w:rPr>
            </w:pPr>
            <w:r>
              <w:rPr>
                <w:sz w:val="21"/>
                <w:szCs w:val="21"/>
                <w:highlight w:val="none"/>
              </w:rPr>
              <w:t>井径</w:t>
            </w:r>
          </w:p>
        </w:tc>
        <w:tc>
          <w:tcPr>
            <w:tcW w:w="858" w:type="dxa"/>
            <w:vAlign w:val="center"/>
          </w:tcPr>
          <w:p>
            <w:pPr>
              <w:spacing w:line="240" w:lineRule="auto"/>
              <w:ind w:firstLine="0" w:firstLineChars="0"/>
              <w:jc w:val="center"/>
              <w:rPr>
                <w:sz w:val="21"/>
                <w:szCs w:val="21"/>
                <w:highlight w:val="none"/>
              </w:rPr>
            </w:pPr>
            <w:r>
              <w:rPr>
                <w:sz w:val="21"/>
                <w:szCs w:val="21"/>
                <w:highlight w:val="none"/>
              </w:rPr>
              <w:t>300mm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1161" w:type="dxa"/>
            <w:vAlign w:val="center"/>
          </w:tcPr>
          <w:p>
            <w:pPr>
              <w:spacing w:line="240" w:lineRule="auto"/>
              <w:ind w:firstLine="0" w:firstLineChars="0"/>
              <w:jc w:val="center"/>
              <w:rPr>
                <w:sz w:val="21"/>
                <w:szCs w:val="21"/>
                <w:highlight w:val="none"/>
              </w:rPr>
            </w:pPr>
            <w:r>
              <w:rPr>
                <w:sz w:val="21"/>
                <w:szCs w:val="21"/>
                <w:highlight w:val="none"/>
              </w:rPr>
              <w:t>地点</w:t>
            </w:r>
          </w:p>
        </w:tc>
        <w:tc>
          <w:tcPr>
            <w:tcW w:w="2327" w:type="dxa"/>
            <w:gridSpan w:val="2"/>
            <w:vAlign w:val="center"/>
          </w:tcPr>
          <w:p>
            <w:pPr>
              <w:spacing w:line="240" w:lineRule="auto"/>
              <w:ind w:firstLine="0" w:firstLineChars="0"/>
              <w:jc w:val="center"/>
              <w:rPr>
                <w:sz w:val="21"/>
                <w:szCs w:val="21"/>
                <w:highlight w:val="none"/>
              </w:rPr>
            </w:pPr>
            <w:r>
              <w:rPr>
                <w:sz w:val="21"/>
                <w:szCs w:val="21"/>
                <w:highlight w:val="none"/>
              </w:rPr>
              <w:t>大曹各寨村</w:t>
            </w:r>
          </w:p>
        </w:tc>
        <w:tc>
          <w:tcPr>
            <w:tcW w:w="3098" w:type="dxa"/>
            <w:gridSpan w:val="2"/>
            <w:vAlign w:val="center"/>
          </w:tcPr>
          <w:p>
            <w:pPr>
              <w:spacing w:line="240" w:lineRule="auto"/>
              <w:ind w:firstLine="0" w:firstLineChars="0"/>
              <w:jc w:val="center"/>
              <w:rPr>
                <w:sz w:val="21"/>
                <w:szCs w:val="21"/>
                <w:highlight w:val="none"/>
              </w:rPr>
            </w:pPr>
            <w:r>
              <w:rPr>
                <w:sz w:val="21"/>
                <w:szCs w:val="21"/>
                <w:highlight w:val="none"/>
              </w:rPr>
              <w:t>静止水位埋深</w:t>
            </w:r>
          </w:p>
        </w:tc>
        <w:tc>
          <w:tcPr>
            <w:tcW w:w="1936" w:type="dxa"/>
            <w:gridSpan w:val="2"/>
            <w:vAlign w:val="center"/>
          </w:tcPr>
          <w:p>
            <w:pPr>
              <w:spacing w:line="240" w:lineRule="auto"/>
              <w:ind w:firstLine="0" w:firstLineChars="0"/>
              <w:jc w:val="center"/>
              <w:rPr>
                <w:sz w:val="21"/>
                <w:szCs w:val="21"/>
                <w:highlight w:val="none"/>
              </w:rPr>
            </w:pPr>
            <w:r>
              <w:rPr>
                <w:sz w:val="21"/>
                <w:szCs w:val="21"/>
                <w:highlight w:val="none"/>
              </w:rPr>
              <w:t>8.0m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161" w:type="dxa"/>
            <w:vMerge w:val="restart"/>
            <w:vAlign w:val="center"/>
          </w:tcPr>
          <w:p>
            <w:pPr>
              <w:spacing w:line="240" w:lineRule="auto"/>
              <w:ind w:firstLine="0" w:firstLineChars="0"/>
              <w:jc w:val="center"/>
              <w:rPr>
                <w:sz w:val="21"/>
                <w:szCs w:val="21"/>
                <w:highlight w:val="none"/>
              </w:rPr>
            </w:pPr>
            <w:r>
              <w:rPr>
                <w:sz w:val="21"/>
                <w:szCs w:val="21"/>
                <w:highlight w:val="none"/>
              </w:rPr>
              <w:t>抽水</w:t>
            </w:r>
          </w:p>
          <w:p>
            <w:pPr>
              <w:spacing w:line="240" w:lineRule="auto"/>
              <w:ind w:firstLine="0" w:firstLineChars="0"/>
              <w:jc w:val="center"/>
              <w:rPr>
                <w:sz w:val="21"/>
                <w:szCs w:val="21"/>
                <w:highlight w:val="none"/>
              </w:rPr>
            </w:pPr>
            <w:r>
              <w:rPr>
                <w:sz w:val="21"/>
                <w:szCs w:val="21"/>
                <w:highlight w:val="none"/>
              </w:rPr>
              <w:t>试验</w:t>
            </w:r>
          </w:p>
        </w:tc>
        <w:tc>
          <w:tcPr>
            <w:tcW w:w="1163" w:type="dxa"/>
            <w:vAlign w:val="center"/>
          </w:tcPr>
          <w:p>
            <w:pPr>
              <w:spacing w:line="240" w:lineRule="auto"/>
              <w:ind w:firstLine="0" w:firstLineChars="0"/>
              <w:jc w:val="center"/>
              <w:rPr>
                <w:sz w:val="21"/>
                <w:szCs w:val="21"/>
                <w:highlight w:val="none"/>
              </w:rPr>
            </w:pPr>
            <w:r>
              <w:rPr>
                <w:sz w:val="21"/>
                <w:szCs w:val="21"/>
                <w:highlight w:val="none"/>
              </w:rPr>
              <w:t>抽水时间</w:t>
            </w:r>
          </w:p>
        </w:tc>
        <w:tc>
          <w:tcPr>
            <w:tcW w:w="1164" w:type="dxa"/>
            <w:vAlign w:val="center"/>
          </w:tcPr>
          <w:p>
            <w:pPr>
              <w:spacing w:line="240" w:lineRule="auto"/>
              <w:ind w:firstLine="0" w:firstLineChars="0"/>
              <w:jc w:val="center"/>
              <w:rPr>
                <w:sz w:val="21"/>
                <w:szCs w:val="21"/>
                <w:highlight w:val="none"/>
              </w:rPr>
            </w:pPr>
            <w:r>
              <w:rPr>
                <w:sz w:val="21"/>
                <w:szCs w:val="21"/>
                <w:highlight w:val="none"/>
              </w:rPr>
              <w:t>稳定时间</w:t>
            </w:r>
          </w:p>
        </w:tc>
        <w:tc>
          <w:tcPr>
            <w:tcW w:w="1578" w:type="dxa"/>
            <w:vAlign w:val="center"/>
          </w:tcPr>
          <w:p>
            <w:pPr>
              <w:spacing w:line="240" w:lineRule="auto"/>
              <w:ind w:firstLine="0" w:firstLineChars="0"/>
              <w:jc w:val="center"/>
              <w:rPr>
                <w:sz w:val="21"/>
                <w:szCs w:val="21"/>
                <w:highlight w:val="none"/>
              </w:rPr>
            </w:pPr>
            <w:r>
              <w:rPr>
                <w:sz w:val="21"/>
                <w:szCs w:val="21"/>
                <w:highlight w:val="none"/>
              </w:rPr>
              <w:t>抽水量</w:t>
            </w:r>
          </w:p>
        </w:tc>
        <w:tc>
          <w:tcPr>
            <w:tcW w:w="1520" w:type="dxa"/>
            <w:vAlign w:val="center"/>
          </w:tcPr>
          <w:p>
            <w:pPr>
              <w:spacing w:line="240" w:lineRule="auto"/>
              <w:ind w:firstLine="0" w:firstLineChars="0"/>
              <w:jc w:val="center"/>
              <w:rPr>
                <w:sz w:val="21"/>
                <w:szCs w:val="21"/>
                <w:highlight w:val="none"/>
              </w:rPr>
            </w:pPr>
            <w:r>
              <w:rPr>
                <w:sz w:val="21"/>
                <w:szCs w:val="21"/>
                <w:highlight w:val="none"/>
              </w:rPr>
              <w:t>降深</w:t>
            </w:r>
          </w:p>
        </w:tc>
        <w:tc>
          <w:tcPr>
            <w:tcW w:w="1936" w:type="dxa"/>
            <w:gridSpan w:val="2"/>
            <w:vAlign w:val="center"/>
          </w:tcPr>
          <w:p>
            <w:pPr>
              <w:spacing w:line="240" w:lineRule="auto"/>
              <w:ind w:firstLine="0" w:firstLineChars="0"/>
              <w:jc w:val="center"/>
              <w:rPr>
                <w:sz w:val="21"/>
                <w:szCs w:val="21"/>
                <w:highlight w:val="none"/>
              </w:rPr>
            </w:pPr>
            <w:r>
              <w:rPr>
                <w:sz w:val="21"/>
                <w:szCs w:val="21"/>
                <w:highlight w:val="none"/>
              </w:rPr>
              <w:t>单位涌水量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2" w:hRule="atLeast"/>
        </w:trPr>
        <w:tc>
          <w:tcPr>
            <w:tcW w:w="1161" w:type="dxa"/>
            <w:vMerge w:val="continue"/>
            <w:vAlign w:val="center"/>
          </w:tcPr>
          <w:p>
            <w:pPr>
              <w:spacing w:line="240" w:lineRule="auto"/>
              <w:ind w:firstLine="0" w:firstLineChars="0"/>
              <w:jc w:val="center"/>
              <w:rPr>
                <w:sz w:val="21"/>
                <w:szCs w:val="21"/>
                <w:highlight w:val="none"/>
              </w:rPr>
            </w:pPr>
          </w:p>
        </w:tc>
        <w:tc>
          <w:tcPr>
            <w:tcW w:w="1163" w:type="dxa"/>
            <w:vAlign w:val="center"/>
          </w:tcPr>
          <w:p>
            <w:pPr>
              <w:spacing w:line="240" w:lineRule="auto"/>
              <w:ind w:firstLine="0" w:firstLineChars="0"/>
              <w:jc w:val="center"/>
              <w:rPr>
                <w:sz w:val="21"/>
                <w:szCs w:val="21"/>
                <w:highlight w:val="none"/>
              </w:rPr>
            </w:pPr>
            <w:r>
              <w:rPr>
                <w:sz w:val="21"/>
                <w:szCs w:val="21"/>
                <w:highlight w:val="none"/>
              </w:rPr>
              <w:t>h</w:t>
            </w:r>
          </w:p>
        </w:tc>
        <w:tc>
          <w:tcPr>
            <w:tcW w:w="1164" w:type="dxa"/>
            <w:vAlign w:val="center"/>
          </w:tcPr>
          <w:p>
            <w:pPr>
              <w:spacing w:line="240" w:lineRule="auto"/>
              <w:ind w:firstLine="0" w:firstLineChars="0"/>
              <w:jc w:val="center"/>
              <w:rPr>
                <w:sz w:val="21"/>
                <w:szCs w:val="21"/>
                <w:highlight w:val="none"/>
              </w:rPr>
            </w:pPr>
            <w:r>
              <w:rPr>
                <w:sz w:val="21"/>
                <w:szCs w:val="21"/>
                <w:highlight w:val="none"/>
              </w:rPr>
              <w:t>h</w:t>
            </w:r>
          </w:p>
        </w:tc>
        <w:tc>
          <w:tcPr>
            <w:tcW w:w="1578" w:type="dxa"/>
            <w:vAlign w:val="center"/>
          </w:tcPr>
          <w:p>
            <w:pPr>
              <w:spacing w:line="240" w:lineRule="auto"/>
              <w:ind w:firstLine="0" w:firstLineChars="0"/>
              <w:jc w:val="center"/>
              <w:rPr>
                <w:sz w:val="21"/>
                <w:szCs w:val="21"/>
                <w:highlight w:val="none"/>
              </w:rPr>
            </w:pPr>
            <w:r>
              <w:rPr>
                <w:sz w:val="21"/>
                <w:szCs w:val="21"/>
                <w:highlight w:val="none"/>
              </w:rPr>
              <w:t>m³/h</w:t>
            </w:r>
          </w:p>
        </w:tc>
        <w:tc>
          <w:tcPr>
            <w:tcW w:w="1520" w:type="dxa"/>
            <w:vAlign w:val="center"/>
          </w:tcPr>
          <w:p>
            <w:pPr>
              <w:spacing w:line="240" w:lineRule="auto"/>
              <w:ind w:firstLine="0" w:firstLineChars="0"/>
              <w:jc w:val="center"/>
              <w:rPr>
                <w:sz w:val="21"/>
                <w:szCs w:val="21"/>
                <w:highlight w:val="none"/>
              </w:rPr>
            </w:pPr>
            <w:r>
              <w:rPr>
                <w:sz w:val="21"/>
                <w:szCs w:val="21"/>
                <w:highlight w:val="none"/>
              </w:rPr>
              <w:t>m</w:t>
            </w:r>
          </w:p>
        </w:tc>
        <w:tc>
          <w:tcPr>
            <w:tcW w:w="1936" w:type="dxa"/>
            <w:gridSpan w:val="2"/>
            <w:vAlign w:val="center"/>
          </w:tcPr>
          <w:p>
            <w:pPr>
              <w:spacing w:line="240" w:lineRule="auto"/>
              <w:ind w:firstLine="0" w:firstLineChars="0"/>
              <w:jc w:val="center"/>
              <w:rPr>
                <w:sz w:val="21"/>
                <w:szCs w:val="21"/>
                <w:highlight w:val="none"/>
              </w:rPr>
            </w:pPr>
            <w:r>
              <w:rPr>
                <w:sz w:val="21"/>
                <w:szCs w:val="21"/>
                <w:highlight w:val="none"/>
              </w:rPr>
              <w:t>m³/h·m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161" w:type="dxa"/>
            <w:vAlign w:val="center"/>
          </w:tcPr>
          <w:p>
            <w:pPr>
              <w:spacing w:line="240" w:lineRule="auto"/>
              <w:ind w:firstLine="0" w:firstLineChars="0"/>
              <w:jc w:val="center"/>
              <w:rPr>
                <w:sz w:val="21"/>
                <w:szCs w:val="21"/>
                <w:highlight w:val="none"/>
              </w:rPr>
            </w:pPr>
            <w:r>
              <w:rPr>
                <w:sz w:val="21"/>
                <w:szCs w:val="21"/>
                <w:highlight w:val="none"/>
              </w:rPr>
              <w:t>抽水井</w:t>
            </w:r>
          </w:p>
        </w:tc>
        <w:tc>
          <w:tcPr>
            <w:tcW w:w="1163" w:type="dxa"/>
            <w:vAlign w:val="center"/>
          </w:tcPr>
          <w:p>
            <w:pPr>
              <w:spacing w:line="240" w:lineRule="auto"/>
              <w:ind w:firstLine="0" w:firstLineChars="0"/>
              <w:jc w:val="center"/>
              <w:rPr>
                <w:sz w:val="21"/>
                <w:szCs w:val="21"/>
                <w:highlight w:val="none"/>
              </w:rPr>
            </w:pPr>
            <w:r>
              <w:rPr>
                <w:sz w:val="21"/>
                <w:szCs w:val="21"/>
                <w:highlight w:val="none"/>
              </w:rPr>
              <w:t>8:00</w:t>
            </w:r>
          </w:p>
        </w:tc>
        <w:tc>
          <w:tcPr>
            <w:tcW w:w="1164" w:type="dxa"/>
            <w:vAlign w:val="center"/>
          </w:tcPr>
          <w:p>
            <w:pPr>
              <w:spacing w:line="240" w:lineRule="auto"/>
              <w:ind w:firstLine="0" w:firstLineChars="0"/>
              <w:jc w:val="center"/>
              <w:rPr>
                <w:sz w:val="21"/>
                <w:szCs w:val="21"/>
                <w:highlight w:val="none"/>
              </w:rPr>
            </w:pPr>
            <w:r>
              <w:rPr>
                <w:sz w:val="21"/>
                <w:szCs w:val="21"/>
                <w:highlight w:val="none"/>
              </w:rPr>
              <w:t>4:50</w:t>
            </w:r>
          </w:p>
        </w:tc>
        <w:tc>
          <w:tcPr>
            <w:tcW w:w="1578" w:type="dxa"/>
            <w:vAlign w:val="center"/>
          </w:tcPr>
          <w:p>
            <w:pPr>
              <w:spacing w:line="240" w:lineRule="auto"/>
              <w:ind w:firstLine="0" w:firstLineChars="0"/>
              <w:jc w:val="center"/>
              <w:rPr>
                <w:sz w:val="21"/>
                <w:szCs w:val="21"/>
                <w:highlight w:val="none"/>
              </w:rPr>
            </w:pPr>
            <w:r>
              <w:rPr>
                <w:sz w:val="21"/>
                <w:szCs w:val="21"/>
                <w:highlight w:val="none"/>
              </w:rPr>
              <w:t>214.58</w:t>
            </w:r>
          </w:p>
        </w:tc>
        <w:tc>
          <w:tcPr>
            <w:tcW w:w="1520" w:type="dxa"/>
            <w:vAlign w:val="center"/>
          </w:tcPr>
          <w:p>
            <w:pPr>
              <w:spacing w:line="240" w:lineRule="auto"/>
              <w:ind w:firstLine="0" w:firstLineChars="0"/>
              <w:jc w:val="center"/>
              <w:rPr>
                <w:sz w:val="21"/>
                <w:szCs w:val="21"/>
                <w:highlight w:val="none"/>
              </w:rPr>
            </w:pPr>
            <w:r>
              <w:rPr>
                <w:sz w:val="21"/>
                <w:szCs w:val="21"/>
                <w:highlight w:val="none"/>
              </w:rPr>
              <w:t>10.49</w:t>
            </w:r>
          </w:p>
        </w:tc>
        <w:tc>
          <w:tcPr>
            <w:tcW w:w="1936" w:type="dxa"/>
            <w:gridSpan w:val="2"/>
            <w:vAlign w:val="center"/>
          </w:tcPr>
          <w:p>
            <w:pPr>
              <w:spacing w:line="240" w:lineRule="auto"/>
              <w:ind w:firstLine="0" w:firstLineChars="0"/>
              <w:jc w:val="center"/>
              <w:rPr>
                <w:sz w:val="21"/>
                <w:szCs w:val="21"/>
                <w:highlight w:val="none"/>
              </w:rPr>
            </w:pPr>
            <w:r>
              <w:rPr>
                <w:sz w:val="21"/>
                <w:szCs w:val="21"/>
                <w:highlight w:val="none"/>
              </w:rPr>
              <w:t>20.456</w:t>
            </w:r>
          </w:p>
        </w:tc>
      </w:tr>
    </w:tbl>
    <w:p>
      <w:pPr>
        <w:autoSpaceDE w:val="0"/>
        <w:autoSpaceDN w:val="0"/>
        <w:ind w:firstLine="0" w:firstLineChars="0"/>
        <w:jc w:val="center"/>
        <w:rPr>
          <w:sz w:val="24"/>
          <w:highlight w:val="none"/>
        </w:rPr>
      </w:pPr>
      <w:r>
        <w:rPr>
          <w:sz w:val="24"/>
          <w:highlight w:val="none"/>
        </w:rPr>
        <w:drawing>
          <wp:inline distT="0" distB="0" distL="0" distR="0">
            <wp:extent cx="4676775" cy="2962275"/>
            <wp:effectExtent l="19050" t="0" r="9525" b="0"/>
            <wp:docPr id="28" name="图表 10"/>
            <wp:cNvGraphicFramePr/>
            <a:graphic xmlns:a="http://schemas.openxmlformats.org/drawingml/2006/main">
              <a:graphicData uri="http://schemas.openxmlformats.org/drawingml/2006/picture">
                <pic:pic xmlns:pic="http://schemas.openxmlformats.org/drawingml/2006/picture">
                  <pic:nvPicPr>
                    <pic:cNvPr id="28" name="图表 10"/>
                    <pic:cNvPicPr>
                      <a:picLocks noChangeArrowheads="1"/>
                    </pic:cNvPicPr>
                  </pic:nvPicPr>
                  <pic:blipFill>
                    <a:blip r:embed="rId56" cstate="print"/>
                    <a:srcRect/>
                    <a:stretch>
                      <a:fillRect/>
                    </a:stretch>
                  </pic:blipFill>
                  <pic:spPr>
                    <a:xfrm>
                      <a:off x="0" y="0"/>
                      <a:ext cx="4676775" cy="2962275"/>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rPr>
      </w:pPr>
      <w:r>
        <w:rPr>
          <w:rFonts w:eastAsia="黑体"/>
          <w:sz w:val="21"/>
          <w:szCs w:val="21"/>
          <w:highlight w:val="none"/>
        </w:rPr>
        <w:t>图5.2-1</w:t>
      </w:r>
      <w:r>
        <w:rPr>
          <w:rFonts w:hint="eastAsia" w:eastAsia="黑体"/>
          <w:sz w:val="21"/>
          <w:szCs w:val="21"/>
          <w:highlight w:val="none"/>
        </w:rPr>
        <w:t>3</w:t>
      </w:r>
      <w:r>
        <w:rPr>
          <w:rFonts w:eastAsia="黑体"/>
          <w:sz w:val="21"/>
          <w:szCs w:val="21"/>
          <w:highlight w:val="none"/>
        </w:rPr>
        <w:t>大曹各寨村内抽水试验水位埋深-时间曲线</w:t>
      </w:r>
    </w:p>
    <w:p>
      <w:pPr>
        <w:autoSpaceDE w:val="0"/>
        <w:autoSpaceDN w:val="0"/>
        <w:ind w:firstLine="0" w:firstLineChars="0"/>
        <w:jc w:val="center"/>
        <w:rPr>
          <w:sz w:val="24"/>
          <w:highlight w:val="none"/>
        </w:rPr>
      </w:pPr>
      <w:r>
        <w:rPr>
          <w:sz w:val="24"/>
          <w:highlight w:val="none"/>
        </w:rPr>
        <w:drawing>
          <wp:inline distT="0" distB="0" distL="0" distR="0">
            <wp:extent cx="4752975" cy="2533650"/>
            <wp:effectExtent l="19050" t="0" r="9525" b="0"/>
            <wp:docPr id="29" name="图表 9"/>
            <wp:cNvGraphicFramePr/>
            <a:graphic xmlns:a="http://schemas.openxmlformats.org/drawingml/2006/main">
              <a:graphicData uri="http://schemas.openxmlformats.org/drawingml/2006/picture">
                <pic:pic xmlns:pic="http://schemas.openxmlformats.org/drawingml/2006/picture">
                  <pic:nvPicPr>
                    <pic:cNvPr id="29" name="图表 9"/>
                    <pic:cNvPicPr>
                      <a:picLocks noChangeArrowheads="1"/>
                    </pic:cNvPicPr>
                  </pic:nvPicPr>
                  <pic:blipFill>
                    <a:blip r:embed="rId57" cstate="print"/>
                    <a:srcRect/>
                    <a:stretch>
                      <a:fillRect/>
                    </a:stretch>
                  </pic:blipFill>
                  <pic:spPr>
                    <a:xfrm>
                      <a:off x="0" y="0"/>
                      <a:ext cx="4752975" cy="2533650"/>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rPr>
      </w:pPr>
      <w:r>
        <w:rPr>
          <w:rFonts w:eastAsia="黑体"/>
          <w:sz w:val="21"/>
          <w:szCs w:val="21"/>
          <w:highlight w:val="none"/>
        </w:rPr>
        <w:t>图5.2-1</w:t>
      </w:r>
      <w:r>
        <w:rPr>
          <w:rFonts w:hint="eastAsia" w:eastAsia="黑体"/>
          <w:sz w:val="21"/>
          <w:szCs w:val="21"/>
          <w:highlight w:val="none"/>
        </w:rPr>
        <w:t>4</w:t>
      </w:r>
      <w:r>
        <w:rPr>
          <w:rFonts w:eastAsia="黑体"/>
          <w:sz w:val="21"/>
          <w:szCs w:val="21"/>
          <w:highlight w:val="none"/>
        </w:rPr>
        <w:t xml:space="preserve"> 大曹各寨村内抽水试验水位降深-时间曲线</w:t>
      </w:r>
    </w:p>
    <w:p>
      <w:pPr>
        <w:autoSpaceDE w:val="0"/>
        <w:autoSpaceDN w:val="0"/>
        <w:spacing w:line="440" w:lineRule="atLeast"/>
        <w:ind w:firstLine="482"/>
        <w:rPr>
          <w:b/>
          <w:sz w:val="24"/>
          <w:highlight w:val="none"/>
        </w:rPr>
      </w:pPr>
      <w:r>
        <w:rPr>
          <w:b/>
          <w:sz w:val="24"/>
          <w:highlight w:val="none"/>
        </w:rPr>
        <w:t>b.参数计算方法</w:t>
      </w:r>
    </w:p>
    <w:p>
      <w:pPr>
        <w:spacing w:line="440" w:lineRule="atLeast"/>
        <w:ind w:firstLine="482"/>
        <w:rPr>
          <w:b/>
          <w:sz w:val="24"/>
          <w:szCs w:val="24"/>
          <w:highlight w:val="none"/>
        </w:rPr>
      </w:pPr>
      <w:r>
        <w:rPr>
          <w:b/>
          <w:sz w:val="24"/>
          <w:szCs w:val="24"/>
          <w:highlight w:val="none"/>
        </w:rPr>
        <w:t>潜水井Dupuit公式法</w:t>
      </w:r>
    </w:p>
    <w:p>
      <w:pPr>
        <w:spacing w:line="440" w:lineRule="atLeast"/>
        <w:ind w:firstLine="0" w:firstLineChars="0"/>
        <w:jc w:val="center"/>
        <w:rPr>
          <w:sz w:val="24"/>
          <w:szCs w:val="24"/>
          <w:highlight w:val="none"/>
        </w:rPr>
      </w:pPr>
      <w:r>
        <w:rPr>
          <w:position w:val="-30"/>
          <w:sz w:val="24"/>
          <w:szCs w:val="24"/>
          <w:highlight w:val="none"/>
        </w:rPr>
        <w:object>
          <v:shape id="_x0000_i1028" o:spt="75" type="#_x0000_t75" style="height:34.5pt;width:176.5pt;" o:ole="t" filled="f" o:preferrelative="t" stroked="f" coordsize="21600,21600">
            <v:path/>
            <v:fill on="f" focussize="0,0"/>
            <v:stroke on="f" joinstyle="miter"/>
            <v:imagedata r:id="rId59" o:title=""/>
            <o:lock v:ext="edit" aspectratio="t"/>
            <w10:wrap type="none"/>
            <w10:anchorlock/>
          </v:shape>
          <o:OLEObject Type="Embed" ProgID="Equation.3" ShapeID="_x0000_i1028" DrawAspect="Content" ObjectID="_1468075728" r:id="rId58">
            <o:LockedField>false</o:LockedField>
          </o:OLEObject>
        </w:object>
      </w:r>
      <w:r>
        <w:rPr>
          <w:sz w:val="24"/>
          <w:szCs w:val="24"/>
          <w:highlight w:val="none"/>
        </w:rPr>
        <w:t>（5.2-1）</w:t>
      </w:r>
    </w:p>
    <w:p>
      <w:pPr>
        <w:spacing w:line="440" w:lineRule="atLeast"/>
        <w:ind w:firstLine="0" w:firstLineChars="0"/>
        <w:jc w:val="center"/>
        <w:rPr>
          <w:sz w:val="24"/>
          <w:szCs w:val="24"/>
          <w:highlight w:val="none"/>
        </w:rPr>
      </w:pPr>
      <w:r>
        <w:rPr>
          <w:position w:val="-14"/>
          <w:sz w:val="24"/>
          <w:szCs w:val="24"/>
          <w:highlight w:val="none"/>
        </w:rPr>
        <w:object>
          <v:shape id="_x0000_i1029" o:spt="75" type="#_x0000_t75" style="height:20.5pt;width:76.5pt;" o:ole="t" filled="f" o:preferrelative="t" stroked="f" coordsize="21600,21600">
            <v:path/>
            <v:fill on="f" focussize="0,0"/>
            <v:stroke on="f" joinstyle="miter"/>
            <v:imagedata r:id="rId61" o:title=""/>
            <o:lock v:ext="edit" aspectratio="t"/>
            <w10:wrap type="none"/>
            <w10:anchorlock/>
          </v:shape>
          <o:OLEObject Type="Embed" ProgID="Equation.3" ShapeID="_x0000_i1029" DrawAspect="Content" ObjectID="_1468075729" r:id="rId60">
            <o:LockedField>false</o:LockedField>
          </o:OLEObject>
        </w:object>
      </w:r>
      <w:r>
        <w:rPr>
          <w:sz w:val="24"/>
          <w:szCs w:val="24"/>
          <w:highlight w:val="none"/>
        </w:rPr>
        <w:t xml:space="preserve"> (库萨金公式)            （5.2-2）</w:t>
      </w:r>
    </w:p>
    <w:p>
      <w:pPr>
        <w:pStyle w:val="26"/>
        <w:spacing w:line="440" w:lineRule="atLeast"/>
        <w:jc w:val="center"/>
        <w:rPr>
          <w:rFonts w:ascii="Times New Roman" w:hAnsi="Times New Roman"/>
          <w:szCs w:val="24"/>
          <w:highlight w:val="none"/>
        </w:rPr>
      </w:pPr>
      <w:r>
        <w:rPr>
          <w:rFonts w:ascii="Times New Roman" w:hAnsi="Times New Roman"/>
          <w:position w:val="-30"/>
          <w:szCs w:val="24"/>
          <w:highlight w:val="none"/>
        </w:rPr>
        <w:object>
          <v:shape id="_x0000_i1030" o:spt="75" type="#_x0000_t75" style="height:34.5pt;width:120pt;" o:ole="t" filled="f" o:preferrelative="t" stroked="f" coordsize="21600,21600">
            <v:path/>
            <v:fill on="f" focussize="0,0"/>
            <v:stroke on="f" joinstyle="miter"/>
            <v:imagedata r:id="rId63" o:title=""/>
            <o:lock v:ext="edit" aspectratio="t"/>
            <w10:wrap type="none"/>
            <w10:anchorlock/>
          </v:shape>
          <o:OLEObject Type="Embed" ProgID="Equation.DSMT4" ShapeID="_x0000_i1030" DrawAspect="Content" ObjectID="_1468075730" r:id="rId62">
            <o:LockedField>false</o:LockedField>
          </o:OLEObject>
        </w:object>
      </w:r>
      <w:r>
        <w:rPr>
          <w:rFonts w:ascii="Times New Roman" w:hAnsi="Times New Roman"/>
          <w:kern w:val="0"/>
          <w:sz w:val="24"/>
          <w:szCs w:val="24"/>
          <w:highlight w:val="none"/>
        </w:rPr>
        <w:t>（5.2-3）</w:t>
      </w:r>
    </w:p>
    <w:p>
      <w:pPr>
        <w:spacing w:line="440" w:lineRule="atLeast"/>
        <w:ind w:firstLine="480"/>
        <w:rPr>
          <w:sz w:val="24"/>
          <w:highlight w:val="none"/>
        </w:rPr>
      </w:pPr>
      <w:r>
        <w:rPr>
          <w:sz w:val="24"/>
          <w:highlight w:val="none"/>
        </w:rPr>
        <w:t>式中，</w:t>
      </w:r>
    </w:p>
    <w:p>
      <w:pPr>
        <w:spacing w:line="440" w:lineRule="atLeast"/>
        <w:ind w:firstLine="960" w:firstLineChars="400"/>
        <w:rPr>
          <w:sz w:val="24"/>
          <w:highlight w:val="none"/>
        </w:rPr>
      </w:pPr>
      <w:r>
        <w:rPr>
          <w:i/>
          <w:sz w:val="24"/>
          <w:highlight w:val="none"/>
        </w:rPr>
        <w:t>s</w:t>
      </w:r>
      <w:r>
        <w:rPr>
          <w:sz w:val="24"/>
          <w:highlight w:val="none"/>
          <w:vertAlign w:val="subscript"/>
        </w:rPr>
        <w:t>w</w:t>
      </w:r>
      <w:r>
        <w:rPr>
          <w:sz w:val="24"/>
          <w:highlight w:val="none"/>
        </w:rPr>
        <w:t>—井中水位降深，m；</w:t>
      </w:r>
    </w:p>
    <w:p>
      <w:pPr>
        <w:spacing w:line="440" w:lineRule="atLeast"/>
        <w:ind w:firstLine="960" w:firstLineChars="400"/>
        <w:rPr>
          <w:sz w:val="24"/>
          <w:highlight w:val="none"/>
        </w:rPr>
      </w:pPr>
      <w:r>
        <w:rPr>
          <w:i/>
          <w:sz w:val="24"/>
          <w:highlight w:val="none"/>
        </w:rPr>
        <w:t>Q</w:t>
      </w:r>
      <w:r>
        <w:rPr>
          <w:sz w:val="24"/>
          <w:highlight w:val="none"/>
        </w:rPr>
        <w:t>—抽水井流量，m</w:t>
      </w:r>
      <w:r>
        <w:rPr>
          <w:sz w:val="24"/>
          <w:highlight w:val="none"/>
          <w:vertAlign w:val="superscript"/>
        </w:rPr>
        <w:t>3</w:t>
      </w:r>
      <w:r>
        <w:rPr>
          <w:sz w:val="24"/>
          <w:highlight w:val="none"/>
        </w:rPr>
        <w:t>/d；</w:t>
      </w:r>
    </w:p>
    <w:p>
      <w:pPr>
        <w:spacing w:line="440" w:lineRule="atLeast"/>
        <w:ind w:firstLine="960" w:firstLineChars="400"/>
        <w:rPr>
          <w:sz w:val="24"/>
          <w:highlight w:val="none"/>
        </w:rPr>
      </w:pPr>
      <w:r>
        <w:rPr>
          <w:i/>
          <w:sz w:val="24"/>
          <w:highlight w:val="none"/>
        </w:rPr>
        <w:t>H</w:t>
      </w:r>
      <w:r>
        <w:rPr>
          <w:i/>
          <w:sz w:val="24"/>
          <w:highlight w:val="none"/>
          <w:vertAlign w:val="subscript"/>
        </w:rPr>
        <w:t>0</w:t>
      </w:r>
      <w:r>
        <w:rPr>
          <w:sz w:val="24"/>
          <w:highlight w:val="none"/>
        </w:rPr>
        <w:t>—潜水含水层初始厚度，m；</w:t>
      </w:r>
    </w:p>
    <w:p>
      <w:pPr>
        <w:spacing w:line="440" w:lineRule="atLeast"/>
        <w:ind w:firstLine="960" w:firstLineChars="400"/>
        <w:rPr>
          <w:sz w:val="24"/>
          <w:highlight w:val="none"/>
        </w:rPr>
      </w:pPr>
      <w:r>
        <w:rPr>
          <w:i/>
          <w:sz w:val="24"/>
          <w:highlight w:val="none"/>
        </w:rPr>
        <w:t>K</w:t>
      </w:r>
      <w:r>
        <w:rPr>
          <w:sz w:val="24"/>
          <w:highlight w:val="none"/>
        </w:rPr>
        <w:t>—渗透系数，m/d；</w:t>
      </w:r>
    </w:p>
    <w:p>
      <w:pPr>
        <w:spacing w:line="440" w:lineRule="atLeast"/>
        <w:ind w:firstLine="960" w:firstLineChars="400"/>
        <w:rPr>
          <w:sz w:val="24"/>
          <w:highlight w:val="none"/>
        </w:rPr>
      </w:pPr>
      <w:r>
        <w:rPr>
          <w:i/>
          <w:sz w:val="24"/>
          <w:highlight w:val="none"/>
        </w:rPr>
        <w:t>r</w:t>
      </w:r>
      <w:r>
        <w:rPr>
          <w:sz w:val="24"/>
          <w:highlight w:val="none"/>
          <w:vertAlign w:val="subscript"/>
        </w:rPr>
        <w:t>w</w:t>
      </w:r>
      <w:r>
        <w:rPr>
          <w:sz w:val="24"/>
          <w:highlight w:val="none"/>
        </w:rPr>
        <w:t>—井半径，m；</w:t>
      </w:r>
    </w:p>
    <w:p>
      <w:pPr>
        <w:spacing w:line="440" w:lineRule="atLeast"/>
        <w:ind w:firstLine="960" w:firstLineChars="400"/>
        <w:rPr>
          <w:sz w:val="24"/>
          <w:highlight w:val="none"/>
        </w:rPr>
      </w:pPr>
      <w:r>
        <w:rPr>
          <w:i/>
          <w:sz w:val="24"/>
          <w:highlight w:val="none"/>
        </w:rPr>
        <w:t>R</w:t>
      </w:r>
      <w:r>
        <w:rPr>
          <w:sz w:val="24"/>
          <w:highlight w:val="none"/>
        </w:rPr>
        <w:t>—影响半径（圆岛半径），m；</w:t>
      </w:r>
    </w:p>
    <w:p>
      <w:pPr>
        <w:ind w:firstLine="480"/>
        <w:rPr>
          <w:sz w:val="24"/>
          <w:szCs w:val="24"/>
          <w:highlight w:val="none"/>
        </w:rPr>
      </w:pPr>
    </w:p>
    <w:p>
      <w:pPr>
        <w:pStyle w:val="7"/>
        <w:spacing w:before="0" w:after="0" w:line="360" w:lineRule="auto"/>
        <w:ind w:left="0" w:firstLine="482" w:firstLineChars="200"/>
        <w:rPr>
          <w:color w:val="auto"/>
          <w:sz w:val="24"/>
          <w:szCs w:val="24"/>
          <w:highlight w:val="none"/>
        </w:rPr>
      </w:pPr>
      <w:r>
        <w:rPr>
          <w:color w:val="auto"/>
          <w:sz w:val="24"/>
          <w:szCs w:val="24"/>
          <w:highlight w:val="none"/>
        </w:rPr>
        <w:t>（5）水文地质参数计算结果与分析</w:t>
      </w:r>
    </w:p>
    <w:p>
      <w:pPr>
        <w:pStyle w:val="8"/>
        <w:spacing w:before="0" w:after="0" w:line="360" w:lineRule="auto"/>
        <w:ind w:left="140" w:leftChars="50" w:firstLine="240" w:firstLineChars="100"/>
        <w:rPr>
          <w:rFonts w:ascii="Times New Roman" w:hAnsi="Times New Roman" w:eastAsiaTheme="minorEastAsia"/>
          <w:b w:val="0"/>
          <w:color w:val="auto"/>
          <w:szCs w:val="24"/>
          <w:highlight w:val="none"/>
        </w:rPr>
      </w:pPr>
      <w:r>
        <w:rPr>
          <w:rFonts w:hint="eastAsia" w:ascii="宋体" w:hAnsi="宋体" w:eastAsia="宋体" w:cs="宋体"/>
          <w:b w:val="0"/>
          <w:color w:val="auto"/>
          <w:szCs w:val="24"/>
          <w:highlight w:val="none"/>
        </w:rPr>
        <w:t>①</w:t>
      </w:r>
      <w:r>
        <w:rPr>
          <w:rFonts w:ascii="Times New Roman" w:hAnsi="Times New Roman" w:eastAsiaTheme="minorEastAsia"/>
          <w:b w:val="0"/>
          <w:color w:val="auto"/>
          <w:szCs w:val="24"/>
          <w:highlight w:val="none"/>
        </w:rPr>
        <w:t>潜水井Dupuit公式法</w:t>
      </w:r>
    </w:p>
    <w:p>
      <w:pPr>
        <w:autoSpaceDE w:val="0"/>
        <w:autoSpaceDN w:val="0"/>
        <w:ind w:firstLine="480"/>
        <w:rPr>
          <w:sz w:val="24"/>
          <w:szCs w:val="24"/>
          <w:highlight w:val="none"/>
        </w:rPr>
      </w:pPr>
      <w:r>
        <w:rPr>
          <w:sz w:val="24"/>
          <w:szCs w:val="24"/>
          <w:highlight w:val="none"/>
        </w:rPr>
        <w:t>采用潜水井流Dupuit公式（5.2-1）至（5.2-3）对三个抽水试验场地进行渗透系数（K）和影响半径（R），结果见表5.2-</w:t>
      </w:r>
      <w:r>
        <w:rPr>
          <w:rFonts w:hint="eastAsia"/>
          <w:sz w:val="24"/>
          <w:szCs w:val="24"/>
          <w:highlight w:val="none"/>
        </w:rPr>
        <w:t>22</w:t>
      </w:r>
      <w:r>
        <w:rPr>
          <w:sz w:val="24"/>
          <w:szCs w:val="24"/>
          <w:highlight w:val="none"/>
        </w:rPr>
        <w:t>。</w:t>
      </w:r>
      <w:r>
        <w:rPr>
          <w:sz w:val="24"/>
          <w:highlight w:val="none"/>
        </w:rPr>
        <w:t>西新店子村</w:t>
      </w:r>
      <w:r>
        <w:rPr>
          <w:sz w:val="24"/>
          <w:szCs w:val="24"/>
          <w:highlight w:val="none"/>
        </w:rPr>
        <w:t>渗透系数K和影响半径分别为23.20m/d和133.14m；</w:t>
      </w:r>
      <w:r>
        <w:rPr>
          <w:sz w:val="24"/>
          <w:highlight w:val="none"/>
        </w:rPr>
        <w:t>项目东南750m</w:t>
      </w:r>
      <w:r>
        <w:rPr>
          <w:sz w:val="24"/>
          <w:szCs w:val="24"/>
          <w:highlight w:val="none"/>
        </w:rPr>
        <w:t>渗透系数K和影响半径分别为36.78m/d和26.00m；大曹各寨村渗透系数K和影响半径分别为32.52m/d和598.24m；</w:t>
      </w:r>
    </w:p>
    <w:p>
      <w:pPr>
        <w:spacing w:line="240" w:lineRule="auto"/>
        <w:ind w:firstLine="42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 xml:space="preserve">22 </w:t>
      </w:r>
      <w:r>
        <w:rPr>
          <w:rFonts w:eastAsia="黑体"/>
          <w:sz w:val="21"/>
          <w:szCs w:val="21"/>
          <w:highlight w:val="none"/>
        </w:rPr>
        <w:t>三个抽水试验潜水井流Dupuit计算成果表</w:t>
      </w:r>
    </w:p>
    <w:tbl>
      <w:tblPr>
        <w:tblStyle w:val="48"/>
        <w:tblW w:w="8519"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88"/>
        <w:gridCol w:w="1153"/>
        <w:gridCol w:w="1157"/>
        <w:gridCol w:w="1157"/>
        <w:gridCol w:w="1157"/>
        <w:gridCol w:w="1157"/>
        <w:gridCol w:w="115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1588" w:type="dxa"/>
            <w:vAlign w:val="center"/>
          </w:tcPr>
          <w:p>
            <w:pPr>
              <w:widowControl/>
              <w:spacing w:line="240" w:lineRule="auto"/>
              <w:ind w:firstLine="0" w:firstLineChars="0"/>
              <w:jc w:val="center"/>
              <w:rPr>
                <w:sz w:val="21"/>
                <w:szCs w:val="21"/>
                <w:highlight w:val="none"/>
              </w:rPr>
            </w:pPr>
            <w:r>
              <w:rPr>
                <w:sz w:val="21"/>
                <w:szCs w:val="21"/>
                <w:highlight w:val="none"/>
              </w:rPr>
              <w:t>抽水试验位置</w:t>
            </w:r>
          </w:p>
        </w:tc>
        <w:tc>
          <w:tcPr>
            <w:tcW w:w="1153" w:type="dxa"/>
            <w:vAlign w:val="center"/>
          </w:tcPr>
          <w:p>
            <w:pPr>
              <w:spacing w:line="240" w:lineRule="auto"/>
              <w:ind w:firstLine="0" w:firstLineChars="0"/>
              <w:jc w:val="center"/>
              <w:rPr>
                <w:sz w:val="21"/>
                <w:szCs w:val="21"/>
                <w:highlight w:val="none"/>
              </w:rPr>
            </w:pPr>
            <w:r>
              <w:rPr>
                <w:sz w:val="21"/>
                <w:szCs w:val="21"/>
                <w:highlight w:val="none"/>
              </w:rPr>
              <w:t>H0/m</w:t>
            </w:r>
          </w:p>
        </w:tc>
        <w:tc>
          <w:tcPr>
            <w:tcW w:w="1157" w:type="dxa"/>
            <w:vAlign w:val="center"/>
          </w:tcPr>
          <w:p>
            <w:pPr>
              <w:spacing w:line="240" w:lineRule="auto"/>
              <w:ind w:firstLine="0" w:firstLineChars="0"/>
              <w:jc w:val="center"/>
              <w:rPr>
                <w:sz w:val="21"/>
                <w:szCs w:val="21"/>
                <w:highlight w:val="none"/>
              </w:rPr>
            </w:pPr>
            <w:r>
              <w:rPr>
                <w:sz w:val="21"/>
                <w:szCs w:val="21"/>
                <w:highlight w:val="none"/>
              </w:rPr>
              <w:t>Sw/m</w:t>
            </w:r>
          </w:p>
        </w:tc>
        <w:tc>
          <w:tcPr>
            <w:tcW w:w="1157" w:type="dxa"/>
            <w:vAlign w:val="center"/>
          </w:tcPr>
          <w:p>
            <w:pPr>
              <w:spacing w:line="240" w:lineRule="auto"/>
              <w:ind w:firstLine="0" w:firstLineChars="0"/>
              <w:jc w:val="center"/>
              <w:rPr>
                <w:sz w:val="21"/>
                <w:szCs w:val="21"/>
                <w:highlight w:val="none"/>
              </w:rPr>
            </w:pPr>
            <w:r>
              <w:rPr>
                <w:sz w:val="21"/>
                <w:szCs w:val="21"/>
                <w:highlight w:val="none"/>
              </w:rPr>
              <w:t>Q/m</w:t>
            </w:r>
            <w:r>
              <w:rPr>
                <w:sz w:val="21"/>
                <w:szCs w:val="21"/>
                <w:highlight w:val="none"/>
                <w:vertAlign w:val="superscript"/>
              </w:rPr>
              <w:t>3</w:t>
            </w:r>
            <w:r>
              <w:rPr>
                <w:sz w:val="21"/>
                <w:szCs w:val="21"/>
                <w:highlight w:val="none"/>
              </w:rPr>
              <w:t>/d</w:t>
            </w:r>
          </w:p>
        </w:tc>
        <w:tc>
          <w:tcPr>
            <w:tcW w:w="1157" w:type="dxa"/>
            <w:vAlign w:val="center"/>
          </w:tcPr>
          <w:p>
            <w:pPr>
              <w:spacing w:line="240" w:lineRule="auto"/>
              <w:ind w:firstLine="0" w:firstLineChars="0"/>
              <w:jc w:val="center"/>
              <w:rPr>
                <w:sz w:val="21"/>
                <w:szCs w:val="21"/>
                <w:highlight w:val="none"/>
              </w:rPr>
            </w:pPr>
            <w:r>
              <w:rPr>
                <w:sz w:val="21"/>
                <w:szCs w:val="21"/>
                <w:highlight w:val="none"/>
              </w:rPr>
              <w:t>r/m</w:t>
            </w:r>
          </w:p>
        </w:tc>
        <w:tc>
          <w:tcPr>
            <w:tcW w:w="1157" w:type="dxa"/>
            <w:vAlign w:val="center"/>
          </w:tcPr>
          <w:p>
            <w:pPr>
              <w:spacing w:line="240" w:lineRule="auto"/>
              <w:ind w:firstLine="0" w:firstLineChars="0"/>
              <w:jc w:val="center"/>
              <w:rPr>
                <w:sz w:val="21"/>
                <w:szCs w:val="21"/>
                <w:highlight w:val="none"/>
              </w:rPr>
            </w:pPr>
            <w:r>
              <w:rPr>
                <w:sz w:val="21"/>
                <w:szCs w:val="21"/>
                <w:highlight w:val="none"/>
              </w:rPr>
              <w:t>R/m</w:t>
            </w:r>
          </w:p>
        </w:tc>
        <w:tc>
          <w:tcPr>
            <w:tcW w:w="1150" w:type="dxa"/>
            <w:vAlign w:val="center"/>
          </w:tcPr>
          <w:p>
            <w:pPr>
              <w:spacing w:line="240" w:lineRule="auto"/>
              <w:ind w:firstLine="0" w:firstLineChars="0"/>
              <w:jc w:val="center"/>
              <w:rPr>
                <w:sz w:val="21"/>
                <w:szCs w:val="21"/>
                <w:highlight w:val="none"/>
              </w:rPr>
            </w:pPr>
            <w:r>
              <w:rPr>
                <w:sz w:val="21"/>
                <w:szCs w:val="21"/>
                <w:highlight w:val="none"/>
              </w:rPr>
              <w:t>K/m/d</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1588" w:type="dxa"/>
            <w:vAlign w:val="center"/>
          </w:tcPr>
          <w:p>
            <w:pPr>
              <w:widowControl/>
              <w:spacing w:line="240" w:lineRule="auto"/>
              <w:ind w:firstLine="0" w:firstLineChars="0"/>
              <w:jc w:val="center"/>
              <w:rPr>
                <w:sz w:val="21"/>
                <w:szCs w:val="21"/>
                <w:highlight w:val="none"/>
              </w:rPr>
            </w:pPr>
            <w:r>
              <w:rPr>
                <w:sz w:val="21"/>
                <w:szCs w:val="21"/>
                <w:highlight w:val="none"/>
              </w:rPr>
              <w:t>西新店子村</w:t>
            </w:r>
          </w:p>
        </w:tc>
        <w:tc>
          <w:tcPr>
            <w:tcW w:w="1153" w:type="dxa"/>
            <w:vAlign w:val="center"/>
          </w:tcPr>
          <w:p>
            <w:pPr>
              <w:spacing w:line="240" w:lineRule="auto"/>
              <w:ind w:firstLine="0" w:firstLineChars="0"/>
              <w:jc w:val="center"/>
              <w:rPr>
                <w:sz w:val="21"/>
                <w:szCs w:val="21"/>
                <w:highlight w:val="none"/>
              </w:rPr>
            </w:pPr>
            <w:r>
              <w:rPr>
                <w:rFonts w:hint="eastAsia"/>
                <w:sz w:val="21"/>
                <w:szCs w:val="21"/>
                <w:highlight w:val="none"/>
              </w:rPr>
              <w:t>3</w:t>
            </w:r>
            <w:r>
              <w:rPr>
                <w:sz w:val="21"/>
                <w:szCs w:val="21"/>
                <w:highlight w:val="none"/>
              </w:rPr>
              <w:t>0.0</w:t>
            </w:r>
          </w:p>
        </w:tc>
        <w:tc>
          <w:tcPr>
            <w:tcW w:w="1157" w:type="dxa"/>
            <w:vAlign w:val="center"/>
          </w:tcPr>
          <w:p>
            <w:pPr>
              <w:spacing w:line="240" w:lineRule="auto"/>
              <w:ind w:firstLine="0" w:firstLineChars="0"/>
              <w:jc w:val="center"/>
              <w:rPr>
                <w:sz w:val="21"/>
                <w:szCs w:val="21"/>
                <w:highlight w:val="none"/>
              </w:rPr>
            </w:pPr>
            <w:r>
              <w:rPr>
                <w:sz w:val="21"/>
                <w:szCs w:val="21"/>
                <w:highlight w:val="none"/>
              </w:rPr>
              <w:t>3.09</w:t>
            </w:r>
          </w:p>
        </w:tc>
        <w:tc>
          <w:tcPr>
            <w:tcW w:w="1157" w:type="dxa"/>
            <w:vAlign w:val="center"/>
          </w:tcPr>
          <w:p>
            <w:pPr>
              <w:spacing w:line="240" w:lineRule="auto"/>
              <w:ind w:firstLine="0" w:firstLineChars="0"/>
              <w:jc w:val="center"/>
              <w:rPr>
                <w:sz w:val="21"/>
                <w:szCs w:val="21"/>
                <w:highlight w:val="none"/>
              </w:rPr>
            </w:pPr>
            <w:r>
              <w:rPr>
                <w:sz w:val="21"/>
                <w:szCs w:val="21"/>
                <w:highlight w:val="none"/>
              </w:rPr>
              <w:t>1224</w:t>
            </w:r>
          </w:p>
        </w:tc>
        <w:tc>
          <w:tcPr>
            <w:tcW w:w="1157" w:type="dxa"/>
            <w:vAlign w:val="center"/>
          </w:tcPr>
          <w:p>
            <w:pPr>
              <w:spacing w:line="240" w:lineRule="auto"/>
              <w:ind w:firstLine="0" w:firstLineChars="0"/>
              <w:jc w:val="center"/>
              <w:rPr>
                <w:sz w:val="21"/>
                <w:szCs w:val="21"/>
                <w:highlight w:val="none"/>
              </w:rPr>
            </w:pPr>
            <w:r>
              <w:rPr>
                <w:sz w:val="21"/>
                <w:szCs w:val="21"/>
                <w:highlight w:val="none"/>
              </w:rPr>
              <w:t>0.15</w:t>
            </w:r>
          </w:p>
        </w:tc>
        <w:tc>
          <w:tcPr>
            <w:tcW w:w="1157" w:type="dxa"/>
            <w:vAlign w:val="center"/>
          </w:tcPr>
          <w:p>
            <w:pPr>
              <w:spacing w:line="240" w:lineRule="auto"/>
              <w:ind w:firstLine="0" w:firstLineChars="0"/>
              <w:jc w:val="center"/>
              <w:rPr>
                <w:sz w:val="21"/>
                <w:szCs w:val="21"/>
                <w:highlight w:val="none"/>
              </w:rPr>
            </w:pPr>
            <w:r>
              <w:rPr>
                <w:sz w:val="21"/>
                <w:szCs w:val="21"/>
                <w:highlight w:val="none"/>
              </w:rPr>
              <w:t>133.14</w:t>
            </w:r>
          </w:p>
        </w:tc>
        <w:tc>
          <w:tcPr>
            <w:tcW w:w="1150" w:type="dxa"/>
            <w:vAlign w:val="center"/>
          </w:tcPr>
          <w:p>
            <w:pPr>
              <w:spacing w:line="240" w:lineRule="auto"/>
              <w:ind w:firstLine="199" w:firstLineChars="95"/>
              <w:rPr>
                <w:sz w:val="21"/>
                <w:szCs w:val="21"/>
                <w:highlight w:val="none"/>
              </w:rPr>
            </w:pPr>
            <w:r>
              <w:rPr>
                <w:sz w:val="21"/>
                <w:szCs w:val="21"/>
                <w:highlight w:val="none"/>
              </w:rPr>
              <w:t>23.20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88" w:type="dxa"/>
            <w:vAlign w:val="center"/>
          </w:tcPr>
          <w:p>
            <w:pPr>
              <w:widowControl/>
              <w:spacing w:line="240" w:lineRule="auto"/>
              <w:ind w:firstLine="0" w:firstLineChars="0"/>
              <w:jc w:val="center"/>
              <w:rPr>
                <w:sz w:val="21"/>
                <w:szCs w:val="21"/>
                <w:highlight w:val="none"/>
              </w:rPr>
            </w:pPr>
            <w:r>
              <w:rPr>
                <w:sz w:val="21"/>
                <w:szCs w:val="21"/>
                <w:highlight w:val="none"/>
              </w:rPr>
              <w:t>项目东南750m</w:t>
            </w:r>
          </w:p>
        </w:tc>
        <w:tc>
          <w:tcPr>
            <w:tcW w:w="1153"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157" w:type="dxa"/>
            <w:vAlign w:val="center"/>
          </w:tcPr>
          <w:p>
            <w:pPr>
              <w:spacing w:line="240" w:lineRule="auto"/>
              <w:ind w:firstLine="0" w:firstLineChars="0"/>
              <w:jc w:val="center"/>
              <w:rPr>
                <w:sz w:val="21"/>
                <w:szCs w:val="21"/>
                <w:highlight w:val="none"/>
              </w:rPr>
            </w:pPr>
            <w:r>
              <w:rPr>
                <w:sz w:val="21"/>
                <w:szCs w:val="21"/>
                <w:highlight w:val="none"/>
              </w:rPr>
              <w:t xml:space="preserve">0.48 </w:t>
            </w:r>
          </w:p>
        </w:tc>
        <w:tc>
          <w:tcPr>
            <w:tcW w:w="1157" w:type="dxa"/>
            <w:vAlign w:val="center"/>
          </w:tcPr>
          <w:p>
            <w:pPr>
              <w:spacing w:line="240" w:lineRule="auto"/>
              <w:ind w:firstLine="0" w:firstLineChars="0"/>
              <w:jc w:val="center"/>
              <w:rPr>
                <w:sz w:val="21"/>
                <w:szCs w:val="21"/>
                <w:highlight w:val="none"/>
              </w:rPr>
            </w:pPr>
            <w:r>
              <w:rPr>
                <w:sz w:val="21"/>
                <w:szCs w:val="21"/>
                <w:highlight w:val="none"/>
              </w:rPr>
              <w:t>425.0</w:t>
            </w:r>
          </w:p>
        </w:tc>
        <w:tc>
          <w:tcPr>
            <w:tcW w:w="1157" w:type="dxa"/>
            <w:vAlign w:val="center"/>
          </w:tcPr>
          <w:p>
            <w:pPr>
              <w:spacing w:line="240" w:lineRule="auto"/>
              <w:ind w:firstLine="0" w:firstLineChars="0"/>
              <w:jc w:val="center"/>
              <w:rPr>
                <w:sz w:val="21"/>
                <w:szCs w:val="21"/>
                <w:highlight w:val="none"/>
              </w:rPr>
            </w:pPr>
            <w:r>
              <w:rPr>
                <w:sz w:val="21"/>
                <w:szCs w:val="21"/>
                <w:highlight w:val="none"/>
              </w:rPr>
              <w:t xml:space="preserve">0.15 </w:t>
            </w:r>
          </w:p>
        </w:tc>
        <w:tc>
          <w:tcPr>
            <w:tcW w:w="1157" w:type="dxa"/>
            <w:vAlign w:val="center"/>
          </w:tcPr>
          <w:p>
            <w:pPr>
              <w:spacing w:line="240" w:lineRule="auto"/>
              <w:ind w:firstLine="0" w:firstLineChars="0"/>
              <w:jc w:val="center"/>
              <w:rPr>
                <w:sz w:val="21"/>
                <w:szCs w:val="21"/>
                <w:highlight w:val="none"/>
              </w:rPr>
            </w:pPr>
            <w:r>
              <w:rPr>
                <w:sz w:val="21"/>
                <w:szCs w:val="21"/>
                <w:highlight w:val="none"/>
              </w:rPr>
              <w:t>26.00</w:t>
            </w:r>
          </w:p>
        </w:tc>
        <w:tc>
          <w:tcPr>
            <w:tcW w:w="1150" w:type="dxa"/>
            <w:vAlign w:val="center"/>
          </w:tcPr>
          <w:p>
            <w:pPr>
              <w:spacing w:line="240" w:lineRule="auto"/>
              <w:ind w:firstLine="0" w:firstLineChars="0"/>
              <w:jc w:val="center"/>
              <w:rPr>
                <w:sz w:val="21"/>
                <w:szCs w:val="21"/>
                <w:highlight w:val="none"/>
              </w:rPr>
            </w:pPr>
            <w:r>
              <w:rPr>
                <w:sz w:val="21"/>
                <w:szCs w:val="21"/>
                <w:highlight w:val="none"/>
              </w:rPr>
              <w:t>36.78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88" w:type="dxa"/>
            <w:vAlign w:val="center"/>
          </w:tcPr>
          <w:p>
            <w:pPr>
              <w:widowControl/>
              <w:spacing w:line="240" w:lineRule="auto"/>
              <w:ind w:firstLine="0" w:firstLineChars="0"/>
              <w:jc w:val="center"/>
              <w:rPr>
                <w:sz w:val="21"/>
                <w:szCs w:val="21"/>
                <w:highlight w:val="none"/>
              </w:rPr>
            </w:pPr>
            <w:r>
              <w:rPr>
                <w:sz w:val="21"/>
                <w:szCs w:val="21"/>
                <w:highlight w:val="none"/>
              </w:rPr>
              <w:t>大曹各寨村</w:t>
            </w:r>
          </w:p>
        </w:tc>
        <w:tc>
          <w:tcPr>
            <w:tcW w:w="1153" w:type="dxa"/>
            <w:vAlign w:val="center"/>
          </w:tcPr>
          <w:p>
            <w:pPr>
              <w:spacing w:line="240" w:lineRule="auto"/>
              <w:ind w:firstLine="0" w:firstLineChars="0"/>
              <w:jc w:val="center"/>
              <w:rPr>
                <w:sz w:val="21"/>
                <w:szCs w:val="21"/>
                <w:highlight w:val="none"/>
              </w:rPr>
            </w:pPr>
            <w:r>
              <w:rPr>
                <w:rFonts w:hint="eastAsia"/>
                <w:sz w:val="21"/>
                <w:szCs w:val="21"/>
                <w:highlight w:val="none"/>
              </w:rPr>
              <w:t>30</w:t>
            </w:r>
            <w:r>
              <w:rPr>
                <w:sz w:val="21"/>
                <w:szCs w:val="21"/>
                <w:highlight w:val="none"/>
              </w:rPr>
              <w:t>.0</w:t>
            </w:r>
          </w:p>
        </w:tc>
        <w:tc>
          <w:tcPr>
            <w:tcW w:w="1157" w:type="dxa"/>
            <w:vAlign w:val="center"/>
          </w:tcPr>
          <w:p>
            <w:pPr>
              <w:spacing w:line="240" w:lineRule="auto"/>
              <w:ind w:firstLine="0" w:firstLineChars="0"/>
              <w:jc w:val="center"/>
              <w:rPr>
                <w:sz w:val="21"/>
                <w:szCs w:val="21"/>
                <w:highlight w:val="none"/>
              </w:rPr>
            </w:pPr>
            <w:r>
              <w:rPr>
                <w:sz w:val="21"/>
                <w:szCs w:val="21"/>
                <w:highlight w:val="none"/>
              </w:rPr>
              <w:t>10.49</w:t>
            </w:r>
          </w:p>
        </w:tc>
        <w:tc>
          <w:tcPr>
            <w:tcW w:w="1157" w:type="dxa"/>
            <w:vAlign w:val="center"/>
          </w:tcPr>
          <w:p>
            <w:pPr>
              <w:spacing w:line="240" w:lineRule="auto"/>
              <w:ind w:firstLine="0" w:firstLineChars="0"/>
              <w:jc w:val="center"/>
              <w:rPr>
                <w:sz w:val="21"/>
                <w:szCs w:val="21"/>
                <w:highlight w:val="none"/>
              </w:rPr>
            </w:pPr>
            <w:r>
              <w:rPr>
                <w:sz w:val="21"/>
                <w:szCs w:val="21"/>
                <w:highlight w:val="none"/>
              </w:rPr>
              <w:t>5105</w:t>
            </w:r>
          </w:p>
        </w:tc>
        <w:tc>
          <w:tcPr>
            <w:tcW w:w="1157" w:type="dxa"/>
            <w:vAlign w:val="center"/>
          </w:tcPr>
          <w:p>
            <w:pPr>
              <w:spacing w:line="240" w:lineRule="auto"/>
              <w:ind w:firstLine="0" w:firstLineChars="0"/>
              <w:jc w:val="center"/>
              <w:rPr>
                <w:sz w:val="21"/>
                <w:szCs w:val="21"/>
                <w:highlight w:val="none"/>
              </w:rPr>
            </w:pPr>
            <w:r>
              <w:rPr>
                <w:sz w:val="21"/>
                <w:szCs w:val="21"/>
                <w:highlight w:val="none"/>
              </w:rPr>
              <w:t>0.15</w:t>
            </w:r>
          </w:p>
        </w:tc>
        <w:tc>
          <w:tcPr>
            <w:tcW w:w="1157" w:type="dxa"/>
            <w:vAlign w:val="center"/>
          </w:tcPr>
          <w:p>
            <w:pPr>
              <w:spacing w:line="240" w:lineRule="auto"/>
              <w:ind w:firstLine="0" w:firstLineChars="0"/>
              <w:jc w:val="center"/>
              <w:rPr>
                <w:sz w:val="21"/>
                <w:szCs w:val="21"/>
                <w:highlight w:val="none"/>
              </w:rPr>
            </w:pPr>
            <w:r>
              <w:rPr>
                <w:sz w:val="21"/>
                <w:szCs w:val="21"/>
                <w:highlight w:val="none"/>
              </w:rPr>
              <w:t>598.24</w:t>
            </w:r>
          </w:p>
        </w:tc>
        <w:tc>
          <w:tcPr>
            <w:tcW w:w="1150" w:type="dxa"/>
            <w:vAlign w:val="center"/>
          </w:tcPr>
          <w:p>
            <w:pPr>
              <w:spacing w:line="240" w:lineRule="auto"/>
              <w:ind w:firstLine="0" w:firstLineChars="0"/>
              <w:jc w:val="center"/>
              <w:rPr>
                <w:sz w:val="21"/>
                <w:szCs w:val="21"/>
                <w:highlight w:val="none"/>
              </w:rPr>
            </w:pPr>
            <w:r>
              <w:rPr>
                <w:sz w:val="21"/>
                <w:szCs w:val="21"/>
                <w:highlight w:val="none"/>
              </w:rPr>
              <w:t>32.52</w:t>
            </w:r>
          </w:p>
        </w:tc>
      </w:tr>
    </w:tbl>
    <w:p>
      <w:pPr>
        <w:pStyle w:val="8"/>
        <w:spacing w:before="0" w:after="0" w:line="360" w:lineRule="auto"/>
        <w:ind w:left="140" w:leftChars="50" w:firstLine="240" w:firstLineChars="100"/>
        <w:rPr>
          <w:rFonts w:ascii="Times New Roman" w:hAnsi="Times New Roman" w:eastAsiaTheme="minorEastAsia"/>
          <w:b w:val="0"/>
          <w:color w:val="auto"/>
          <w:highlight w:val="none"/>
        </w:rPr>
      </w:pPr>
      <w:r>
        <w:rPr>
          <w:rFonts w:hint="eastAsia" w:ascii="宋体" w:hAnsi="宋体" w:eastAsia="宋体" w:cs="宋体"/>
          <w:b w:val="0"/>
          <w:color w:val="auto"/>
          <w:highlight w:val="none"/>
        </w:rPr>
        <w:t>②</w:t>
      </w:r>
      <w:r>
        <w:rPr>
          <w:rFonts w:ascii="Times New Roman" w:hAnsi="Times New Roman" w:eastAsiaTheme="minorEastAsia"/>
          <w:b w:val="0"/>
          <w:color w:val="auto"/>
          <w:highlight w:val="none"/>
        </w:rPr>
        <w:t>渗水试验与参数计算</w:t>
      </w:r>
    </w:p>
    <w:p>
      <w:pPr>
        <w:autoSpaceDE w:val="0"/>
        <w:autoSpaceDN w:val="0"/>
        <w:ind w:firstLine="480"/>
        <w:rPr>
          <w:sz w:val="24"/>
          <w:szCs w:val="24"/>
          <w:highlight w:val="none"/>
        </w:rPr>
      </w:pPr>
      <w:r>
        <w:rPr>
          <w:sz w:val="24"/>
          <w:szCs w:val="24"/>
          <w:highlight w:val="none"/>
        </w:rPr>
        <w:t>为查明项目区包气带的防污性能，为地下水污染防治措施的设计提供科学依据，本次分别完成了4处渗水试验，通过野外现场测定了包气带地层的垂向渗透系数。</w:t>
      </w:r>
    </w:p>
    <w:p>
      <w:pPr>
        <w:autoSpaceDE w:val="0"/>
        <w:autoSpaceDN w:val="0"/>
        <w:ind w:firstLine="480"/>
        <w:rPr>
          <w:sz w:val="24"/>
          <w:szCs w:val="24"/>
          <w:highlight w:val="none"/>
        </w:rPr>
      </w:pPr>
      <w:r>
        <w:rPr>
          <w:sz w:val="24"/>
          <w:szCs w:val="24"/>
          <w:highlight w:val="none"/>
        </w:rPr>
        <w:t>a.渗水实验求参原理</w:t>
      </w:r>
    </w:p>
    <w:p>
      <w:pPr>
        <w:autoSpaceDE w:val="0"/>
        <w:autoSpaceDN w:val="0"/>
        <w:ind w:firstLine="480"/>
        <w:rPr>
          <w:sz w:val="24"/>
          <w:szCs w:val="24"/>
          <w:highlight w:val="none"/>
        </w:rPr>
      </w:pPr>
      <w:r>
        <w:rPr>
          <w:sz w:val="24"/>
          <w:szCs w:val="24"/>
          <w:highlight w:val="none"/>
        </w:rPr>
        <w:t>试验采用双环渗水试验，分别将直径为0.5m和0.25m的铁圈插入地下土层内，试验时向内、外环同时注入清水，并保持内外环的水位基本一致，都为0.1m，由于外环渗透场的约束作用使内环的水只能垂向渗入，因而排除了侧向渗流的误差。当向内环单位时间注入水量稳定时，则根据达西渗透定律计算包气带地层饱和渗透系数K。</w:t>
      </w:r>
    </w:p>
    <w:p>
      <w:pPr>
        <w:ind w:firstLine="480"/>
        <w:rPr>
          <w:sz w:val="24"/>
          <w:highlight w:val="none"/>
        </w:rPr>
      </w:pPr>
      <w:r>
        <w:rPr>
          <w:sz w:val="24"/>
          <w:highlight w:val="none"/>
        </w:rPr>
        <w:t>如图5.2-1</w:t>
      </w:r>
      <w:r>
        <w:rPr>
          <w:rFonts w:hint="eastAsia"/>
          <w:sz w:val="24"/>
          <w:highlight w:val="none"/>
        </w:rPr>
        <w:t>5</w:t>
      </w:r>
      <w:r>
        <w:rPr>
          <w:sz w:val="24"/>
          <w:highlight w:val="none"/>
        </w:rPr>
        <w:t>进行试验，根据达西定律：</w:t>
      </w:r>
    </w:p>
    <w:p>
      <w:pPr>
        <w:ind w:firstLine="480"/>
        <w:rPr>
          <w:sz w:val="24"/>
          <w:highlight w:val="none"/>
        </w:rPr>
      </w:pPr>
      <w:r>
        <w:rPr>
          <w:sz w:val="24"/>
          <w:highlight w:val="none"/>
        </w:rPr>
        <w:drawing>
          <wp:inline distT="0" distB="0" distL="0" distR="0">
            <wp:extent cx="1162050" cy="400050"/>
            <wp:effectExtent l="0" t="0" r="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noChangeArrowheads="1"/>
                    </pic:cNvPicPr>
                  </pic:nvPicPr>
                  <pic:blipFill>
                    <a:blip r:embed="rId64" cstate="print"/>
                    <a:srcRect/>
                    <a:stretch>
                      <a:fillRect/>
                    </a:stretch>
                  </pic:blipFill>
                  <pic:spPr>
                    <a:xfrm>
                      <a:off x="0" y="0"/>
                      <a:ext cx="1162050" cy="400050"/>
                    </a:xfrm>
                    <a:prstGeom prst="rect">
                      <a:avLst/>
                    </a:prstGeom>
                    <a:noFill/>
                    <a:ln w="9525" cmpd="sng">
                      <a:noFill/>
                      <a:miter lim="800000"/>
                      <a:headEnd/>
                      <a:tailEnd/>
                    </a:ln>
                  </pic:spPr>
                </pic:pic>
              </a:graphicData>
            </a:graphic>
          </wp:inline>
        </w:drawing>
      </w:r>
    </w:p>
    <w:p>
      <w:pPr>
        <w:spacing w:line="540" w:lineRule="exact"/>
        <w:ind w:firstLine="480"/>
        <w:rPr>
          <w:sz w:val="24"/>
          <w:highlight w:val="none"/>
        </w:rPr>
      </w:pPr>
      <w:r>
        <w:rPr>
          <w:sz w:val="24"/>
          <w:highlight w:val="none"/>
        </w:rPr>
        <w:t>当水柱高度不大时，h</w:t>
      </w:r>
      <w:r>
        <w:rPr>
          <w:sz w:val="24"/>
          <w:highlight w:val="none"/>
          <w:vertAlign w:val="subscript"/>
        </w:rPr>
        <w:t>0</w:t>
      </w:r>
      <w:r>
        <w:rPr>
          <w:sz w:val="24"/>
          <w:highlight w:val="none"/>
        </w:rPr>
        <w:t>可以忽略不计，所以V=K。渗水达到稳定时，下渗速度为：</w:t>
      </w:r>
    </w:p>
    <w:p>
      <w:pPr>
        <w:ind w:firstLine="480"/>
        <w:rPr>
          <w:sz w:val="24"/>
          <w:highlight w:val="none"/>
        </w:rPr>
      </w:pPr>
      <w:r>
        <w:rPr>
          <w:sz w:val="24"/>
          <w:highlight w:val="none"/>
        </w:rPr>
        <w:drawing>
          <wp:inline distT="0" distB="0" distL="0" distR="0">
            <wp:extent cx="466725" cy="400050"/>
            <wp:effectExtent l="0" t="0" r="0" b="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noChangeArrowheads="1"/>
                    </pic:cNvPicPr>
                  </pic:nvPicPr>
                  <pic:blipFill>
                    <a:blip r:embed="rId65" cstate="print"/>
                    <a:srcRect/>
                    <a:stretch>
                      <a:fillRect/>
                    </a:stretch>
                  </pic:blipFill>
                  <pic:spPr>
                    <a:xfrm>
                      <a:off x="0" y="0"/>
                      <a:ext cx="466725" cy="400050"/>
                    </a:xfrm>
                    <a:prstGeom prst="rect">
                      <a:avLst/>
                    </a:prstGeom>
                    <a:noFill/>
                    <a:ln w="9525" cmpd="sng">
                      <a:noFill/>
                      <a:miter lim="800000"/>
                      <a:headEnd/>
                      <a:tailEnd/>
                    </a:ln>
                  </pic:spPr>
                </pic:pic>
              </a:graphicData>
            </a:graphic>
          </wp:inline>
        </w:drawing>
      </w:r>
    </w:p>
    <w:p>
      <w:pPr>
        <w:spacing w:line="540" w:lineRule="exact"/>
        <w:ind w:firstLine="480"/>
        <w:rPr>
          <w:sz w:val="24"/>
          <w:highlight w:val="none"/>
        </w:rPr>
      </w:pPr>
      <w:r>
        <w:rPr>
          <w:sz w:val="24"/>
          <w:highlight w:val="none"/>
        </w:rPr>
        <w:t>式中：V—下渗速度；Q—内环渗入流量；W—内环面积。</w:t>
      </w:r>
    </w:p>
    <w:p>
      <w:pPr>
        <w:widowControl/>
        <w:ind w:firstLine="0" w:firstLineChars="0"/>
        <w:jc w:val="center"/>
        <w:rPr>
          <w:sz w:val="24"/>
          <w:highlight w:val="none"/>
        </w:rPr>
      </w:pPr>
      <w:r>
        <w:rPr>
          <w:sz w:val="24"/>
          <w:highlight w:val="none"/>
        </w:rPr>
        <w:drawing>
          <wp:inline distT="0" distB="0" distL="0" distR="0">
            <wp:extent cx="3686175" cy="3286125"/>
            <wp:effectExtent l="19050" t="0" r="9525"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noChangeArrowheads="1"/>
                    </pic:cNvPicPr>
                  </pic:nvPicPr>
                  <pic:blipFill>
                    <a:blip r:embed="rId66" cstate="print"/>
                    <a:srcRect l="12076" t="4533" r="4926" b="30418"/>
                    <a:stretch>
                      <a:fillRect/>
                    </a:stretch>
                  </pic:blipFill>
                  <pic:spPr>
                    <a:xfrm>
                      <a:off x="0" y="0"/>
                      <a:ext cx="3686175" cy="3286125"/>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lang w:val="zh-CN"/>
        </w:rPr>
      </w:pPr>
      <w:r>
        <w:rPr>
          <w:rFonts w:eastAsia="黑体"/>
          <w:sz w:val="21"/>
          <w:szCs w:val="21"/>
          <w:highlight w:val="none"/>
          <w:lang w:val="zh-CN"/>
        </w:rPr>
        <w:t>图</w:t>
      </w:r>
      <w:r>
        <w:rPr>
          <w:rFonts w:eastAsia="黑体"/>
          <w:sz w:val="21"/>
          <w:szCs w:val="21"/>
          <w:highlight w:val="none"/>
        </w:rPr>
        <w:t>5.2-1</w:t>
      </w:r>
      <w:r>
        <w:rPr>
          <w:rFonts w:hint="eastAsia" w:eastAsia="黑体"/>
          <w:sz w:val="21"/>
          <w:szCs w:val="21"/>
          <w:highlight w:val="none"/>
        </w:rPr>
        <w:t>5</w:t>
      </w:r>
      <w:r>
        <w:rPr>
          <w:rFonts w:eastAsia="黑体"/>
          <w:sz w:val="21"/>
          <w:szCs w:val="21"/>
          <w:highlight w:val="none"/>
          <w:lang w:val="zh-CN"/>
        </w:rPr>
        <w:t>双环渗水试验原理图</w:t>
      </w:r>
    </w:p>
    <w:p>
      <w:pPr>
        <w:spacing w:line="540" w:lineRule="exact"/>
        <w:ind w:firstLine="480"/>
        <w:rPr>
          <w:sz w:val="24"/>
          <w:highlight w:val="none"/>
        </w:rPr>
      </w:pPr>
      <w:r>
        <w:rPr>
          <w:sz w:val="24"/>
          <w:highlight w:val="none"/>
        </w:rPr>
        <w:t>b.渗水实验求参结果</w:t>
      </w:r>
    </w:p>
    <w:p>
      <w:pPr>
        <w:spacing w:line="540" w:lineRule="exact"/>
        <w:ind w:firstLine="480"/>
        <w:rPr>
          <w:highlight w:val="none"/>
          <w:lang w:val="zh-CN"/>
        </w:rPr>
      </w:pPr>
      <w:r>
        <w:rPr>
          <w:sz w:val="24"/>
          <w:highlight w:val="none"/>
        </w:rPr>
        <w:t>双环渗水试验的计算结果参见表5.2-2</w:t>
      </w:r>
      <w:r>
        <w:rPr>
          <w:rFonts w:hint="eastAsia"/>
          <w:sz w:val="24"/>
          <w:highlight w:val="none"/>
        </w:rPr>
        <w:t>3</w:t>
      </w:r>
      <w:r>
        <w:rPr>
          <w:sz w:val="24"/>
          <w:highlight w:val="none"/>
        </w:rPr>
        <w:t>。</w:t>
      </w:r>
    </w:p>
    <w:p>
      <w:pPr>
        <w:autoSpaceDE w:val="0"/>
        <w:autoSpaceDN w:val="0"/>
        <w:spacing w:line="240" w:lineRule="auto"/>
        <w:ind w:firstLine="420"/>
        <w:jc w:val="center"/>
        <w:rPr>
          <w:rFonts w:eastAsia="黑体"/>
          <w:sz w:val="21"/>
          <w:szCs w:val="21"/>
          <w:highlight w:val="none"/>
          <w:lang w:val="zh-CN"/>
        </w:rPr>
      </w:pPr>
      <w:r>
        <w:rPr>
          <w:rFonts w:eastAsia="黑体"/>
          <w:sz w:val="21"/>
          <w:szCs w:val="21"/>
          <w:highlight w:val="none"/>
          <w:lang w:val="zh-CN"/>
        </w:rPr>
        <w:t>表</w:t>
      </w:r>
      <w:r>
        <w:rPr>
          <w:rFonts w:eastAsia="黑体"/>
          <w:sz w:val="21"/>
          <w:szCs w:val="21"/>
          <w:highlight w:val="none"/>
        </w:rPr>
        <w:t>5.2-2</w:t>
      </w:r>
      <w:r>
        <w:rPr>
          <w:rFonts w:hint="eastAsia" w:eastAsia="黑体"/>
          <w:sz w:val="21"/>
          <w:szCs w:val="21"/>
          <w:highlight w:val="none"/>
        </w:rPr>
        <w:t xml:space="preserve">3 </w:t>
      </w:r>
      <w:r>
        <w:rPr>
          <w:rFonts w:eastAsia="黑体"/>
          <w:sz w:val="21"/>
          <w:szCs w:val="21"/>
          <w:highlight w:val="none"/>
          <w:lang w:val="zh-CN"/>
        </w:rPr>
        <w:t>渗水试验渗透系数结果统计表</w:t>
      </w:r>
      <w:r>
        <w:rPr>
          <w:rFonts w:eastAsia="黑体"/>
          <w:sz w:val="21"/>
          <w:szCs w:val="21"/>
          <w:highlight w:val="none"/>
          <w:lang w:val="zh-CN"/>
        </w:rPr>
        <w:tab/>
      </w:r>
    </w:p>
    <w:tbl>
      <w:tblPr>
        <w:tblStyle w:val="48"/>
        <w:tblW w:w="8330" w:type="dxa"/>
        <w:tblInd w:w="0" w:type="dxa"/>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33"/>
        <w:gridCol w:w="1962"/>
        <w:gridCol w:w="1844"/>
        <w:gridCol w:w="1362"/>
        <w:gridCol w:w="1829"/>
      </w:tblGrid>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1333" w:type="dxa"/>
            <w:vMerge w:val="restart"/>
            <w:vAlign w:val="center"/>
          </w:tcPr>
          <w:p>
            <w:pPr>
              <w:spacing w:line="240" w:lineRule="auto"/>
              <w:ind w:firstLine="0" w:firstLineChars="0"/>
              <w:jc w:val="center"/>
              <w:rPr>
                <w:sz w:val="21"/>
                <w:szCs w:val="21"/>
                <w:highlight w:val="none"/>
              </w:rPr>
            </w:pPr>
            <w:r>
              <w:rPr>
                <w:sz w:val="21"/>
                <w:szCs w:val="21"/>
                <w:highlight w:val="none"/>
              </w:rPr>
              <w:t>实验点</w:t>
            </w:r>
          </w:p>
          <w:p>
            <w:pPr>
              <w:spacing w:line="240" w:lineRule="auto"/>
              <w:ind w:firstLine="0" w:firstLineChars="0"/>
              <w:jc w:val="center"/>
              <w:rPr>
                <w:sz w:val="21"/>
                <w:szCs w:val="21"/>
                <w:highlight w:val="none"/>
              </w:rPr>
            </w:pPr>
            <w:r>
              <w:rPr>
                <w:sz w:val="21"/>
                <w:szCs w:val="21"/>
                <w:highlight w:val="none"/>
              </w:rPr>
              <w:t>编号</w:t>
            </w:r>
          </w:p>
        </w:tc>
        <w:tc>
          <w:tcPr>
            <w:tcW w:w="3806" w:type="dxa"/>
            <w:gridSpan w:val="2"/>
            <w:vAlign w:val="center"/>
          </w:tcPr>
          <w:p>
            <w:pPr>
              <w:spacing w:line="240" w:lineRule="auto"/>
              <w:ind w:firstLine="420"/>
              <w:jc w:val="center"/>
              <w:rPr>
                <w:sz w:val="21"/>
                <w:szCs w:val="21"/>
                <w:highlight w:val="none"/>
              </w:rPr>
            </w:pPr>
            <w:r>
              <w:rPr>
                <w:sz w:val="21"/>
                <w:szCs w:val="21"/>
                <w:highlight w:val="none"/>
              </w:rPr>
              <w:t>试验点坐标</w:t>
            </w:r>
          </w:p>
        </w:tc>
        <w:tc>
          <w:tcPr>
            <w:tcW w:w="1362" w:type="dxa"/>
            <w:vMerge w:val="restart"/>
            <w:vAlign w:val="center"/>
          </w:tcPr>
          <w:p>
            <w:pPr>
              <w:spacing w:line="240" w:lineRule="auto"/>
              <w:ind w:firstLine="0" w:firstLineChars="0"/>
              <w:jc w:val="center"/>
              <w:rPr>
                <w:sz w:val="21"/>
                <w:szCs w:val="21"/>
                <w:highlight w:val="none"/>
              </w:rPr>
            </w:pPr>
            <w:r>
              <w:rPr>
                <w:sz w:val="21"/>
                <w:szCs w:val="21"/>
                <w:highlight w:val="none"/>
              </w:rPr>
              <w:t>水头高度</w:t>
            </w:r>
          </w:p>
          <w:p>
            <w:pPr>
              <w:spacing w:line="240" w:lineRule="auto"/>
              <w:ind w:firstLine="0" w:firstLineChars="0"/>
              <w:jc w:val="center"/>
              <w:rPr>
                <w:sz w:val="21"/>
                <w:szCs w:val="21"/>
                <w:highlight w:val="none"/>
              </w:rPr>
            </w:pPr>
            <w:r>
              <w:rPr>
                <w:sz w:val="21"/>
                <w:szCs w:val="21"/>
                <w:highlight w:val="none"/>
              </w:rPr>
              <w:t>（cm）</w:t>
            </w:r>
          </w:p>
        </w:tc>
        <w:tc>
          <w:tcPr>
            <w:tcW w:w="1829" w:type="dxa"/>
            <w:vMerge w:val="restart"/>
            <w:vAlign w:val="center"/>
          </w:tcPr>
          <w:p>
            <w:pPr>
              <w:spacing w:line="240" w:lineRule="auto"/>
              <w:ind w:firstLine="420"/>
              <w:rPr>
                <w:sz w:val="21"/>
                <w:szCs w:val="21"/>
                <w:highlight w:val="none"/>
              </w:rPr>
            </w:pPr>
            <w:r>
              <w:rPr>
                <w:sz w:val="21"/>
                <w:szCs w:val="21"/>
                <w:highlight w:val="none"/>
              </w:rPr>
              <w:t>渗透系数K</w:t>
            </w:r>
          </w:p>
          <w:p>
            <w:pPr>
              <w:spacing w:line="240" w:lineRule="auto"/>
              <w:ind w:firstLine="0" w:firstLineChars="0"/>
              <w:jc w:val="center"/>
              <w:rPr>
                <w:sz w:val="21"/>
                <w:szCs w:val="21"/>
                <w:highlight w:val="none"/>
              </w:rPr>
            </w:pPr>
            <w:r>
              <w:rPr>
                <w:sz w:val="21"/>
                <w:szCs w:val="21"/>
                <w:highlight w:val="none"/>
              </w:rPr>
              <w:t>（cm/s）</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333" w:type="dxa"/>
            <w:vMerge w:val="continue"/>
            <w:vAlign w:val="center"/>
          </w:tcPr>
          <w:p>
            <w:pPr>
              <w:spacing w:line="240" w:lineRule="auto"/>
              <w:ind w:firstLine="420"/>
              <w:jc w:val="center"/>
              <w:rPr>
                <w:sz w:val="21"/>
                <w:szCs w:val="21"/>
                <w:highlight w:val="none"/>
              </w:rPr>
            </w:pPr>
          </w:p>
        </w:tc>
        <w:tc>
          <w:tcPr>
            <w:tcW w:w="1962" w:type="dxa"/>
            <w:vAlign w:val="center"/>
          </w:tcPr>
          <w:p>
            <w:pPr>
              <w:spacing w:line="240" w:lineRule="auto"/>
              <w:ind w:firstLine="0" w:firstLineChars="0"/>
              <w:jc w:val="center"/>
              <w:rPr>
                <w:sz w:val="21"/>
                <w:szCs w:val="21"/>
                <w:highlight w:val="none"/>
              </w:rPr>
            </w:pPr>
            <w:r>
              <w:rPr>
                <w:sz w:val="21"/>
                <w:szCs w:val="21"/>
                <w:highlight w:val="none"/>
              </w:rPr>
              <w:t>X</w:t>
            </w:r>
          </w:p>
        </w:tc>
        <w:tc>
          <w:tcPr>
            <w:tcW w:w="1844" w:type="dxa"/>
            <w:vAlign w:val="center"/>
          </w:tcPr>
          <w:p>
            <w:pPr>
              <w:spacing w:line="240" w:lineRule="auto"/>
              <w:ind w:firstLine="0" w:firstLineChars="0"/>
              <w:jc w:val="center"/>
              <w:rPr>
                <w:sz w:val="21"/>
                <w:szCs w:val="21"/>
                <w:highlight w:val="none"/>
              </w:rPr>
            </w:pPr>
            <w:r>
              <w:rPr>
                <w:sz w:val="21"/>
                <w:szCs w:val="21"/>
                <w:highlight w:val="none"/>
              </w:rPr>
              <w:t>Y</w:t>
            </w:r>
          </w:p>
        </w:tc>
        <w:tc>
          <w:tcPr>
            <w:tcW w:w="1362" w:type="dxa"/>
            <w:vMerge w:val="continue"/>
            <w:vAlign w:val="center"/>
          </w:tcPr>
          <w:p>
            <w:pPr>
              <w:spacing w:line="240" w:lineRule="auto"/>
              <w:ind w:firstLine="420"/>
              <w:jc w:val="center"/>
              <w:rPr>
                <w:sz w:val="21"/>
                <w:szCs w:val="21"/>
                <w:highlight w:val="none"/>
              </w:rPr>
            </w:pPr>
          </w:p>
        </w:tc>
        <w:tc>
          <w:tcPr>
            <w:tcW w:w="1829" w:type="dxa"/>
            <w:vMerge w:val="continue"/>
            <w:vAlign w:val="center"/>
          </w:tcPr>
          <w:p>
            <w:pPr>
              <w:spacing w:line="240" w:lineRule="auto"/>
              <w:ind w:firstLine="420"/>
              <w:jc w:val="center"/>
              <w:rPr>
                <w:sz w:val="21"/>
                <w:szCs w:val="21"/>
                <w:highlight w:val="none"/>
              </w:rPr>
            </w:pP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33" w:type="dxa"/>
            <w:vAlign w:val="center"/>
          </w:tcPr>
          <w:p>
            <w:pPr>
              <w:spacing w:line="240" w:lineRule="auto"/>
              <w:ind w:firstLine="0" w:firstLineChars="0"/>
              <w:jc w:val="center"/>
              <w:rPr>
                <w:sz w:val="21"/>
                <w:szCs w:val="21"/>
                <w:highlight w:val="none"/>
              </w:rPr>
            </w:pPr>
            <w:r>
              <w:rPr>
                <w:sz w:val="21"/>
                <w:szCs w:val="21"/>
                <w:highlight w:val="none"/>
              </w:rPr>
              <w:t>S-1</w:t>
            </w:r>
          </w:p>
        </w:tc>
        <w:tc>
          <w:tcPr>
            <w:tcW w:w="1962"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20567784.93</w:t>
            </w:r>
          </w:p>
        </w:tc>
        <w:tc>
          <w:tcPr>
            <w:tcW w:w="1844"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4446188.06</w:t>
            </w:r>
          </w:p>
        </w:tc>
        <w:tc>
          <w:tcPr>
            <w:tcW w:w="1362" w:type="dxa"/>
            <w:vAlign w:val="center"/>
          </w:tcPr>
          <w:p>
            <w:pPr>
              <w:spacing w:line="240" w:lineRule="auto"/>
              <w:ind w:firstLine="0" w:firstLineChars="0"/>
              <w:jc w:val="center"/>
              <w:rPr>
                <w:sz w:val="21"/>
                <w:szCs w:val="21"/>
                <w:highlight w:val="none"/>
              </w:rPr>
            </w:pPr>
            <w:r>
              <w:rPr>
                <w:sz w:val="21"/>
                <w:szCs w:val="21"/>
                <w:highlight w:val="none"/>
              </w:rPr>
              <w:t>10</w:t>
            </w:r>
          </w:p>
        </w:tc>
        <w:tc>
          <w:tcPr>
            <w:tcW w:w="1829" w:type="dxa"/>
            <w:vAlign w:val="center"/>
          </w:tcPr>
          <w:p>
            <w:pPr>
              <w:spacing w:line="240" w:lineRule="auto"/>
              <w:ind w:firstLine="0" w:firstLineChars="0"/>
              <w:jc w:val="center"/>
              <w:rPr>
                <w:sz w:val="21"/>
                <w:szCs w:val="21"/>
                <w:highlight w:val="none"/>
              </w:rPr>
            </w:pPr>
            <w:r>
              <w:rPr>
                <w:sz w:val="21"/>
                <w:szCs w:val="21"/>
                <w:highlight w:val="none"/>
              </w:rPr>
              <w:t>7.93×10</w:t>
            </w:r>
            <w:r>
              <w:rPr>
                <w:sz w:val="21"/>
                <w:szCs w:val="21"/>
                <w:highlight w:val="none"/>
                <w:vertAlign w:val="superscript"/>
              </w:rPr>
              <w:t>-5</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33" w:type="dxa"/>
            <w:vAlign w:val="center"/>
          </w:tcPr>
          <w:p>
            <w:pPr>
              <w:spacing w:line="240" w:lineRule="auto"/>
              <w:ind w:firstLine="0" w:firstLineChars="0"/>
              <w:jc w:val="center"/>
              <w:rPr>
                <w:sz w:val="21"/>
                <w:szCs w:val="21"/>
                <w:highlight w:val="none"/>
              </w:rPr>
            </w:pPr>
            <w:r>
              <w:rPr>
                <w:sz w:val="21"/>
                <w:szCs w:val="21"/>
                <w:highlight w:val="none"/>
              </w:rPr>
              <w:t>S-2</w:t>
            </w:r>
          </w:p>
        </w:tc>
        <w:tc>
          <w:tcPr>
            <w:tcW w:w="1962"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20568512.56</w:t>
            </w:r>
          </w:p>
        </w:tc>
        <w:tc>
          <w:tcPr>
            <w:tcW w:w="1844"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4446786.96</w:t>
            </w:r>
          </w:p>
        </w:tc>
        <w:tc>
          <w:tcPr>
            <w:tcW w:w="1362" w:type="dxa"/>
            <w:vAlign w:val="center"/>
          </w:tcPr>
          <w:p>
            <w:pPr>
              <w:spacing w:line="240" w:lineRule="auto"/>
              <w:ind w:firstLine="0" w:firstLineChars="0"/>
              <w:jc w:val="center"/>
              <w:rPr>
                <w:sz w:val="21"/>
                <w:szCs w:val="21"/>
                <w:highlight w:val="none"/>
              </w:rPr>
            </w:pPr>
            <w:r>
              <w:rPr>
                <w:sz w:val="21"/>
                <w:szCs w:val="21"/>
                <w:highlight w:val="none"/>
              </w:rPr>
              <w:t>10</w:t>
            </w:r>
          </w:p>
        </w:tc>
        <w:tc>
          <w:tcPr>
            <w:tcW w:w="1829" w:type="dxa"/>
            <w:vAlign w:val="center"/>
          </w:tcPr>
          <w:p>
            <w:pPr>
              <w:spacing w:line="240" w:lineRule="auto"/>
              <w:ind w:firstLine="0" w:firstLineChars="0"/>
              <w:jc w:val="center"/>
              <w:rPr>
                <w:sz w:val="21"/>
                <w:szCs w:val="21"/>
                <w:highlight w:val="none"/>
              </w:rPr>
            </w:pPr>
            <w:r>
              <w:rPr>
                <w:sz w:val="21"/>
                <w:szCs w:val="21"/>
                <w:highlight w:val="none"/>
              </w:rPr>
              <w:t>7.78×10</w:t>
            </w:r>
            <w:r>
              <w:rPr>
                <w:sz w:val="21"/>
                <w:szCs w:val="21"/>
                <w:highlight w:val="none"/>
                <w:vertAlign w:val="superscript"/>
              </w:rPr>
              <w:t>-5</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33" w:type="dxa"/>
            <w:vAlign w:val="center"/>
          </w:tcPr>
          <w:p>
            <w:pPr>
              <w:spacing w:line="240" w:lineRule="auto"/>
              <w:ind w:firstLine="0" w:firstLineChars="0"/>
              <w:jc w:val="center"/>
              <w:rPr>
                <w:sz w:val="21"/>
                <w:szCs w:val="21"/>
                <w:highlight w:val="none"/>
              </w:rPr>
            </w:pPr>
            <w:r>
              <w:rPr>
                <w:sz w:val="21"/>
                <w:szCs w:val="21"/>
                <w:highlight w:val="none"/>
              </w:rPr>
              <w:t>S-3</w:t>
            </w:r>
          </w:p>
        </w:tc>
        <w:tc>
          <w:tcPr>
            <w:tcW w:w="1962"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20567306.94</w:t>
            </w:r>
          </w:p>
        </w:tc>
        <w:tc>
          <w:tcPr>
            <w:tcW w:w="1844"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4445937.91</w:t>
            </w:r>
          </w:p>
        </w:tc>
        <w:tc>
          <w:tcPr>
            <w:tcW w:w="1362" w:type="dxa"/>
            <w:vAlign w:val="center"/>
          </w:tcPr>
          <w:p>
            <w:pPr>
              <w:spacing w:line="240" w:lineRule="auto"/>
              <w:ind w:firstLine="0" w:firstLineChars="0"/>
              <w:jc w:val="center"/>
              <w:rPr>
                <w:sz w:val="21"/>
                <w:szCs w:val="21"/>
                <w:highlight w:val="none"/>
              </w:rPr>
            </w:pPr>
            <w:r>
              <w:rPr>
                <w:sz w:val="21"/>
                <w:szCs w:val="21"/>
                <w:highlight w:val="none"/>
              </w:rPr>
              <w:t>10</w:t>
            </w:r>
          </w:p>
        </w:tc>
        <w:tc>
          <w:tcPr>
            <w:tcW w:w="1829" w:type="dxa"/>
            <w:vAlign w:val="center"/>
          </w:tcPr>
          <w:p>
            <w:pPr>
              <w:spacing w:line="240" w:lineRule="auto"/>
              <w:ind w:firstLine="0" w:firstLineChars="0"/>
              <w:jc w:val="center"/>
              <w:rPr>
                <w:sz w:val="21"/>
                <w:szCs w:val="21"/>
                <w:highlight w:val="none"/>
              </w:rPr>
            </w:pPr>
            <w:r>
              <w:rPr>
                <w:sz w:val="21"/>
                <w:szCs w:val="21"/>
                <w:highlight w:val="none"/>
              </w:rPr>
              <w:t>7.15×10</w:t>
            </w:r>
            <w:r>
              <w:rPr>
                <w:sz w:val="21"/>
                <w:szCs w:val="21"/>
                <w:highlight w:val="none"/>
                <w:vertAlign w:val="superscript"/>
              </w:rPr>
              <w:t>-5</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33" w:type="dxa"/>
            <w:vAlign w:val="center"/>
          </w:tcPr>
          <w:p>
            <w:pPr>
              <w:spacing w:line="240" w:lineRule="auto"/>
              <w:ind w:firstLine="0" w:firstLineChars="0"/>
              <w:jc w:val="center"/>
              <w:rPr>
                <w:sz w:val="21"/>
                <w:szCs w:val="21"/>
                <w:highlight w:val="none"/>
              </w:rPr>
            </w:pPr>
            <w:r>
              <w:rPr>
                <w:sz w:val="21"/>
                <w:szCs w:val="21"/>
                <w:highlight w:val="none"/>
              </w:rPr>
              <w:t>S-4</w:t>
            </w:r>
          </w:p>
        </w:tc>
        <w:tc>
          <w:tcPr>
            <w:tcW w:w="1962"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20567715.83</w:t>
            </w:r>
          </w:p>
        </w:tc>
        <w:tc>
          <w:tcPr>
            <w:tcW w:w="1844"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4445897.71</w:t>
            </w:r>
          </w:p>
        </w:tc>
        <w:tc>
          <w:tcPr>
            <w:tcW w:w="1362" w:type="dxa"/>
            <w:vAlign w:val="center"/>
          </w:tcPr>
          <w:p>
            <w:pPr>
              <w:spacing w:line="240" w:lineRule="auto"/>
              <w:ind w:firstLine="0" w:firstLineChars="0"/>
              <w:jc w:val="center"/>
              <w:rPr>
                <w:sz w:val="21"/>
                <w:szCs w:val="21"/>
                <w:highlight w:val="none"/>
              </w:rPr>
            </w:pPr>
            <w:r>
              <w:rPr>
                <w:sz w:val="21"/>
                <w:szCs w:val="21"/>
                <w:highlight w:val="none"/>
              </w:rPr>
              <w:t>10</w:t>
            </w:r>
          </w:p>
        </w:tc>
        <w:tc>
          <w:tcPr>
            <w:tcW w:w="1829" w:type="dxa"/>
            <w:vAlign w:val="center"/>
          </w:tcPr>
          <w:p>
            <w:pPr>
              <w:spacing w:line="240" w:lineRule="auto"/>
              <w:ind w:firstLine="0" w:firstLineChars="0"/>
              <w:jc w:val="center"/>
              <w:rPr>
                <w:sz w:val="21"/>
                <w:szCs w:val="21"/>
                <w:highlight w:val="none"/>
              </w:rPr>
            </w:pPr>
            <w:r>
              <w:rPr>
                <w:sz w:val="21"/>
                <w:szCs w:val="21"/>
                <w:highlight w:val="none"/>
              </w:rPr>
              <w:t>8.17×10</w:t>
            </w:r>
            <w:r>
              <w:rPr>
                <w:sz w:val="21"/>
                <w:szCs w:val="21"/>
                <w:highlight w:val="none"/>
                <w:vertAlign w:val="superscript"/>
              </w:rPr>
              <w:t>-5</w:t>
            </w:r>
          </w:p>
        </w:tc>
      </w:tr>
    </w:tbl>
    <w:p>
      <w:pPr>
        <w:spacing w:line="240" w:lineRule="atLeast"/>
        <w:ind w:firstLine="0" w:firstLineChars="0"/>
        <w:jc w:val="center"/>
        <w:rPr>
          <w:highlight w:val="none"/>
        </w:rPr>
      </w:pPr>
      <w:r>
        <w:rPr>
          <w:highlight w:val="none"/>
        </w:rPr>
        <w:drawing>
          <wp:inline distT="0" distB="0" distL="0" distR="0">
            <wp:extent cx="4905375" cy="2247900"/>
            <wp:effectExtent l="19050" t="0" r="9525" b="0"/>
            <wp:docPr id="224" name="图表 1"/>
            <wp:cNvGraphicFramePr/>
            <a:graphic xmlns:a="http://schemas.openxmlformats.org/drawingml/2006/main">
              <a:graphicData uri="http://schemas.openxmlformats.org/drawingml/2006/picture">
                <pic:pic xmlns:pic="http://schemas.openxmlformats.org/drawingml/2006/picture">
                  <pic:nvPicPr>
                    <pic:cNvPr id="224" name="图表 1"/>
                    <pic:cNvPicPr>
                      <a:picLocks noChangeArrowheads="1"/>
                    </pic:cNvPicPr>
                  </pic:nvPicPr>
                  <pic:blipFill>
                    <a:blip r:embed="rId67" cstate="print"/>
                    <a:srcRect/>
                    <a:stretch>
                      <a:fillRect/>
                    </a:stretch>
                  </pic:blipFill>
                  <pic:spPr>
                    <a:xfrm>
                      <a:off x="0" y="0"/>
                      <a:ext cx="4905375" cy="2247900"/>
                    </a:xfrm>
                    <a:prstGeom prst="rect">
                      <a:avLst/>
                    </a:prstGeom>
                    <a:noFill/>
                    <a:ln w="9525" cmpd="sng">
                      <a:noFill/>
                      <a:miter lim="800000"/>
                      <a:headEnd/>
                      <a:tailEnd/>
                    </a:ln>
                  </pic:spPr>
                </pic:pic>
              </a:graphicData>
            </a:graphic>
          </wp:inline>
        </w:drawing>
      </w:r>
    </w:p>
    <w:p>
      <w:pPr>
        <w:spacing w:after="120" w:afterLines="50" w:line="240" w:lineRule="atLeast"/>
        <w:ind w:firstLine="0" w:firstLineChars="0"/>
        <w:jc w:val="center"/>
        <w:rPr>
          <w:rFonts w:eastAsia="黑体"/>
          <w:sz w:val="21"/>
          <w:szCs w:val="21"/>
          <w:highlight w:val="none"/>
          <w:lang w:val="zh-CN"/>
        </w:rPr>
      </w:pPr>
      <w:r>
        <w:rPr>
          <w:rFonts w:eastAsia="黑体"/>
          <w:sz w:val="21"/>
          <w:szCs w:val="21"/>
          <w:highlight w:val="none"/>
          <w:lang w:val="zh-CN"/>
        </w:rPr>
        <w:t>图5.2-1</w:t>
      </w:r>
      <w:r>
        <w:rPr>
          <w:rFonts w:hint="eastAsia" w:eastAsia="黑体"/>
          <w:sz w:val="21"/>
          <w:szCs w:val="21"/>
          <w:highlight w:val="none"/>
        </w:rPr>
        <w:t>6</w:t>
      </w:r>
      <w:r>
        <w:rPr>
          <w:rFonts w:eastAsia="黑体"/>
          <w:sz w:val="21"/>
          <w:szCs w:val="21"/>
          <w:highlight w:val="none"/>
          <w:lang w:val="zh-CN"/>
        </w:rPr>
        <w:t xml:space="preserve"> S-</w:t>
      </w:r>
      <w:r>
        <w:rPr>
          <w:rFonts w:eastAsia="黑体"/>
          <w:sz w:val="21"/>
          <w:szCs w:val="21"/>
          <w:highlight w:val="none"/>
        </w:rPr>
        <w:t>1</w:t>
      </w:r>
      <w:r>
        <w:rPr>
          <w:rFonts w:eastAsia="黑体"/>
          <w:sz w:val="21"/>
          <w:szCs w:val="21"/>
          <w:highlight w:val="none"/>
          <w:lang w:val="zh-CN"/>
        </w:rPr>
        <w:t>渗水试验成果图</w:t>
      </w:r>
    </w:p>
    <w:p>
      <w:pPr>
        <w:adjustRightInd w:val="0"/>
        <w:snapToGrid w:val="0"/>
        <w:spacing w:line="240" w:lineRule="atLeast"/>
        <w:ind w:firstLine="0" w:firstLineChars="0"/>
        <w:jc w:val="center"/>
        <w:rPr>
          <w:highlight w:val="none"/>
        </w:rPr>
      </w:pPr>
      <w:r>
        <w:rPr>
          <w:highlight w:val="none"/>
        </w:rPr>
        <w:drawing>
          <wp:inline distT="0" distB="0" distL="0" distR="0">
            <wp:extent cx="4953000" cy="2133600"/>
            <wp:effectExtent l="19050" t="0" r="0" b="0"/>
            <wp:docPr id="80" name="图表 4"/>
            <wp:cNvGraphicFramePr/>
            <a:graphic xmlns:a="http://schemas.openxmlformats.org/drawingml/2006/main">
              <a:graphicData uri="http://schemas.openxmlformats.org/drawingml/2006/picture">
                <pic:pic xmlns:pic="http://schemas.openxmlformats.org/drawingml/2006/picture">
                  <pic:nvPicPr>
                    <pic:cNvPr id="80" name="图表 4"/>
                    <pic:cNvPicPr>
                      <a:picLocks noChangeArrowheads="1"/>
                    </pic:cNvPicPr>
                  </pic:nvPicPr>
                  <pic:blipFill>
                    <a:blip r:embed="rId68" cstate="print"/>
                    <a:srcRect/>
                    <a:stretch>
                      <a:fillRect/>
                    </a:stretch>
                  </pic:blipFill>
                  <pic:spPr>
                    <a:xfrm>
                      <a:off x="0" y="0"/>
                      <a:ext cx="4953000" cy="2133600"/>
                    </a:xfrm>
                    <a:prstGeom prst="rect">
                      <a:avLst/>
                    </a:prstGeom>
                    <a:noFill/>
                    <a:ln w="9525" cmpd="sng">
                      <a:noFill/>
                      <a:miter lim="800000"/>
                      <a:headEnd/>
                      <a:tailEnd/>
                    </a:ln>
                  </pic:spPr>
                </pic:pic>
              </a:graphicData>
            </a:graphic>
          </wp:inline>
        </w:drawing>
      </w:r>
    </w:p>
    <w:p>
      <w:pPr>
        <w:spacing w:after="120" w:afterLines="50" w:line="240" w:lineRule="atLeast"/>
        <w:ind w:firstLine="0" w:firstLineChars="0"/>
        <w:jc w:val="center"/>
        <w:rPr>
          <w:rFonts w:eastAsia="黑体"/>
          <w:sz w:val="21"/>
          <w:szCs w:val="21"/>
          <w:highlight w:val="none"/>
          <w:lang w:val="zh-CN"/>
        </w:rPr>
      </w:pPr>
      <w:r>
        <w:rPr>
          <w:rFonts w:eastAsia="黑体"/>
          <w:sz w:val="21"/>
          <w:szCs w:val="21"/>
          <w:highlight w:val="none"/>
          <w:lang w:val="zh-CN"/>
        </w:rPr>
        <w:t>图5.2</w:t>
      </w:r>
      <w:r>
        <w:rPr>
          <w:rFonts w:eastAsia="黑体"/>
          <w:sz w:val="21"/>
          <w:szCs w:val="21"/>
          <w:highlight w:val="none"/>
        </w:rPr>
        <w:t>-1</w:t>
      </w:r>
      <w:r>
        <w:rPr>
          <w:rFonts w:hint="eastAsia" w:eastAsia="黑体"/>
          <w:sz w:val="21"/>
          <w:szCs w:val="21"/>
          <w:highlight w:val="none"/>
        </w:rPr>
        <w:t>7</w:t>
      </w:r>
      <w:r>
        <w:rPr>
          <w:rFonts w:eastAsia="黑体"/>
          <w:sz w:val="21"/>
          <w:szCs w:val="21"/>
          <w:highlight w:val="none"/>
        </w:rPr>
        <w:t xml:space="preserve"> </w:t>
      </w:r>
      <w:r>
        <w:rPr>
          <w:rFonts w:eastAsia="黑体"/>
          <w:sz w:val="21"/>
          <w:szCs w:val="21"/>
          <w:highlight w:val="none"/>
          <w:lang w:val="zh-CN"/>
        </w:rPr>
        <w:t xml:space="preserve"> S-</w:t>
      </w:r>
      <w:r>
        <w:rPr>
          <w:rFonts w:eastAsia="黑体"/>
          <w:sz w:val="21"/>
          <w:szCs w:val="21"/>
          <w:highlight w:val="none"/>
        </w:rPr>
        <w:t>2</w:t>
      </w:r>
      <w:r>
        <w:rPr>
          <w:rFonts w:eastAsia="黑体"/>
          <w:sz w:val="21"/>
          <w:szCs w:val="21"/>
          <w:highlight w:val="none"/>
          <w:lang w:val="zh-CN"/>
        </w:rPr>
        <w:t>渗水试验成果图</w:t>
      </w:r>
    </w:p>
    <w:p>
      <w:pPr>
        <w:adjustRightInd w:val="0"/>
        <w:snapToGrid w:val="0"/>
        <w:spacing w:line="240" w:lineRule="atLeast"/>
        <w:ind w:firstLine="0" w:firstLineChars="0"/>
        <w:jc w:val="center"/>
        <w:rPr>
          <w:highlight w:val="none"/>
        </w:rPr>
      </w:pPr>
      <w:r>
        <w:rPr>
          <w:highlight w:val="none"/>
        </w:rPr>
        <w:drawing>
          <wp:inline distT="0" distB="0" distL="0" distR="0">
            <wp:extent cx="5000625" cy="2324100"/>
            <wp:effectExtent l="19050" t="0" r="9525" b="0"/>
            <wp:docPr id="81" name="图表 2"/>
            <wp:cNvGraphicFramePr/>
            <a:graphic xmlns:a="http://schemas.openxmlformats.org/drawingml/2006/main">
              <a:graphicData uri="http://schemas.openxmlformats.org/drawingml/2006/picture">
                <pic:pic xmlns:pic="http://schemas.openxmlformats.org/drawingml/2006/picture">
                  <pic:nvPicPr>
                    <pic:cNvPr id="81" name="图表 2"/>
                    <pic:cNvPicPr>
                      <a:picLocks noChangeArrowheads="1"/>
                    </pic:cNvPicPr>
                  </pic:nvPicPr>
                  <pic:blipFill>
                    <a:blip r:embed="rId69" cstate="print"/>
                    <a:srcRect/>
                    <a:stretch>
                      <a:fillRect/>
                    </a:stretch>
                  </pic:blipFill>
                  <pic:spPr>
                    <a:xfrm>
                      <a:off x="0" y="0"/>
                      <a:ext cx="5000625" cy="2324100"/>
                    </a:xfrm>
                    <a:prstGeom prst="rect">
                      <a:avLst/>
                    </a:prstGeom>
                    <a:noFill/>
                    <a:ln w="9525" cmpd="sng">
                      <a:noFill/>
                      <a:miter lim="800000"/>
                      <a:headEnd/>
                      <a:tailEnd/>
                    </a:ln>
                  </pic:spPr>
                </pic:pic>
              </a:graphicData>
            </a:graphic>
          </wp:inline>
        </w:drawing>
      </w:r>
    </w:p>
    <w:p>
      <w:pPr>
        <w:spacing w:line="240" w:lineRule="atLeast"/>
        <w:ind w:firstLine="0" w:firstLineChars="0"/>
        <w:jc w:val="center"/>
        <w:rPr>
          <w:rFonts w:eastAsia="黑体"/>
          <w:sz w:val="21"/>
          <w:szCs w:val="21"/>
          <w:highlight w:val="none"/>
          <w:lang w:val="zh-CN"/>
        </w:rPr>
      </w:pPr>
      <w:r>
        <w:rPr>
          <w:rFonts w:eastAsia="黑体"/>
          <w:sz w:val="21"/>
          <w:szCs w:val="21"/>
          <w:highlight w:val="none"/>
          <w:lang w:val="zh-CN"/>
        </w:rPr>
        <w:t>图5.2</w:t>
      </w:r>
      <w:r>
        <w:rPr>
          <w:rFonts w:eastAsia="黑体"/>
          <w:sz w:val="21"/>
          <w:szCs w:val="21"/>
          <w:highlight w:val="none"/>
        </w:rPr>
        <w:t>-</w:t>
      </w:r>
      <w:r>
        <w:rPr>
          <w:rFonts w:hint="eastAsia" w:eastAsia="黑体"/>
          <w:sz w:val="21"/>
          <w:szCs w:val="21"/>
          <w:highlight w:val="none"/>
        </w:rPr>
        <w:t>18</w:t>
      </w:r>
      <w:r>
        <w:rPr>
          <w:rFonts w:eastAsia="黑体"/>
          <w:sz w:val="21"/>
          <w:szCs w:val="21"/>
          <w:highlight w:val="none"/>
          <w:lang w:val="zh-CN"/>
        </w:rPr>
        <w:t xml:space="preserve">  S-</w:t>
      </w:r>
      <w:r>
        <w:rPr>
          <w:rFonts w:eastAsia="黑体"/>
          <w:sz w:val="21"/>
          <w:szCs w:val="21"/>
          <w:highlight w:val="none"/>
        </w:rPr>
        <w:t>3</w:t>
      </w:r>
      <w:r>
        <w:rPr>
          <w:rFonts w:eastAsia="黑体"/>
          <w:sz w:val="21"/>
          <w:szCs w:val="21"/>
          <w:highlight w:val="none"/>
          <w:lang w:val="zh-CN"/>
        </w:rPr>
        <w:t>渗水试验成果图</w:t>
      </w:r>
    </w:p>
    <w:p>
      <w:pPr>
        <w:adjustRightInd w:val="0"/>
        <w:snapToGrid w:val="0"/>
        <w:spacing w:line="240" w:lineRule="atLeast"/>
        <w:ind w:firstLine="0" w:firstLineChars="0"/>
        <w:jc w:val="center"/>
        <w:rPr>
          <w:highlight w:val="none"/>
        </w:rPr>
      </w:pPr>
      <w:r>
        <w:rPr>
          <w:highlight w:val="none"/>
        </w:rPr>
        <w:drawing>
          <wp:inline distT="0" distB="0" distL="0" distR="0">
            <wp:extent cx="5019675" cy="2162175"/>
            <wp:effectExtent l="19050" t="0" r="9525" b="0"/>
            <wp:docPr id="82" name="图表 3"/>
            <wp:cNvGraphicFramePr/>
            <a:graphic xmlns:a="http://schemas.openxmlformats.org/drawingml/2006/main">
              <a:graphicData uri="http://schemas.openxmlformats.org/drawingml/2006/picture">
                <pic:pic xmlns:pic="http://schemas.openxmlformats.org/drawingml/2006/picture">
                  <pic:nvPicPr>
                    <pic:cNvPr id="82" name="图表 3"/>
                    <pic:cNvPicPr>
                      <a:picLocks noChangeArrowheads="1"/>
                    </pic:cNvPicPr>
                  </pic:nvPicPr>
                  <pic:blipFill>
                    <a:blip r:embed="rId70" cstate="print"/>
                    <a:srcRect/>
                    <a:stretch>
                      <a:fillRect/>
                    </a:stretch>
                  </pic:blipFill>
                  <pic:spPr>
                    <a:xfrm>
                      <a:off x="0" y="0"/>
                      <a:ext cx="5019675" cy="2162175"/>
                    </a:xfrm>
                    <a:prstGeom prst="rect">
                      <a:avLst/>
                    </a:prstGeom>
                    <a:noFill/>
                    <a:ln w="9525" cmpd="sng">
                      <a:noFill/>
                      <a:miter lim="800000"/>
                      <a:headEnd/>
                      <a:tailEnd/>
                    </a:ln>
                  </pic:spPr>
                </pic:pic>
              </a:graphicData>
            </a:graphic>
          </wp:inline>
        </w:drawing>
      </w:r>
    </w:p>
    <w:p>
      <w:pPr>
        <w:spacing w:line="240" w:lineRule="atLeast"/>
        <w:ind w:firstLine="420"/>
        <w:jc w:val="center"/>
        <w:rPr>
          <w:rFonts w:eastAsia="黑体"/>
          <w:sz w:val="21"/>
          <w:szCs w:val="21"/>
          <w:highlight w:val="none"/>
          <w:lang w:val="zh-CN"/>
        </w:rPr>
      </w:pPr>
      <w:r>
        <w:rPr>
          <w:rFonts w:eastAsia="黑体"/>
          <w:sz w:val="21"/>
          <w:szCs w:val="21"/>
          <w:highlight w:val="none"/>
          <w:lang w:val="zh-CN"/>
        </w:rPr>
        <w:t>图5.2</w:t>
      </w:r>
      <w:r>
        <w:rPr>
          <w:rFonts w:eastAsia="黑体"/>
          <w:sz w:val="21"/>
          <w:szCs w:val="21"/>
          <w:highlight w:val="none"/>
        </w:rPr>
        <w:t>-</w:t>
      </w:r>
      <w:r>
        <w:rPr>
          <w:rFonts w:hint="eastAsia" w:eastAsia="黑体"/>
          <w:sz w:val="21"/>
          <w:szCs w:val="21"/>
          <w:highlight w:val="none"/>
        </w:rPr>
        <w:t xml:space="preserve">19 </w:t>
      </w:r>
      <w:r>
        <w:rPr>
          <w:rFonts w:eastAsia="黑体"/>
          <w:sz w:val="21"/>
          <w:szCs w:val="21"/>
          <w:highlight w:val="none"/>
          <w:lang w:val="zh-CN"/>
        </w:rPr>
        <w:t>S-</w:t>
      </w:r>
      <w:r>
        <w:rPr>
          <w:rFonts w:eastAsia="黑体"/>
          <w:sz w:val="21"/>
          <w:szCs w:val="21"/>
          <w:highlight w:val="none"/>
        </w:rPr>
        <w:t>4</w:t>
      </w:r>
      <w:r>
        <w:rPr>
          <w:rFonts w:eastAsia="黑体"/>
          <w:sz w:val="21"/>
          <w:szCs w:val="21"/>
          <w:highlight w:val="none"/>
          <w:lang w:val="zh-CN"/>
        </w:rPr>
        <w:t>渗水试验成果图</w:t>
      </w:r>
    </w:p>
    <w:p>
      <w:pPr>
        <w:ind w:firstLine="560"/>
        <w:rPr>
          <w:highlight w:val="none"/>
        </w:rPr>
      </w:pPr>
    </w:p>
    <w:p>
      <w:pPr>
        <w:pStyle w:val="3"/>
        <w:rPr>
          <w:rFonts w:eastAsia="宋体"/>
          <w:b/>
          <w:highlight w:val="none"/>
        </w:rPr>
      </w:pPr>
      <w:r>
        <w:rPr>
          <w:rFonts w:eastAsia="宋体"/>
          <w:b/>
          <w:highlight w:val="none"/>
        </w:rPr>
        <w:t>5.2.3.2</w:t>
      </w:r>
      <w:bookmarkEnd w:id="464"/>
      <w:bookmarkEnd w:id="465"/>
      <w:r>
        <w:rPr>
          <w:rFonts w:eastAsia="宋体"/>
          <w:b/>
          <w:highlight w:val="none"/>
        </w:rPr>
        <w:t>地下水环境影响评价</w:t>
      </w:r>
    </w:p>
    <w:p>
      <w:pPr>
        <w:pStyle w:val="7"/>
        <w:tabs>
          <w:tab w:val="left" w:pos="0"/>
          <w:tab w:val="clear" w:pos="240"/>
        </w:tabs>
        <w:spacing w:before="0" w:after="0" w:line="360" w:lineRule="auto"/>
        <w:ind w:left="0" w:firstLine="0"/>
        <w:rPr>
          <w:color w:val="auto"/>
          <w:sz w:val="24"/>
          <w:szCs w:val="24"/>
          <w:highlight w:val="none"/>
        </w:rPr>
      </w:pPr>
      <w:bookmarkStart w:id="466" w:name="_Toc9681"/>
      <w:r>
        <w:rPr>
          <w:color w:val="auto"/>
          <w:sz w:val="24"/>
          <w:szCs w:val="24"/>
          <w:highlight w:val="none"/>
        </w:rPr>
        <w:t>（1）水文地质概念模型</w:t>
      </w:r>
    </w:p>
    <w:p>
      <w:pPr>
        <w:ind w:firstLine="480"/>
        <w:rPr>
          <w:sz w:val="24"/>
          <w:highlight w:val="none"/>
        </w:rPr>
      </w:pPr>
      <w:r>
        <w:rPr>
          <w:rFonts w:hint="eastAsia" w:ascii="宋体" w:hAnsi="宋体" w:cs="宋体"/>
          <w:sz w:val="24"/>
          <w:highlight w:val="none"/>
        </w:rPr>
        <w:t>①</w:t>
      </w:r>
      <w:r>
        <w:rPr>
          <w:sz w:val="24"/>
          <w:highlight w:val="none"/>
        </w:rPr>
        <w:t>计算区范围</w:t>
      </w:r>
    </w:p>
    <w:p>
      <w:pPr>
        <w:ind w:firstLine="480"/>
        <w:rPr>
          <w:sz w:val="24"/>
          <w:szCs w:val="24"/>
          <w:highlight w:val="none"/>
        </w:rPr>
      </w:pPr>
      <w:r>
        <w:rPr>
          <w:sz w:val="24"/>
          <w:szCs w:val="24"/>
          <w:highlight w:val="none"/>
        </w:rPr>
        <w:t>根据本区地质及水文地质条件，同时考虑拟建项目对地下水环境影响范围及影响程度，以及评价区内地下水敏感点的分布和数量，导则规定的面积要求等，以能满足环境影响预测和分析的要求为依据，确定本次模拟区总面积约为</w:t>
      </w:r>
      <w:r>
        <w:rPr>
          <w:rFonts w:hint="eastAsia"/>
          <w:sz w:val="24"/>
          <w:szCs w:val="24"/>
          <w:highlight w:val="none"/>
        </w:rPr>
        <w:t>9</w:t>
      </w:r>
      <w:r>
        <w:rPr>
          <w:sz w:val="24"/>
          <w:szCs w:val="24"/>
          <w:highlight w:val="none"/>
        </w:rPr>
        <w:t>km</w:t>
      </w:r>
      <w:r>
        <w:rPr>
          <w:sz w:val="24"/>
          <w:szCs w:val="24"/>
          <w:highlight w:val="none"/>
          <w:vertAlign w:val="superscript"/>
        </w:rPr>
        <w:t>2</w:t>
      </w:r>
      <w:r>
        <w:rPr>
          <w:sz w:val="24"/>
          <w:szCs w:val="24"/>
          <w:highlight w:val="none"/>
        </w:rPr>
        <w:t>。</w:t>
      </w:r>
    </w:p>
    <w:p>
      <w:pPr>
        <w:tabs>
          <w:tab w:val="left" w:pos="0"/>
          <w:tab w:val="left" w:pos="251"/>
        </w:tabs>
        <w:ind w:firstLine="480"/>
        <w:rPr>
          <w:sz w:val="24"/>
          <w:szCs w:val="24"/>
          <w:highlight w:val="none"/>
        </w:rPr>
      </w:pPr>
      <w:r>
        <w:rPr>
          <w:rFonts w:hint="eastAsia" w:ascii="宋体" w:hAnsi="宋体" w:cs="宋体"/>
          <w:sz w:val="24"/>
          <w:szCs w:val="24"/>
          <w:highlight w:val="none"/>
        </w:rPr>
        <w:t>②</w:t>
      </w:r>
      <w:r>
        <w:rPr>
          <w:sz w:val="24"/>
          <w:szCs w:val="24"/>
          <w:highlight w:val="none"/>
        </w:rPr>
        <w:t>边界条件</w:t>
      </w:r>
    </w:p>
    <w:p>
      <w:pPr>
        <w:ind w:firstLine="480"/>
        <w:rPr>
          <w:sz w:val="24"/>
          <w:szCs w:val="24"/>
          <w:highlight w:val="none"/>
        </w:rPr>
      </w:pPr>
      <w:r>
        <w:rPr>
          <w:sz w:val="24"/>
          <w:szCs w:val="24"/>
          <w:highlight w:val="none"/>
        </w:rPr>
        <w:t>模拟区没有天然水头边界，从地下水等水位线图来看，四周均为地下水流量边界，边界流量根据断面法分段进行计算。鉴于本次地下水数值模拟目的是在地下水识别模型的基础上预测厂区在事故条件下地下水污染的时空分布特征，因此，此次只建立评价区域的</w:t>
      </w:r>
      <w:r>
        <w:rPr>
          <w:sz w:val="24"/>
          <w:highlight w:val="none"/>
        </w:rPr>
        <w:t>第一含水段（孔隙潜水-微承压水含水段）</w:t>
      </w:r>
      <w:r>
        <w:rPr>
          <w:sz w:val="24"/>
          <w:szCs w:val="24"/>
          <w:highlight w:val="none"/>
        </w:rPr>
        <w:t>的数值模型，将</w:t>
      </w:r>
      <w:r>
        <w:rPr>
          <w:sz w:val="24"/>
          <w:highlight w:val="none"/>
        </w:rPr>
        <w:t>第一含水段下厚度为2~4m的第一隔水层</w:t>
      </w:r>
      <w:r>
        <w:rPr>
          <w:sz w:val="24"/>
          <w:szCs w:val="24"/>
          <w:highlight w:val="none"/>
        </w:rPr>
        <w:t>当做此次模型的底板。</w:t>
      </w:r>
    </w:p>
    <w:p>
      <w:pPr>
        <w:widowControl/>
        <w:ind w:firstLine="0" w:firstLineChars="0"/>
        <w:jc w:val="center"/>
        <w:rPr>
          <w:highlight w:val="none"/>
        </w:rPr>
      </w:pPr>
      <w:r>
        <w:rPr>
          <w:highlight w:val="none"/>
        </w:rPr>
        <w:drawing>
          <wp:inline distT="0" distB="0" distL="0" distR="0">
            <wp:extent cx="5334000" cy="3619500"/>
            <wp:effectExtent l="19050" t="0" r="0" b="0"/>
            <wp:docPr id="225" name="图片 18" descr="评价区-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8" descr="评价区-Model"/>
                    <pic:cNvPicPr>
                      <a:picLocks noChangeAspect="1" noChangeArrowheads="1"/>
                    </pic:cNvPicPr>
                  </pic:nvPicPr>
                  <pic:blipFill>
                    <a:blip r:embed="rId71" cstate="print"/>
                    <a:srcRect t="25519" b="24222"/>
                    <a:stretch>
                      <a:fillRect/>
                    </a:stretch>
                  </pic:blipFill>
                  <pic:spPr>
                    <a:xfrm>
                      <a:off x="0" y="0"/>
                      <a:ext cx="5334000" cy="3619500"/>
                    </a:xfrm>
                    <a:prstGeom prst="rect">
                      <a:avLst/>
                    </a:prstGeom>
                    <a:noFill/>
                    <a:ln w="9525">
                      <a:noFill/>
                      <a:miter lim="800000"/>
                      <a:headEnd/>
                      <a:tailEnd/>
                    </a:ln>
                  </pic:spPr>
                </pic:pic>
              </a:graphicData>
            </a:graphic>
          </wp:inline>
        </w:drawing>
      </w:r>
    </w:p>
    <w:p>
      <w:pPr>
        <w:ind w:firstLine="0" w:firstLineChars="0"/>
        <w:jc w:val="center"/>
        <w:rPr>
          <w:rFonts w:eastAsia="黑体"/>
          <w:sz w:val="21"/>
          <w:szCs w:val="21"/>
          <w:highlight w:val="none"/>
          <w:lang w:val="zh-CN"/>
        </w:rPr>
      </w:pPr>
      <w:r>
        <w:rPr>
          <w:rFonts w:eastAsia="黑体"/>
          <w:sz w:val="21"/>
          <w:szCs w:val="21"/>
          <w:highlight w:val="none"/>
          <w:lang w:val="zh-CN"/>
        </w:rPr>
        <w:t>图</w:t>
      </w:r>
      <w:r>
        <w:rPr>
          <w:rFonts w:eastAsia="黑体"/>
          <w:sz w:val="21"/>
          <w:szCs w:val="21"/>
          <w:highlight w:val="none"/>
        </w:rPr>
        <w:t>5.2</w:t>
      </w:r>
      <w:r>
        <w:rPr>
          <w:rFonts w:eastAsia="黑体"/>
          <w:sz w:val="21"/>
          <w:szCs w:val="21"/>
          <w:highlight w:val="none"/>
          <w:lang w:val="zh-CN"/>
        </w:rPr>
        <w:t>-22  模拟计算区范围示意图</w:t>
      </w:r>
    </w:p>
    <w:p>
      <w:pPr>
        <w:pStyle w:val="207"/>
        <w:spacing w:line="360" w:lineRule="auto"/>
        <w:ind w:firstLine="480" w:firstLineChars="200"/>
        <w:rPr>
          <w:b/>
          <w:highlight w:val="none"/>
        </w:rPr>
      </w:pPr>
      <w:r>
        <w:rPr>
          <w:rFonts w:hint="eastAsia" w:ascii="宋体" w:hAnsi="宋体" w:cs="宋体"/>
          <w:highlight w:val="none"/>
        </w:rPr>
        <w:t>③</w:t>
      </w:r>
      <w:r>
        <w:rPr>
          <w:highlight w:val="none"/>
        </w:rPr>
        <w:t>水文地质特征</w:t>
      </w:r>
    </w:p>
    <w:p>
      <w:pPr>
        <w:tabs>
          <w:tab w:val="left" w:pos="0"/>
          <w:tab w:val="left" w:pos="251"/>
        </w:tabs>
        <w:spacing w:line="500" w:lineRule="exact"/>
        <w:ind w:firstLine="480"/>
        <w:rPr>
          <w:sz w:val="24"/>
          <w:highlight w:val="none"/>
        </w:rPr>
      </w:pPr>
      <w:r>
        <w:rPr>
          <w:sz w:val="24"/>
          <w:highlight w:val="none"/>
        </w:rPr>
        <w:t>a.含水层</w:t>
      </w:r>
    </w:p>
    <w:p>
      <w:pPr>
        <w:spacing w:line="440" w:lineRule="atLeast"/>
        <w:ind w:firstLine="480"/>
        <w:rPr>
          <w:sz w:val="24"/>
          <w:szCs w:val="24"/>
          <w:highlight w:val="none"/>
        </w:rPr>
      </w:pPr>
      <w:r>
        <w:rPr>
          <w:sz w:val="24"/>
          <w:szCs w:val="24"/>
          <w:highlight w:val="none"/>
        </w:rPr>
        <w:t>此次评价区主要模拟计算的是第一含水段，该含水段与区外具有统一的水力联系，因此计算时概化为一个统一的单层含水层。</w:t>
      </w:r>
    </w:p>
    <w:p>
      <w:pPr>
        <w:tabs>
          <w:tab w:val="left" w:pos="0"/>
          <w:tab w:val="left" w:pos="251"/>
        </w:tabs>
        <w:spacing w:line="500" w:lineRule="exact"/>
        <w:ind w:firstLine="480"/>
        <w:rPr>
          <w:sz w:val="24"/>
          <w:highlight w:val="none"/>
        </w:rPr>
      </w:pPr>
      <w:r>
        <w:rPr>
          <w:sz w:val="24"/>
          <w:highlight w:val="none"/>
        </w:rPr>
        <w:t>b.地下水流动特征</w:t>
      </w:r>
    </w:p>
    <w:p>
      <w:pPr>
        <w:tabs>
          <w:tab w:val="left" w:pos="0"/>
          <w:tab w:val="left" w:pos="251"/>
        </w:tabs>
        <w:spacing w:line="500" w:lineRule="exact"/>
        <w:ind w:firstLine="480"/>
        <w:rPr>
          <w:sz w:val="24"/>
          <w:highlight w:val="none"/>
        </w:rPr>
      </w:pPr>
      <w:r>
        <w:rPr>
          <w:sz w:val="24"/>
          <w:highlight w:val="none"/>
        </w:rPr>
        <w:t>区内孔隙潜水含水层连通性较好、具有统一的径流场，地下水运动以水平方式为主，自西北向东南方向径流。计算时将地下水流的垂向分量忽略、概化为层流渗流。</w:t>
      </w:r>
    </w:p>
    <w:p>
      <w:pPr>
        <w:tabs>
          <w:tab w:val="left" w:pos="0"/>
          <w:tab w:val="left" w:pos="251"/>
        </w:tabs>
        <w:spacing w:line="500" w:lineRule="exact"/>
        <w:ind w:firstLine="480"/>
        <w:rPr>
          <w:sz w:val="24"/>
          <w:highlight w:val="none"/>
        </w:rPr>
      </w:pPr>
      <w:r>
        <w:rPr>
          <w:sz w:val="24"/>
          <w:highlight w:val="none"/>
        </w:rPr>
        <w:t>c.地下水补给、排泄和动态特征</w:t>
      </w:r>
    </w:p>
    <w:p>
      <w:pPr>
        <w:tabs>
          <w:tab w:val="left" w:pos="0"/>
          <w:tab w:val="left" w:pos="251"/>
        </w:tabs>
        <w:spacing w:line="500" w:lineRule="exact"/>
        <w:ind w:firstLine="480"/>
        <w:rPr>
          <w:sz w:val="24"/>
          <w:highlight w:val="none"/>
        </w:rPr>
      </w:pPr>
      <w:r>
        <w:rPr>
          <w:sz w:val="24"/>
          <w:highlight w:val="none"/>
        </w:rPr>
        <w:t>计算区内潜水的主要补给来源为降水入渗，排泄方式以分散的人工灌溉开采为主，其次为向下游的侧向径流。地下水水位动态变化受大气降水以及人工开采影响显著。</w:t>
      </w:r>
    </w:p>
    <w:p>
      <w:pPr>
        <w:pStyle w:val="7"/>
        <w:tabs>
          <w:tab w:val="left" w:pos="0"/>
          <w:tab w:val="clear" w:pos="240"/>
        </w:tabs>
        <w:spacing w:before="0" w:after="0" w:line="360" w:lineRule="auto"/>
        <w:ind w:left="0" w:firstLine="360" w:firstLineChars="150"/>
        <w:rPr>
          <w:b w:val="0"/>
          <w:color w:val="auto"/>
          <w:sz w:val="24"/>
          <w:szCs w:val="24"/>
          <w:highlight w:val="none"/>
        </w:rPr>
      </w:pPr>
      <w:r>
        <w:rPr>
          <w:b w:val="0"/>
          <w:color w:val="auto"/>
          <w:sz w:val="24"/>
          <w:szCs w:val="24"/>
          <w:highlight w:val="none"/>
        </w:rPr>
        <w:t>（2）地下水流数学模型</w:t>
      </w:r>
    </w:p>
    <w:p>
      <w:pPr>
        <w:autoSpaceDE w:val="0"/>
        <w:autoSpaceDN w:val="0"/>
        <w:ind w:firstLine="480"/>
        <w:rPr>
          <w:sz w:val="24"/>
          <w:highlight w:val="none"/>
        </w:rPr>
      </w:pPr>
      <w:r>
        <w:rPr>
          <w:sz w:val="24"/>
          <w:highlight w:val="none"/>
        </w:rPr>
        <w:t>根据模拟区内的含水介质特征、地下水补给、径流、排泄条件等，模拟区内地下水运动呈现出二维运动特征，且符合达西定律。模拟区内地下水二维非稳定流运动可采用下列数学模型进行描述：</w:t>
      </w:r>
    </w:p>
    <w:p>
      <w:pPr>
        <w:tabs>
          <w:tab w:val="left" w:pos="0"/>
          <w:tab w:val="left" w:pos="251"/>
        </w:tabs>
        <w:ind w:firstLine="560"/>
        <w:rPr>
          <w:highlight w:val="none"/>
        </w:rPr>
      </w:pPr>
      <w:r>
        <w:rPr>
          <w:position w:val="-92"/>
          <w:highlight w:val="none"/>
        </w:rPr>
        <w:object>
          <v:shape id="_x0000_i1031" o:spt="75" type="#_x0000_t75" style="height:85pt;width:312pt;" o:ole="t" filled="f" o:preferrelative="t" stroked="f" coordsize="21600,21600">
            <v:path/>
            <v:fill on="f" focussize="0,0"/>
            <v:stroke on="f" joinstyle="miter"/>
            <v:imagedata r:id="rId73" cropright="990f" o:title=""/>
            <o:lock v:ext="edit" aspectratio="t"/>
            <w10:wrap type="none"/>
            <w10:anchorlock/>
          </v:shape>
          <o:OLEObject Type="Embed" ProgID="Equation.DSMT4" ShapeID="_x0000_i1031" DrawAspect="Content" ObjectID="_1468075731" r:id="rId72">
            <o:LockedField>false</o:LockedField>
          </o:OLEObject>
        </w:object>
      </w:r>
      <w:r>
        <w:rPr>
          <w:sz w:val="24"/>
          <w:szCs w:val="24"/>
          <w:highlight w:val="none"/>
        </w:rPr>
        <w:t>（5.2-4）</w:t>
      </w:r>
    </w:p>
    <w:p>
      <w:pPr>
        <w:tabs>
          <w:tab w:val="left" w:pos="0"/>
          <w:tab w:val="left" w:pos="251"/>
        </w:tabs>
        <w:ind w:firstLine="480"/>
        <w:rPr>
          <w:sz w:val="24"/>
          <w:highlight w:val="none"/>
        </w:rPr>
      </w:pPr>
      <w:r>
        <w:rPr>
          <w:sz w:val="24"/>
          <w:highlight w:val="none"/>
        </w:rPr>
        <w:t>式中，</w:t>
      </w:r>
    </w:p>
    <w:p>
      <w:pPr>
        <w:tabs>
          <w:tab w:val="left" w:pos="0"/>
          <w:tab w:val="left" w:pos="251"/>
        </w:tabs>
        <w:ind w:firstLine="480"/>
        <w:rPr>
          <w:sz w:val="24"/>
          <w:highlight w:val="none"/>
        </w:rPr>
      </w:pPr>
      <w:r>
        <w:rPr>
          <w:sz w:val="24"/>
          <w:highlight w:val="none"/>
        </w:rPr>
        <w:t xml:space="preserve"> Ω－渗流区域；</w:t>
      </w:r>
    </w:p>
    <w:p>
      <w:pPr>
        <w:pStyle w:val="243"/>
        <w:ind w:firstLine="480"/>
        <w:rPr>
          <w:rFonts w:cs="Times New Roman"/>
          <w:szCs w:val="24"/>
          <w:highlight w:val="none"/>
        </w:rPr>
      </w:pPr>
      <w:r>
        <w:rPr>
          <w:rFonts w:cs="Times New Roman"/>
          <w:szCs w:val="24"/>
          <w:highlight w:val="none"/>
        </w:rPr>
        <w:t>H－地下水水位标高（m）；</w:t>
      </w:r>
    </w:p>
    <w:p>
      <w:pPr>
        <w:pStyle w:val="243"/>
        <w:ind w:firstLine="480"/>
        <w:rPr>
          <w:rFonts w:cs="Times New Roman"/>
          <w:szCs w:val="24"/>
          <w:highlight w:val="none"/>
        </w:rPr>
      </w:pPr>
      <w:r>
        <w:rPr>
          <w:rFonts w:cs="Times New Roman"/>
          <w:szCs w:val="24"/>
          <w:highlight w:val="none"/>
        </w:rPr>
        <w:t>K－含水层在水平方向上的渗透系数（m/d）；</w:t>
      </w:r>
    </w:p>
    <w:p>
      <w:pPr>
        <w:pStyle w:val="243"/>
        <w:ind w:firstLine="480"/>
        <w:rPr>
          <w:rFonts w:cs="Times New Roman"/>
          <w:szCs w:val="24"/>
          <w:highlight w:val="none"/>
        </w:rPr>
      </w:pPr>
      <w:r>
        <w:rPr>
          <w:rFonts w:cs="Times New Roman"/>
          <w:szCs w:val="24"/>
          <w:highlight w:val="none"/>
        </w:rPr>
        <w:t>ε－含水层的源汇项（m/d）；</w:t>
      </w:r>
    </w:p>
    <w:p>
      <w:pPr>
        <w:pStyle w:val="243"/>
        <w:ind w:firstLine="480"/>
        <w:rPr>
          <w:rFonts w:cs="Times New Roman"/>
          <w:szCs w:val="24"/>
          <w:highlight w:val="none"/>
        </w:rPr>
      </w:pPr>
      <w:r>
        <w:rPr>
          <w:rFonts w:cs="Times New Roman"/>
          <w:szCs w:val="24"/>
          <w:highlight w:val="none"/>
        </w:rPr>
        <w:t>H</w:t>
      </w:r>
      <w:r>
        <w:rPr>
          <w:rFonts w:cs="Times New Roman"/>
          <w:szCs w:val="24"/>
          <w:highlight w:val="none"/>
          <w:vertAlign w:val="subscript"/>
        </w:rPr>
        <w:t>0</w:t>
      </w:r>
      <w:r>
        <w:rPr>
          <w:rFonts w:cs="Times New Roman"/>
          <w:szCs w:val="24"/>
          <w:highlight w:val="none"/>
        </w:rPr>
        <w:t>－初始流场（m）；</w:t>
      </w:r>
    </w:p>
    <w:p>
      <w:pPr>
        <w:pStyle w:val="243"/>
        <w:ind w:firstLine="480"/>
        <w:rPr>
          <w:rFonts w:cs="Times New Roman"/>
          <w:szCs w:val="24"/>
          <w:highlight w:val="none"/>
        </w:rPr>
      </w:pPr>
      <w:r>
        <w:rPr>
          <w:rFonts w:cs="Times New Roman"/>
          <w:szCs w:val="24"/>
          <w:highlight w:val="none"/>
        </w:rPr>
        <w:t>Γ</w:t>
      </w:r>
      <w:r>
        <w:rPr>
          <w:rFonts w:cs="Times New Roman"/>
          <w:szCs w:val="24"/>
          <w:highlight w:val="none"/>
          <w:vertAlign w:val="subscript"/>
        </w:rPr>
        <w:t>2</w:t>
      </w:r>
      <w:r>
        <w:rPr>
          <w:rFonts w:cs="Times New Roman"/>
          <w:szCs w:val="24"/>
          <w:highlight w:val="none"/>
        </w:rPr>
        <w:t>—渗流区域的二类边界；</w:t>
      </w:r>
    </w:p>
    <w:p>
      <w:pPr>
        <w:pStyle w:val="243"/>
        <w:ind w:firstLine="480"/>
        <w:rPr>
          <w:rFonts w:cs="Times New Roman"/>
          <w:szCs w:val="24"/>
          <w:highlight w:val="none"/>
        </w:rPr>
      </w:pPr>
      <w:r>
        <w:rPr>
          <w:rFonts w:cs="Times New Roman"/>
          <w:szCs w:val="24"/>
          <w:highlight w:val="none"/>
        </w:rPr>
        <w:t xml:space="preserve"> n－边界面的法线方向；</w:t>
      </w:r>
    </w:p>
    <w:p>
      <w:pPr>
        <w:pStyle w:val="243"/>
        <w:ind w:firstLine="480"/>
        <w:rPr>
          <w:rFonts w:cs="Times New Roman"/>
          <w:szCs w:val="24"/>
          <w:highlight w:val="none"/>
        </w:rPr>
      </w:pPr>
      <w:r>
        <w:rPr>
          <w:rFonts w:cs="Times New Roman"/>
          <w:szCs w:val="24"/>
          <w:highlight w:val="none"/>
        </w:rPr>
        <w:object>
          <v:shape id="_x0000_i1032" o:spt="75" type="#_x0000_t75" style="height:24pt;width:16.5pt;" o:ole="t" filled="f" o:preferrelative="t" stroked="f" coordsize="21600,21600">
            <v:path/>
            <v:fill on="f" focussize="0,0"/>
            <v:stroke on="f" joinstyle="miter"/>
            <v:imagedata r:id="rId75" o:title=""/>
            <o:lock v:ext="edit" aspectratio="t"/>
            <w10:wrap type="none"/>
            <w10:anchorlock/>
          </v:shape>
          <o:OLEObject Type="Embed" ProgID="Equation.3" ShapeID="_x0000_i1032" DrawAspect="Content" ObjectID="_1468075732" r:id="rId74">
            <o:LockedField>false</o:LockedField>
          </o:OLEObject>
        </w:object>
      </w:r>
      <w:r>
        <w:rPr>
          <w:rFonts w:cs="Times New Roman"/>
          <w:szCs w:val="24"/>
          <w:highlight w:val="none"/>
        </w:rPr>
        <w:t>—H沿外法线方向n的导数（无量纲）；</w:t>
      </w:r>
    </w:p>
    <w:p>
      <w:pPr>
        <w:pStyle w:val="243"/>
        <w:ind w:firstLine="480"/>
        <w:rPr>
          <w:rFonts w:cs="Times New Roman"/>
          <w:szCs w:val="24"/>
          <w:highlight w:val="none"/>
        </w:rPr>
      </w:pPr>
      <w:r>
        <w:rPr>
          <w:rFonts w:cs="Times New Roman"/>
          <w:szCs w:val="24"/>
          <w:highlight w:val="none"/>
        </w:rPr>
        <w:t>q－Γ</w:t>
      </w:r>
      <w:r>
        <w:rPr>
          <w:rFonts w:cs="Times New Roman"/>
          <w:szCs w:val="24"/>
          <w:highlight w:val="none"/>
          <w:vertAlign w:val="subscript"/>
        </w:rPr>
        <w:t>2</w:t>
      </w:r>
      <w:r>
        <w:rPr>
          <w:rFonts w:cs="Times New Roman"/>
          <w:szCs w:val="24"/>
          <w:highlight w:val="none"/>
        </w:rPr>
        <w:t>边界上的单宽流量（m</w:t>
      </w:r>
      <w:r>
        <w:rPr>
          <w:rFonts w:cs="Times New Roman"/>
          <w:szCs w:val="24"/>
          <w:highlight w:val="none"/>
          <w:vertAlign w:val="superscript"/>
        </w:rPr>
        <w:t>2</w:t>
      </w:r>
      <w:r>
        <w:rPr>
          <w:rFonts w:cs="Times New Roman"/>
          <w:szCs w:val="24"/>
          <w:highlight w:val="none"/>
        </w:rPr>
        <w:t>/d），流入为正，流出为负；</w:t>
      </w:r>
    </w:p>
    <w:p>
      <w:pPr>
        <w:pStyle w:val="243"/>
        <w:ind w:firstLine="480"/>
        <w:rPr>
          <w:rFonts w:cs="Times New Roman"/>
          <w:szCs w:val="24"/>
          <w:highlight w:val="none"/>
        </w:rPr>
      </w:pPr>
      <w:r>
        <w:rPr>
          <w:rFonts w:cs="Times New Roman"/>
          <w:szCs w:val="24"/>
          <w:highlight w:val="none"/>
        </w:rPr>
        <w:t>Z(x,y) —含水层底板高程。</w:t>
      </w:r>
    </w:p>
    <w:p>
      <w:pPr>
        <w:pStyle w:val="7"/>
        <w:tabs>
          <w:tab w:val="left" w:pos="0"/>
          <w:tab w:val="clear" w:pos="240"/>
        </w:tabs>
        <w:spacing w:before="0" w:after="0" w:line="360" w:lineRule="auto"/>
        <w:ind w:left="0" w:firstLine="360" w:firstLineChars="150"/>
        <w:rPr>
          <w:b w:val="0"/>
          <w:color w:val="auto"/>
          <w:sz w:val="24"/>
          <w:szCs w:val="24"/>
          <w:highlight w:val="none"/>
        </w:rPr>
      </w:pPr>
      <w:bookmarkStart w:id="467" w:name="_Toc9671"/>
      <w:r>
        <w:rPr>
          <w:b w:val="0"/>
          <w:color w:val="auto"/>
          <w:sz w:val="24"/>
          <w:szCs w:val="24"/>
          <w:highlight w:val="none"/>
        </w:rPr>
        <w:t>（3）地下水流数值模型的建立</w:t>
      </w:r>
      <w:bookmarkEnd w:id="467"/>
    </w:p>
    <w:p>
      <w:pPr>
        <w:pStyle w:val="243"/>
        <w:ind w:firstLine="480"/>
        <w:rPr>
          <w:rFonts w:cs="Times New Roman"/>
          <w:szCs w:val="24"/>
          <w:highlight w:val="none"/>
        </w:rPr>
      </w:pPr>
      <w:r>
        <w:rPr>
          <w:rFonts w:hint="eastAsia" w:ascii="宋体" w:hAnsi="宋体"/>
          <w:highlight w:val="none"/>
        </w:rPr>
        <w:t>①</w:t>
      </w:r>
      <w:r>
        <w:rPr>
          <w:rFonts w:cs="Times New Roman"/>
          <w:highlight w:val="none"/>
        </w:rPr>
        <w:t>模型剖分</w:t>
      </w:r>
    </w:p>
    <w:p>
      <w:pPr>
        <w:autoSpaceDE w:val="0"/>
        <w:autoSpaceDN w:val="0"/>
        <w:ind w:firstLine="480"/>
        <w:rPr>
          <w:sz w:val="24"/>
          <w:highlight w:val="none"/>
        </w:rPr>
      </w:pPr>
      <w:r>
        <w:rPr>
          <w:sz w:val="24"/>
          <w:highlight w:val="none"/>
        </w:rPr>
        <w:t>模拟区范围地理位置属于高斯投影的第20个投影带（6°带），由于以前在区内进行的有关地质及水文地质工作主要是建立在高斯投影坐标的基础上，本次模拟仍选用高斯投影坐标系（6°带）。</w:t>
      </w:r>
    </w:p>
    <w:p>
      <w:pPr>
        <w:pStyle w:val="47"/>
        <w:spacing w:after="0" w:line="360" w:lineRule="auto"/>
        <w:ind w:left="0" w:leftChars="0" w:firstLine="480"/>
        <w:rPr>
          <w:sz w:val="24"/>
          <w:highlight w:val="none"/>
        </w:rPr>
      </w:pPr>
      <w:r>
        <w:rPr>
          <w:sz w:val="24"/>
          <w:highlight w:val="none"/>
        </w:rPr>
        <w:t>本次地下水流数值模拟采用二维规则网格有限差分法进行模拟计算，计算剖分包括空间剖分和时间剖分。</w:t>
      </w:r>
    </w:p>
    <w:p>
      <w:pPr>
        <w:ind w:firstLine="480"/>
        <w:rPr>
          <w:sz w:val="24"/>
          <w:highlight w:val="none"/>
        </w:rPr>
      </w:pPr>
      <w:r>
        <w:rPr>
          <w:sz w:val="24"/>
          <w:highlight w:val="none"/>
        </w:rPr>
        <w:t>在平面上，根据本次地下水数值模拟的目的，对评价区域模型采用矩形网格剖分，剖分为68行81列，边长为0.08km×0.08km，共剖分有效单元3984个，计算节点位于单元中心。模拟区网格平面剖分见图5.2-23。</w:t>
      </w:r>
    </w:p>
    <w:p>
      <w:pPr>
        <w:pStyle w:val="134"/>
        <w:spacing w:after="0"/>
        <w:rPr>
          <w:rFonts w:ascii="Times New Roman" w:hAnsi="Times New Roman"/>
          <w:highlight w:val="none"/>
        </w:rPr>
      </w:pPr>
      <w:r>
        <w:rPr>
          <w:rFonts w:ascii="Times New Roman" w:hAnsi="Times New Roman"/>
          <w:highlight w:val="none"/>
        </w:rPr>
        <w:t>根据所掌握的资料，本次模拟期选为2018年5月到2018年7月，其中以2018年5月作为模型的初始流场，2018年7月作为模型识别验证流场，以月作为时间步长。</w:t>
      </w:r>
    </w:p>
    <w:p>
      <w:pPr>
        <w:widowControl/>
        <w:ind w:firstLine="0" w:firstLineChars="0"/>
        <w:rPr>
          <w:sz w:val="24"/>
          <w:szCs w:val="24"/>
          <w:highlight w:val="none"/>
        </w:rPr>
      </w:pPr>
      <w:r>
        <w:rPr>
          <w:sz w:val="24"/>
          <w:szCs w:val="24"/>
          <w:highlight w:val="none"/>
        </w:rPr>
        <w:drawing>
          <wp:inline distT="0" distB="0" distL="0" distR="0">
            <wp:extent cx="5362575" cy="3558540"/>
            <wp:effectExtent l="19050" t="0" r="9525" b="0"/>
            <wp:docPr id="226" name="图片 54" descr="网格-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4" descr="网格-Model"/>
                    <pic:cNvPicPr>
                      <a:picLocks noChangeAspect="1" noChangeArrowheads="1"/>
                    </pic:cNvPicPr>
                  </pic:nvPicPr>
                  <pic:blipFill>
                    <a:blip r:embed="rId76" cstate="print"/>
                    <a:srcRect t="25870" b="24707"/>
                    <a:stretch>
                      <a:fillRect/>
                    </a:stretch>
                  </pic:blipFill>
                  <pic:spPr>
                    <a:xfrm>
                      <a:off x="0" y="0"/>
                      <a:ext cx="5362575" cy="3558540"/>
                    </a:xfrm>
                    <a:prstGeom prst="rect">
                      <a:avLst/>
                    </a:prstGeom>
                    <a:noFill/>
                    <a:ln w="9525">
                      <a:noFill/>
                      <a:miter lim="800000"/>
                      <a:headEnd/>
                      <a:tailEnd/>
                    </a:ln>
                  </pic:spPr>
                </pic:pic>
              </a:graphicData>
            </a:graphic>
          </wp:inline>
        </w:drawing>
      </w:r>
    </w:p>
    <w:p>
      <w:pPr>
        <w:ind w:firstLine="0" w:firstLineChars="0"/>
        <w:jc w:val="center"/>
        <w:rPr>
          <w:rFonts w:eastAsia="黑体"/>
          <w:sz w:val="21"/>
          <w:szCs w:val="21"/>
          <w:highlight w:val="none"/>
          <w:lang w:val="zh-CN"/>
        </w:rPr>
      </w:pPr>
      <w:r>
        <w:rPr>
          <w:rFonts w:eastAsia="黑体"/>
          <w:sz w:val="21"/>
          <w:szCs w:val="21"/>
          <w:highlight w:val="none"/>
          <w:lang w:val="zh-CN"/>
        </w:rPr>
        <w:t>图</w:t>
      </w:r>
      <w:r>
        <w:rPr>
          <w:rFonts w:eastAsia="黑体"/>
          <w:sz w:val="21"/>
          <w:szCs w:val="21"/>
          <w:highlight w:val="none"/>
        </w:rPr>
        <w:t>5.2</w:t>
      </w:r>
      <w:r>
        <w:rPr>
          <w:rFonts w:eastAsia="黑体"/>
          <w:sz w:val="21"/>
          <w:szCs w:val="21"/>
          <w:highlight w:val="none"/>
          <w:lang w:val="zh-CN"/>
        </w:rPr>
        <w:t>-23  模拟区网格剖分图</w:t>
      </w:r>
    </w:p>
    <w:p>
      <w:pPr>
        <w:pStyle w:val="243"/>
        <w:ind w:firstLine="480"/>
        <w:rPr>
          <w:rFonts w:cs="Times New Roman"/>
          <w:highlight w:val="none"/>
        </w:rPr>
      </w:pPr>
      <w:bookmarkStart w:id="468" w:name="_Toc405317346"/>
      <w:r>
        <w:rPr>
          <w:rFonts w:hint="eastAsia" w:ascii="宋体" w:hAnsi="宋体"/>
          <w:highlight w:val="none"/>
        </w:rPr>
        <w:t>②</w:t>
      </w:r>
      <w:r>
        <w:rPr>
          <w:rFonts w:cs="Times New Roman"/>
          <w:highlight w:val="none"/>
        </w:rPr>
        <w:t>源汇项的处理</w:t>
      </w:r>
      <w:bookmarkEnd w:id="468"/>
    </w:p>
    <w:p>
      <w:pPr>
        <w:autoSpaceDE w:val="0"/>
        <w:autoSpaceDN w:val="0"/>
        <w:ind w:firstLine="480"/>
        <w:rPr>
          <w:bCs/>
          <w:sz w:val="24"/>
          <w:highlight w:val="none"/>
        </w:rPr>
      </w:pPr>
      <w:r>
        <w:rPr>
          <w:bCs/>
          <w:sz w:val="24"/>
          <w:highlight w:val="none"/>
        </w:rPr>
        <w:t>a.大气降水入渗补给</w:t>
      </w:r>
    </w:p>
    <w:p>
      <w:pPr>
        <w:autoSpaceDE w:val="0"/>
        <w:autoSpaceDN w:val="0"/>
        <w:ind w:firstLine="480"/>
        <w:rPr>
          <w:sz w:val="24"/>
          <w:highlight w:val="none"/>
        </w:rPr>
      </w:pPr>
      <w:r>
        <w:rPr>
          <w:sz w:val="24"/>
          <w:highlight w:val="none"/>
        </w:rPr>
        <w:t>浅层含水层通过包气带接受大气降水入渗补给，在模型中大气降水入渗补给量的计算公式为：</w:t>
      </w:r>
    </w:p>
    <w:p>
      <w:pPr>
        <w:autoSpaceDE w:val="0"/>
        <w:autoSpaceDN w:val="0"/>
        <w:ind w:firstLine="480"/>
        <w:jc w:val="right"/>
        <w:rPr>
          <w:sz w:val="24"/>
          <w:highlight w:val="none"/>
        </w:rPr>
      </w:pPr>
      <w:r>
        <w:rPr>
          <w:position w:val="-28"/>
          <w:sz w:val="24"/>
          <w:highlight w:val="none"/>
        </w:rPr>
        <w:object>
          <v:shape id="_x0000_i1033" o:spt="75" type="#_x0000_t75" style="height:24pt;width:78pt;" o:ole="t" filled="f" o:preferrelative="t" stroked="f" coordsize="21600,21600">
            <v:path/>
            <v:fill on="f" focussize="0,0"/>
            <v:stroke on="f" joinstyle="miter"/>
            <v:imagedata r:id="rId78" o:title=""/>
            <o:lock v:ext="edit" aspectratio="t"/>
            <w10:wrap type="none"/>
            <w10:anchorlock/>
          </v:shape>
          <o:OLEObject Type="Embed" ProgID="Equation.3" ShapeID="_x0000_i1033" DrawAspect="Content" ObjectID="_1468075733" r:id="rId77">
            <o:LockedField>false</o:LockedField>
          </o:OLEObject>
        </w:object>
      </w:r>
      <w:r>
        <w:rPr>
          <w:sz w:val="24"/>
          <w:highlight w:val="none"/>
        </w:rPr>
        <w:t>（5.2-5）</w:t>
      </w:r>
    </w:p>
    <w:p>
      <w:pPr>
        <w:autoSpaceDE w:val="0"/>
        <w:autoSpaceDN w:val="0"/>
        <w:ind w:firstLine="480"/>
        <w:rPr>
          <w:sz w:val="24"/>
          <w:highlight w:val="none"/>
        </w:rPr>
      </w:pPr>
      <w:r>
        <w:rPr>
          <w:sz w:val="24"/>
          <w:highlight w:val="none"/>
        </w:rPr>
        <w:t>式中，</w:t>
      </w:r>
    </w:p>
    <w:p>
      <w:pPr>
        <w:autoSpaceDE w:val="0"/>
        <w:autoSpaceDN w:val="0"/>
        <w:ind w:firstLine="480"/>
        <w:rPr>
          <w:sz w:val="24"/>
          <w:szCs w:val="24"/>
          <w:highlight w:val="none"/>
        </w:rPr>
      </w:pPr>
      <w:r>
        <w:rPr>
          <w:i/>
          <w:sz w:val="24"/>
          <w:szCs w:val="24"/>
          <w:highlight w:val="none"/>
        </w:rPr>
        <w:t>Q</w:t>
      </w:r>
      <w:r>
        <w:rPr>
          <w:sz w:val="24"/>
          <w:szCs w:val="24"/>
          <w:highlight w:val="none"/>
          <w:vertAlign w:val="subscript"/>
        </w:rPr>
        <w:t>降</w:t>
      </w:r>
      <w:r>
        <w:rPr>
          <w:sz w:val="24"/>
          <w:szCs w:val="24"/>
          <w:highlight w:val="none"/>
        </w:rPr>
        <w:t>—大气降水入渗补给量（m</w:t>
      </w:r>
      <w:r>
        <w:rPr>
          <w:sz w:val="24"/>
          <w:szCs w:val="24"/>
          <w:highlight w:val="none"/>
          <w:vertAlign w:val="superscript"/>
        </w:rPr>
        <w:t>3</w:t>
      </w:r>
      <w:r>
        <w:rPr>
          <w:sz w:val="24"/>
          <w:szCs w:val="24"/>
          <w:highlight w:val="none"/>
        </w:rPr>
        <w:t>/d）；</w:t>
      </w:r>
    </w:p>
    <w:p>
      <w:pPr>
        <w:autoSpaceDE w:val="0"/>
        <w:autoSpaceDN w:val="0"/>
        <w:ind w:firstLine="480"/>
        <w:rPr>
          <w:sz w:val="24"/>
          <w:szCs w:val="24"/>
          <w:highlight w:val="none"/>
        </w:rPr>
      </w:pPr>
      <w:r>
        <w:rPr>
          <w:i/>
          <w:sz w:val="24"/>
          <w:szCs w:val="24"/>
          <w:highlight w:val="none"/>
        </w:rPr>
        <w:t>α</w:t>
      </w:r>
      <w:r>
        <w:rPr>
          <w:sz w:val="24"/>
          <w:szCs w:val="24"/>
          <w:highlight w:val="none"/>
          <w:vertAlign w:val="subscript"/>
        </w:rPr>
        <w:t>i</w:t>
      </w:r>
      <w:r>
        <w:rPr>
          <w:sz w:val="24"/>
          <w:szCs w:val="24"/>
          <w:highlight w:val="none"/>
        </w:rPr>
        <w:t>—各计算分区大气降水入渗系数；</w:t>
      </w:r>
    </w:p>
    <w:p>
      <w:pPr>
        <w:autoSpaceDE w:val="0"/>
        <w:autoSpaceDN w:val="0"/>
        <w:ind w:firstLine="480"/>
        <w:rPr>
          <w:sz w:val="24"/>
          <w:szCs w:val="24"/>
          <w:highlight w:val="none"/>
        </w:rPr>
      </w:pPr>
      <w:r>
        <w:rPr>
          <w:i/>
          <w:sz w:val="24"/>
          <w:szCs w:val="24"/>
          <w:highlight w:val="none"/>
        </w:rPr>
        <w:t>P</w:t>
      </w:r>
      <w:r>
        <w:rPr>
          <w:sz w:val="24"/>
          <w:szCs w:val="24"/>
          <w:highlight w:val="none"/>
          <w:vertAlign w:val="subscript"/>
        </w:rPr>
        <w:t>i</w:t>
      </w:r>
      <w:r>
        <w:rPr>
          <w:sz w:val="24"/>
          <w:szCs w:val="24"/>
          <w:highlight w:val="none"/>
        </w:rPr>
        <w:t>—各计算分区降水量（m/d）；</w:t>
      </w:r>
    </w:p>
    <w:p>
      <w:pPr>
        <w:autoSpaceDE w:val="0"/>
        <w:autoSpaceDN w:val="0"/>
        <w:ind w:firstLine="480"/>
        <w:rPr>
          <w:sz w:val="24"/>
          <w:highlight w:val="none"/>
        </w:rPr>
      </w:pPr>
      <w:r>
        <w:rPr>
          <w:i/>
          <w:sz w:val="24"/>
          <w:szCs w:val="24"/>
          <w:highlight w:val="none"/>
        </w:rPr>
        <w:t>A</w:t>
      </w:r>
      <w:r>
        <w:rPr>
          <w:sz w:val="24"/>
          <w:szCs w:val="24"/>
          <w:highlight w:val="none"/>
          <w:vertAlign w:val="subscript"/>
        </w:rPr>
        <w:t>i</w:t>
      </w:r>
      <w:r>
        <w:rPr>
          <w:sz w:val="24"/>
          <w:szCs w:val="24"/>
          <w:highlight w:val="none"/>
        </w:rPr>
        <w:t>—各计算分区面积（m</w:t>
      </w:r>
      <w:r>
        <w:rPr>
          <w:sz w:val="24"/>
          <w:szCs w:val="24"/>
          <w:highlight w:val="none"/>
          <w:vertAlign w:val="superscript"/>
        </w:rPr>
        <w:t>2</w:t>
      </w:r>
      <w:r>
        <w:rPr>
          <w:sz w:val="24"/>
          <w:szCs w:val="24"/>
          <w:highlight w:val="none"/>
        </w:rPr>
        <w:t>）。</w:t>
      </w:r>
    </w:p>
    <w:p>
      <w:pPr>
        <w:widowControl/>
        <w:ind w:firstLine="480"/>
        <w:rPr>
          <w:sz w:val="24"/>
          <w:highlight w:val="none"/>
        </w:rPr>
      </w:pPr>
      <w:r>
        <w:rPr>
          <w:sz w:val="24"/>
          <w:highlight w:val="none"/>
        </w:rPr>
        <w:t>降水入渗补给条件的不均匀性用入渗分区概化处理。依据有关降水入渗资料，并参考包气带岩性、潜水位埋深、地形、植被等因素，绘出全区降水入渗系数分区图，分别给出各区降水入渗系数平均值，加在模型对应的剖分网格单元上。根据各区面积、降水量以及降水入渗系数计算大气降水入渗补给量。</w:t>
      </w:r>
    </w:p>
    <w:p>
      <w:pPr>
        <w:widowControl/>
        <w:ind w:firstLine="480"/>
        <w:rPr>
          <w:sz w:val="24"/>
          <w:highlight w:val="none"/>
        </w:rPr>
      </w:pPr>
      <w:r>
        <w:rPr>
          <w:sz w:val="24"/>
          <w:highlight w:val="none"/>
        </w:rPr>
        <w:t>评价区内表层岩性以黄褐色亚砂土、亚粘土为主，本次模拟降水入渗系数参照河北省水文站与“六五”科技攻关38项科研报告中提供的数值，并考虑现有的地下水位埋深，综合考虑确定如下。</w:t>
      </w:r>
    </w:p>
    <w:p>
      <w:pPr>
        <w:spacing w:line="240" w:lineRule="auto"/>
        <w:ind w:firstLine="0" w:firstLineChars="0"/>
        <w:jc w:val="center"/>
        <w:rPr>
          <w:rFonts w:eastAsia="黑体"/>
          <w:sz w:val="21"/>
          <w:szCs w:val="21"/>
          <w:highlight w:val="none"/>
        </w:rPr>
      </w:pPr>
      <w:r>
        <w:rPr>
          <w:rFonts w:eastAsia="黑体"/>
          <w:sz w:val="21"/>
          <w:szCs w:val="21"/>
          <w:highlight w:val="none"/>
        </w:rPr>
        <w:t>表5.2-2</w:t>
      </w:r>
      <w:r>
        <w:rPr>
          <w:rFonts w:hint="eastAsia" w:eastAsia="黑体"/>
          <w:sz w:val="21"/>
          <w:szCs w:val="21"/>
          <w:highlight w:val="none"/>
        </w:rPr>
        <w:t>4</w:t>
      </w:r>
      <w:r>
        <w:rPr>
          <w:rFonts w:eastAsia="黑体"/>
          <w:sz w:val="21"/>
          <w:szCs w:val="21"/>
          <w:highlight w:val="none"/>
        </w:rPr>
        <w:t>模型区大气降水入渗补给系数取值一览表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71"/>
        <w:gridCol w:w="1888"/>
        <w:gridCol w:w="2373"/>
        <w:gridCol w:w="189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2371"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计算分区</w:t>
            </w:r>
          </w:p>
        </w:tc>
        <w:tc>
          <w:tcPr>
            <w:tcW w:w="1888"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参数值</w:t>
            </w:r>
          </w:p>
        </w:tc>
        <w:tc>
          <w:tcPr>
            <w:tcW w:w="2373"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计算分区</w:t>
            </w:r>
          </w:p>
        </w:tc>
        <w:tc>
          <w:tcPr>
            <w:tcW w:w="189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参数值</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2371"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1</w:t>
            </w:r>
          </w:p>
        </w:tc>
        <w:tc>
          <w:tcPr>
            <w:tcW w:w="1888"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0.12</w:t>
            </w:r>
          </w:p>
        </w:tc>
        <w:tc>
          <w:tcPr>
            <w:tcW w:w="2373"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2</w:t>
            </w:r>
          </w:p>
        </w:tc>
        <w:tc>
          <w:tcPr>
            <w:tcW w:w="1890"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0.10</w:t>
            </w:r>
          </w:p>
        </w:tc>
      </w:tr>
    </w:tbl>
    <w:p>
      <w:pPr>
        <w:widowControl/>
        <w:ind w:firstLine="0" w:firstLineChars="0"/>
        <w:jc w:val="center"/>
        <w:rPr>
          <w:sz w:val="24"/>
          <w:szCs w:val="24"/>
          <w:highlight w:val="none"/>
        </w:rPr>
      </w:pPr>
    </w:p>
    <w:p>
      <w:pPr>
        <w:widowControl/>
        <w:ind w:firstLine="0" w:firstLineChars="0"/>
        <w:jc w:val="center"/>
        <w:rPr>
          <w:sz w:val="24"/>
          <w:szCs w:val="24"/>
          <w:highlight w:val="none"/>
        </w:rPr>
      </w:pPr>
      <w:r>
        <w:rPr>
          <w:sz w:val="24"/>
          <w:szCs w:val="24"/>
          <w:highlight w:val="none"/>
        </w:rPr>
        <w:drawing>
          <wp:inline distT="0" distB="0" distL="0" distR="0">
            <wp:extent cx="4914900" cy="3665220"/>
            <wp:effectExtent l="19050" t="0" r="0" b="0"/>
            <wp:docPr id="227" name="图片 3" descr="降雨分区-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 descr="降雨分区-Model"/>
                    <pic:cNvPicPr>
                      <a:picLocks noChangeAspect="1" noChangeArrowheads="1"/>
                    </pic:cNvPicPr>
                  </pic:nvPicPr>
                  <pic:blipFill>
                    <a:blip r:embed="rId79" cstate="print"/>
                    <a:srcRect l="2905" t="26300" r="7170" b="22882"/>
                    <a:stretch>
                      <a:fillRect/>
                    </a:stretch>
                  </pic:blipFill>
                  <pic:spPr>
                    <a:xfrm>
                      <a:off x="0" y="0"/>
                      <a:ext cx="4914900" cy="3665220"/>
                    </a:xfrm>
                    <a:prstGeom prst="rect">
                      <a:avLst/>
                    </a:prstGeom>
                    <a:noFill/>
                    <a:ln w="9525">
                      <a:noFill/>
                      <a:miter lim="800000"/>
                      <a:headEnd/>
                      <a:tailEnd/>
                    </a:ln>
                    <a:effectLst/>
                  </pic:spPr>
                </pic:pic>
              </a:graphicData>
            </a:graphic>
          </wp:inline>
        </w:drawing>
      </w:r>
    </w:p>
    <w:p>
      <w:pPr>
        <w:ind w:firstLine="0" w:firstLineChars="0"/>
        <w:jc w:val="center"/>
        <w:rPr>
          <w:rFonts w:eastAsia="黑体"/>
          <w:sz w:val="21"/>
          <w:szCs w:val="21"/>
          <w:highlight w:val="none"/>
        </w:rPr>
      </w:pPr>
      <w:r>
        <w:rPr>
          <w:rFonts w:eastAsia="黑体"/>
          <w:sz w:val="21"/>
          <w:szCs w:val="21"/>
          <w:highlight w:val="none"/>
        </w:rPr>
        <w:t>图5.2-24  大气降水入渗补给系数平面分区图</w:t>
      </w:r>
    </w:p>
    <w:p>
      <w:pPr>
        <w:overflowPunct w:val="0"/>
        <w:autoSpaceDE w:val="0"/>
        <w:autoSpaceDN w:val="0"/>
        <w:ind w:firstLine="480"/>
        <w:rPr>
          <w:sz w:val="24"/>
          <w:highlight w:val="none"/>
        </w:rPr>
      </w:pPr>
      <w:r>
        <w:rPr>
          <w:sz w:val="24"/>
          <w:highlight w:val="none"/>
        </w:rPr>
        <w:t>b.地下水侧向径流补排量</w:t>
      </w:r>
    </w:p>
    <w:p>
      <w:pPr>
        <w:overflowPunct w:val="0"/>
        <w:autoSpaceDE w:val="0"/>
        <w:autoSpaceDN w:val="0"/>
        <w:ind w:firstLine="480"/>
        <w:rPr>
          <w:sz w:val="24"/>
          <w:highlight w:val="none"/>
        </w:rPr>
      </w:pPr>
      <w:r>
        <w:rPr>
          <w:sz w:val="24"/>
          <w:highlight w:val="none"/>
        </w:rPr>
        <w:t>由于缺少多年的水位监测资料，所以仅计算均衡期内的地下水侧向补给量和排泄量。计算区地下水侧向补给和排泄量，可分段采用达西定律计算，公式为：</w:t>
      </w:r>
    </w:p>
    <w:p>
      <w:pPr>
        <w:overflowPunct w:val="0"/>
        <w:autoSpaceDE w:val="0"/>
        <w:autoSpaceDN w:val="0"/>
        <w:ind w:firstLine="0" w:firstLineChars="0"/>
        <w:jc w:val="right"/>
        <w:rPr>
          <w:sz w:val="24"/>
          <w:highlight w:val="none"/>
        </w:rPr>
      </w:pPr>
      <w:r>
        <w:rPr>
          <w:position w:val="-28"/>
          <w:sz w:val="24"/>
          <w:highlight w:val="none"/>
        </w:rPr>
        <w:object>
          <v:shape id="_x0000_i1034" o:spt="75" type="#_x0000_t75" style="height:24pt;width:116.5pt;" o:ole="t" filled="f" o:preferrelative="t" stroked="f" coordsize="21600,21600">
            <v:path/>
            <v:fill on="f" focussize="0,0"/>
            <v:stroke on="f" joinstyle="miter"/>
            <v:imagedata r:id="rId81" o:title=""/>
            <o:lock v:ext="edit" aspectratio="t"/>
            <w10:wrap type="none"/>
            <w10:anchorlock/>
          </v:shape>
          <o:OLEObject Type="Embed" ProgID="Equation.3" ShapeID="_x0000_i1034" DrawAspect="Content" ObjectID="_1468075734" r:id="rId80">
            <o:LockedField>false</o:LockedField>
          </o:OLEObject>
        </w:object>
      </w:r>
      <w:r>
        <w:rPr>
          <w:sz w:val="24"/>
          <w:highlight w:val="none"/>
        </w:rPr>
        <w:t>（5.2-6）</w:t>
      </w:r>
    </w:p>
    <w:p>
      <w:pPr>
        <w:overflowPunct w:val="0"/>
        <w:autoSpaceDE w:val="0"/>
        <w:autoSpaceDN w:val="0"/>
        <w:ind w:firstLine="480"/>
        <w:rPr>
          <w:sz w:val="24"/>
          <w:highlight w:val="none"/>
        </w:rPr>
      </w:pPr>
      <w:r>
        <w:rPr>
          <w:sz w:val="24"/>
          <w:highlight w:val="none"/>
        </w:rPr>
        <w:t>式中，</w:t>
      </w:r>
    </w:p>
    <w:p>
      <w:pPr>
        <w:overflowPunct w:val="0"/>
        <w:autoSpaceDE w:val="0"/>
        <w:autoSpaceDN w:val="0"/>
        <w:ind w:firstLine="480"/>
        <w:rPr>
          <w:sz w:val="24"/>
          <w:szCs w:val="24"/>
          <w:highlight w:val="none"/>
        </w:rPr>
      </w:pPr>
      <w:r>
        <w:rPr>
          <w:position w:val="-12"/>
          <w:sz w:val="24"/>
          <w:szCs w:val="24"/>
          <w:highlight w:val="none"/>
        </w:rPr>
        <w:object>
          <v:shape id="_x0000_i1035" o:spt="75" type="#_x0000_t75" style="height:16.5pt;width:40pt;" o:ole="t" filled="f" o:preferrelative="t" stroked="f" coordsize="21600,21600">
            <v:path/>
            <v:fill on="f" focussize="0,0"/>
            <v:stroke on="f" joinstyle="miter"/>
            <v:imagedata r:id="rId83" o:title=""/>
            <o:lock v:ext="edit" aspectratio="t"/>
            <w10:wrap type="none"/>
            <w10:anchorlock/>
          </v:shape>
          <o:OLEObject Type="Embed" ProgID="Equation.3" ShapeID="_x0000_i1035" DrawAspect="Content" ObjectID="_1468075735" r:id="rId82">
            <o:LockedField>false</o:LockedField>
          </o:OLEObject>
        </w:object>
      </w:r>
      <w:r>
        <w:rPr>
          <w:sz w:val="24"/>
          <w:szCs w:val="24"/>
          <w:highlight w:val="none"/>
        </w:rPr>
        <w:t>—地下水侧向径流补给量(m</w:t>
      </w:r>
      <w:r>
        <w:rPr>
          <w:sz w:val="24"/>
          <w:szCs w:val="24"/>
          <w:highlight w:val="none"/>
          <w:vertAlign w:val="superscript"/>
        </w:rPr>
        <w:t>3</w:t>
      </w:r>
      <w:r>
        <w:rPr>
          <w:sz w:val="24"/>
          <w:szCs w:val="24"/>
          <w:highlight w:val="none"/>
        </w:rPr>
        <w:t>/d)；</w:t>
      </w:r>
    </w:p>
    <w:p>
      <w:pPr>
        <w:overflowPunct w:val="0"/>
        <w:autoSpaceDE w:val="0"/>
        <w:autoSpaceDN w:val="0"/>
        <w:ind w:firstLine="480"/>
        <w:rPr>
          <w:sz w:val="24"/>
          <w:szCs w:val="24"/>
          <w:highlight w:val="none"/>
        </w:rPr>
      </w:pPr>
      <w:r>
        <w:rPr>
          <w:position w:val="-12"/>
          <w:sz w:val="24"/>
          <w:szCs w:val="24"/>
          <w:highlight w:val="none"/>
        </w:rPr>
        <w:object>
          <v:shape id="_x0000_i1036" o:spt="75" type="#_x0000_t75" style="height:16.5pt;width:15pt;" o:ole="t" filled="f" o:preferrelative="t" stroked="f" coordsize="21600,21600">
            <v:path/>
            <v:fill on="f" focussize="0,0"/>
            <v:stroke on="f" joinstyle="miter"/>
            <v:imagedata r:id="rId85" o:title=""/>
            <o:lock v:ext="edit" aspectratio="t"/>
            <w10:wrap type="none"/>
            <w10:anchorlock/>
          </v:shape>
          <o:OLEObject Type="Embed" ProgID="Visio.Drawing.11" ShapeID="_x0000_i1036" DrawAspect="Content" ObjectID="_1468075736" r:id="rId84">
            <o:LockedField>false</o:LockedField>
          </o:OLEObject>
        </w:object>
      </w:r>
      <w:r>
        <w:rPr>
          <w:sz w:val="24"/>
          <w:szCs w:val="24"/>
          <w:highlight w:val="none"/>
        </w:rPr>
        <w:t>—第i分段含水层渗透系数(m/d)；</w:t>
      </w:r>
    </w:p>
    <w:p>
      <w:pPr>
        <w:overflowPunct w:val="0"/>
        <w:autoSpaceDE w:val="0"/>
        <w:autoSpaceDN w:val="0"/>
        <w:ind w:firstLine="480"/>
        <w:rPr>
          <w:sz w:val="24"/>
          <w:szCs w:val="24"/>
          <w:highlight w:val="none"/>
        </w:rPr>
      </w:pPr>
      <w:r>
        <w:rPr>
          <w:position w:val="-12"/>
          <w:sz w:val="24"/>
          <w:szCs w:val="24"/>
          <w:highlight w:val="none"/>
        </w:rPr>
        <w:object>
          <v:shape id="_x0000_i1037" o:spt="75" type="#_x0000_t75" style="height:16.5pt;width:10pt;" o:ole="t" filled="f" o:preferrelative="t" stroked="f" coordsize="21600,21600">
            <v:path/>
            <v:fill on="f" focussize="0,0"/>
            <v:stroke on="f" joinstyle="miter"/>
            <v:imagedata r:id="rId87" o:title=""/>
            <o:lock v:ext="edit" aspectratio="t"/>
            <w10:wrap type="none"/>
            <w10:anchorlock/>
          </v:shape>
          <o:OLEObject Type="Embed" ProgID="Equation.DSMT4" ShapeID="_x0000_i1037" DrawAspect="Content" ObjectID="_1468075737" r:id="rId86">
            <o:LockedField>false</o:LockedField>
          </o:OLEObject>
        </w:object>
      </w:r>
      <w:r>
        <w:rPr>
          <w:sz w:val="24"/>
          <w:szCs w:val="24"/>
          <w:highlight w:val="none"/>
        </w:rPr>
        <w:t>—第i分段断面的法向水力坡度；</w:t>
      </w:r>
    </w:p>
    <w:p>
      <w:pPr>
        <w:overflowPunct w:val="0"/>
        <w:autoSpaceDE w:val="0"/>
        <w:autoSpaceDN w:val="0"/>
        <w:ind w:firstLine="480"/>
        <w:rPr>
          <w:sz w:val="24"/>
          <w:szCs w:val="24"/>
          <w:highlight w:val="none"/>
        </w:rPr>
      </w:pPr>
      <w:r>
        <w:rPr>
          <w:position w:val="-12"/>
          <w:sz w:val="24"/>
          <w:szCs w:val="24"/>
          <w:highlight w:val="none"/>
          <w:vertAlign w:val="subscript"/>
        </w:rPr>
        <w:object>
          <v:shape id="_x0000_i1038" o:spt="75" type="#_x0000_t75" style="height:16.5pt;width:13pt;" o:ole="t" filled="f" o:preferrelative="t" stroked="f" coordsize="21600,21600">
            <v:path/>
            <v:fill on="f" focussize="0,0"/>
            <v:stroke on="f" joinstyle="miter"/>
            <v:imagedata r:id="rId89" o:title=""/>
            <o:lock v:ext="edit" aspectratio="t"/>
            <w10:wrap type="none"/>
            <w10:anchorlock/>
          </v:shape>
          <o:OLEObject Type="Embed" ProgID="Equation.3" ShapeID="_x0000_i1038" DrawAspect="Content" ObjectID="_1468075738" r:id="rId88">
            <o:LockedField>false</o:LockedField>
          </o:OLEObject>
        </w:object>
      </w:r>
      <w:r>
        <w:rPr>
          <w:sz w:val="24"/>
          <w:szCs w:val="24"/>
          <w:highlight w:val="none"/>
          <w:vertAlign w:val="subscript"/>
        </w:rPr>
        <w:t>——</w:t>
      </w:r>
      <w:r>
        <w:rPr>
          <w:sz w:val="24"/>
          <w:szCs w:val="24"/>
          <w:highlight w:val="none"/>
        </w:rPr>
        <w:t>第i分段含水层断面面积(m</w:t>
      </w:r>
      <w:r>
        <w:rPr>
          <w:sz w:val="24"/>
          <w:szCs w:val="24"/>
          <w:highlight w:val="none"/>
          <w:vertAlign w:val="superscript"/>
        </w:rPr>
        <w:t>2</w:t>
      </w:r>
      <w:r>
        <w:rPr>
          <w:sz w:val="24"/>
          <w:szCs w:val="24"/>
          <w:highlight w:val="none"/>
        </w:rPr>
        <w:t>)。</w:t>
      </w:r>
    </w:p>
    <w:p>
      <w:pPr>
        <w:tabs>
          <w:tab w:val="left" w:pos="3120"/>
        </w:tabs>
        <w:overflowPunct w:val="0"/>
        <w:autoSpaceDE w:val="0"/>
        <w:autoSpaceDN w:val="0"/>
        <w:ind w:firstLine="480"/>
        <w:rPr>
          <w:sz w:val="24"/>
          <w:highlight w:val="none"/>
        </w:rPr>
      </w:pPr>
      <w:r>
        <w:rPr>
          <w:sz w:val="24"/>
          <w:highlight w:val="none"/>
        </w:rPr>
        <w:t>c.灌溉回归入渗补给</w:t>
      </w:r>
    </w:p>
    <w:p>
      <w:pPr>
        <w:tabs>
          <w:tab w:val="left" w:pos="2955"/>
        </w:tabs>
        <w:ind w:firstLine="0" w:firstLineChars="0"/>
        <w:jc w:val="right"/>
        <w:rPr>
          <w:sz w:val="24"/>
          <w:highlight w:val="none"/>
        </w:rPr>
      </w:pPr>
      <w:r>
        <w:rPr>
          <w:sz w:val="24"/>
          <w:highlight w:val="none"/>
        </w:rPr>
        <w:t>计算公式：Q</w:t>
      </w:r>
      <w:r>
        <w:rPr>
          <w:sz w:val="24"/>
          <w:highlight w:val="none"/>
          <w:vertAlign w:val="subscript"/>
        </w:rPr>
        <w:t>井</w:t>
      </w:r>
      <w:r>
        <w:rPr>
          <w:sz w:val="24"/>
          <w:highlight w:val="none"/>
        </w:rPr>
        <w:t>＝Q</w:t>
      </w:r>
      <w:r>
        <w:rPr>
          <w:sz w:val="24"/>
          <w:highlight w:val="none"/>
          <w:vertAlign w:val="subscript"/>
        </w:rPr>
        <w:t>农开</w:t>
      </w:r>
      <w:r>
        <w:rPr>
          <w:sz w:val="24"/>
          <w:highlight w:val="none"/>
        </w:rPr>
        <w:t>·β                     （5.2-7）</w:t>
      </w:r>
    </w:p>
    <w:p>
      <w:pPr>
        <w:ind w:firstLine="480"/>
        <w:rPr>
          <w:sz w:val="24"/>
          <w:highlight w:val="none"/>
        </w:rPr>
      </w:pPr>
      <w:r>
        <w:rPr>
          <w:sz w:val="24"/>
          <w:highlight w:val="none"/>
        </w:rPr>
        <w:t>式中，</w:t>
      </w:r>
    </w:p>
    <w:p>
      <w:pPr>
        <w:ind w:firstLine="480"/>
        <w:rPr>
          <w:sz w:val="24"/>
          <w:highlight w:val="none"/>
        </w:rPr>
      </w:pPr>
      <w:r>
        <w:rPr>
          <w:sz w:val="24"/>
          <w:highlight w:val="none"/>
        </w:rPr>
        <w:t>Q</w:t>
      </w:r>
      <w:r>
        <w:rPr>
          <w:sz w:val="24"/>
          <w:highlight w:val="none"/>
          <w:vertAlign w:val="subscript"/>
        </w:rPr>
        <w:t>井</w:t>
      </w:r>
      <w:r>
        <w:rPr>
          <w:sz w:val="24"/>
          <w:highlight w:val="none"/>
        </w:rPr>
        <w:t>—井灌回归量(10</w:t>
      </w:r>
      <w:r>
        <w:rPr>
          <w:sz w:val="24"/>
          <w:highlight w:val="none"/>
          <w:vertAlign w:val="superscript"/>
        </w:rPr>
        <w:t>4</w:t>
      </w:r>
      <w:r>
        <w:rPr>
          <w:sz w:val="24"/>
          <w:highlight w:val="none"/>
        </w:rPr>
        <w:t>m</w:t>
      </w:r>
      <w:r>
        <w:rPr>
          <w:sz w:val="24"/>
          <w:highlight w:val="none"/>
          <w:vertAlign w:val="superscript"/>
        </w:rPr>
        <w:t>3</w:t>
      </w:r>
      <w:r>
        <w:rPr>
          <w:sz w:val="24"/>
          <w:highlight w:val="none"/>
        </w:rPr>
        <w:t>/a)</w:t>
      </w:r>
    </w:p>
    <w:p>
      <w:pPr>
        <w:ind w:firstLine="480"/>
        <w:rPr>
          <w:sz w:val="24"/>
          <w:highlight w:val="none"/>
        </w:rPr>
      </w:pPr>
      <w:r>
        <w:rPr>
          <w:sz w:val="24"/>
          <w:highlight w:val="none"/>
        </w:rPr>
        <w:t>Q</w:t>
      </w:r>
      <w:r>
        <w:rPr>
          <w:sz w:val="24"/>
          <w:highlight w:val="none"/>
          <w:vertAlign w:val="subscript"/>
        </w:rPr>
        <w:t>农开</w:t>
      </w:r>
      <w:r>
        <w:rPr>
          <w:sz w:val="24"/>
          <w:highlight w:val="none"/>
        </w:rPr>
        <w:t>—农业开采量(10</w:t>
      </w:r>
      <w:r>
        <w:rPr>
          <w:sz w:val="24"/>
          <w:highlight w:val="none"/>
          <w:vertAlign w:val="superscript"/>
        </w:rPr>
        <w:t>4</w:t>
      </w:r>
      <w:r>
        <w:rPr>
          <w:sz w:val="24"/>
          <w:highlight w:val="none"/>
        </w:rPr>
        <w:t>m</w:t>
      </w:r>
      <w:r>
        <w:rPr>
          <w:sz w:val="24"/>
          <w:highlight w:val="none"/>
          <w:vertAlign w:val="superscript"/>
        </w:rPr>
        <w:t>3</w:t>
      </w:r>
      <w:r>
        <w:rPr>
          <w:sz w:val="24"/>
          <w:highlight w:val="none"/>
        </w:rPr>
        <w:t>/a)</w:t>
      </w:r>
    </w:p>
    <w:p>
      <w:pPr>
        <w:ind w:firstLine="480"/>
        <w:rPr>
          <w:sz w:val="24"/>
          <w:highlight w:val="none"/>
        </w:rPr>
      </w:pPr>
      <w:r>
        <w:rPr>
          <w:sz w:val="24"/>
          <w:highlight w:val="none"/>
        </w:rPr>
        <w:t>β—井灌回归系数</w:t>
      </w:r>
    </w:p>
    <w:p>
      <w:pPr>
        <w:ind w:firstLine="480"/>
        <w:rPr>
          <w:sz w:val="24"/>
          <w:szCs w:val="24"/>
          <w:highlight w:val="none"/>
        </w:rPr>
      </w:pPr>
      <w:r>
        <w:rPr>
          <w:sz w:val="24"/>
          <w:szCs w:val="24"/>
          <w:highlight w:val="none"/>
        </w:rPr>
        <w:t>d.人工开采量</w:t>
      </w:r>
    </w:p>
    <w:p>
      <w:pPr>
        <w:ind w:firstLine="480"/>
        <w:rPr>
          <w:sz w:val="24"/>
          <w:szCs w:val="24"/>
          <w:highlight w:val="none"/>
        </w:rPr>
      </w:pPr>
      <w:r>
        <w:rPr>
          <w:sz w:val="24"/>
          <w:szCs w:val="24"/>
          <w:highlight w:val="none"/>
        </w:rPr>
        <w:t>根据调查，评价区地下水目前主要用于农业灌溉和人饮，少量用于工业开采。农业灌溉为面状开采，根据模拟区井浇地分布范围，并依据开采井的密度和单井抽水量进行分区，分别给出各区开采强度，加在模型对应的剖分网格单元上。</w:t>
      </w:r>
    </w:p>
    <w:p>
      <w:pPr>
        <w:ind w:firstLine="480"/>
        <w:rPr>
          <w:sz w:val="24"/>
          <w:szCs w:val="24"/>
          <w:highlight w:val="none"/>
        </w:rPr>
      </w:pPr>
      <w:r>
        <w:rPr>
          <w:sz w:val="24"/>
          <w:szCs w:val="24"/>
          <w:highlight w:val="none"/>
        </w:rPr>
        <w:t>e.潜水蒸发</w:t>
      </w:r>
    </w:p>
    <w:p>
      <w:pPr>
        <w:ind w:firstLine="480"/>
        <w:rPr>
          <w:sz w:val="24"/>
          <w:szCs w:val="24"/>
          <w:highlight w:val="none"/>
        </w:rPr>
      </w:pPr>
      <w:r>
        <w:rPr>
          <w:sz w:val="24"/>
          <w:szCs w:val="24"/>
          <w:highlight w:val="none"/>
        </w:rPr>
        <w:t>潜水蒸发是指潜水（埋深小于4m时）在毛细管力的作用下向上运动，最终以参加陆面蒸散发形式散逸到大气中的水分损失量。评价期内潜水埋深均超过了4m，潜水蒸发量按零计。</w:t>
      </w:r>
    </w:p>
    <w:p>
      <w:pPr>
        <w:pStyle w:val="7"/>
        <w:tabs>
          <w:tab w:val="left" w:pos="0"/>
          <w:tab w:val="clear" w:pos="240"/>
        </w:tabs>
        <w:spacing w:before="0" w:after="0" w:line="360" w:lineRule="auto"/>
        <w:ind w:left="0" w:firstLine="0"/>
        <w:rPr>
          <w:b w:val="0"/>
          <w:color w:val="auto"/>
          <w:sz w:val="24"/>
          <w:szCs w:val="24"/>
          <w:highlight w:val="none"/>
        </w:rPr>
      </w:pPr>
      <w:bookmarkStart w:id="469" w:name="_Toc468693002"/>
      <w:bookmarkStart w:id="470" w:name="_Toc405317347"/>
      <w:bookmarkStart w:id="471" w:name="_Toc1066"/>
      <w:bookmarkStart w:id="472" w:name="_Hlk514968884"/>
      <w:r>
        <w:rPr>
          <w:b w:val="0"/>
          <w:color w:val="auto"/>
          <w:sz w:val="24"/>
          <w:szCs w:val="24"/>
          <w:highlight w:val="none"/>
        </w:rPr>
        <w:t>（4）模型的识别与检验</w:t>
      </w:r>
      <w:bookmarkEnd w:id="469"/>
      <w:bookmarkEnd w:id="470"/>
      <w:bookmarkEnd w:id="471"/>
    </w:p>
    <w:p>
      <w:pPr>
        <w:widowControl/>
        <w:ind w:firstLine="480"/>
        <w:rPr>
          <w:sz w:val="24"/>
          <w:highlight w:val="none"/>
        </w:rPr>
      </w:pPr>
      <w:r>
        <w:rPr>
          <w:sz w:val="24"/>
          <w:highlight w:val="none"/>
        </w:rPr>
        <w:t>模型的识别与验证过程是整个模拟中极为重要的一步工作，通常要在反复修改参数和调整某些源汇项基础上才能达到较为理想的拟合结果。此模型的识别与检验过程采用的方法称为试估—校正法，属于反求参数的间接方法之一。为了确保模型求解的唯一性，在模型调试过程中充分利用各种定解条件，也就是用那些靠得住的实测资料，如边界断面流量、灌溉井开采量等来约束模型对原形的拟合。在模型调试过程中，还充分利用水文地质调查中获得的有关信息及计算者对水文地质条件的认识，来约束模型的调试和识别。</w:t>
      </w:r>
    </w:p>
    <w:p>
      <w:pPr>
        <w:pStyle w:val="134"/>
        <w:spacing w:after="0"/>
        <w:rPr>
          <w:rFonts w:ascii="Times New Roman" w:hAnsi="Times New Roman"/>
          <w:spacing w:val="10"/>
          <w:highlight w:val="none"/>
        </w:rPr>
      </w:pPr>
      <w:r>
        <w:rPr>
          <w:rFonts w:ascii="Times New Roman" w:hAnsi="Times New Roman"/>
          <w:highlight w:val="none"/>
        </w:rPr>
        <w:t>根据所掌握的资料，本次</w:t>
      </w:r>
      <w:r>
        <w:rPr>
          <w:rFonts w:ascii="Times New Roman" w:hAnsi="Times New Roman"/>
          <w:spacing w:val="10"/>
          <w:highlight w:val="none"/>
        </w:rPr>
        <w:t>模拟期选为2018年5月到2018年7月，其中以2018年5月作为模型的初始流场，2018年7月作为模型识别验证流场，以月作为时间步长。</w:t>
      </w:r>
    </w:p>
    <w:p>
      <w:pPr>
        <w:tabs>
          <w:tab w:val="left" w:pos="900"/>
        </w:tabs>
        <w:ind w:firstLine="480"/>
        <w:rPr>
          <w:sz w:val="24"/>
          <w:highlight w:val="none"/>
        </w:rPr>
      </w:pPr>
      <w:r>
        <w:rPr>
          <w:sz w:val="24"/>
          <w:highlight w:val="none"/>
        </w:rPr>
        <w:t>初始水位以2018年5月水位为基础，对其余地区进行外推概化，然后按照内插法和外推法得到潜水含水层的初始流场。</w:t>
      </w:r>
    </w:p>
    <w:p>
      <w:pPr>
        <w:tabs>
          <w:tab w:val="left" w:pos="900"/>
        </w:tabs>
        <w:ind w:firstLine="520"/>
        <w:rPr>
          <w:spacing w:val="10"/>
          <w:sz w:val="24"/>
          <w:highlight w:val="none"/>
        </w:rPr>
      </w:pPr>
      <w:r>
        <w:rPr>
          <w:spacing w:val="10"/>
          <w:sz w:val="24"/>
          <w:highlight w:val="none"/>
        </w:rPr>
        <w:t>运行计算程序，可得到这种水文地质概念模型在给定水文地质参数和各均衡项条件下的地下水位时空分布，通过拟合同时期的流场，识别水文地质参数、边界值和其它均衡项，使建立的模型更加符合模拟区的水文地质条件。</w:t>
      </w:r>
    </w:p>
    <w:p>
      <w:pPr>
        <w:ind w:firstLine="480"/>
        <w:rPr>
          <w:sz w:val="24"/>
          <w:highlight w:val="none"/>
        </w:rPr>
      </w:pPr>
      <w:r>
        <w:rPr>
          <w:sz w:val="24"/>
          <w:highlight w:val="none"/>
        </w:rPr>
        <w:t>模型的识别和验证主要遵循以下原则：</w:t>
      </w:r>
      <w:r>
        <w:rPr>
          <w:rFonts w:hint="eastAsia" w:ascii="宋体" w:hAnsi="宋体" w:cs="宋体"/>
          <w:sz w:val="24"/>
          <w:highlight w:val="none"/>
        </w:rPr>
        <w:t>①</w:t>
      </w:r>
      <w:r>
        <w:rPr>
          <w:sz w:val="24"/>
          <w:highlight w:val="none"/>
        </w:rPr>
        <w:t>模拟的地下水流场要与实际地下水流场基本一致，即要求地下水模拟等值线与实测地下水位等值线形状相似；</w:t>
      </w:r>
      <w:r>
        <w:rPr>
          <w:rFonts w:hint="eastAsia" w:ascii="宋体" w:hAnsi="宋体" w:cs="宋体"/>
          <w:sz w:val="24"/>
          <w:highlight w:val="none"/>
        </w:rPr>
        <w:t>②</w:t>
      </w:r>
      <w:r>
        <w:rPr>
          <w:sz w:val="24"/>
          <w:highlight w:val="none"/>
        </w:rPr>
        <w:t>从均衡的角度出发，模拟的地下水均衡变化与实际要基本相符；</w:t>
      </w:r>
      <w:r>
        <w:rPr>
          <w:rFonts w:hint="eastAsia" w:ascii="宋体" w:hAnsi="宋体" w:cs="宋体"/>
          <w:sz w:val="24"/>
          <w:highlight w:val="none"/>
        </w:rPr>
        <w:t>③</w:t>
      </w:r>
      <w:r>
        <w:rPr>
          <w:sz w:val="24"/>
          <w:highlight w:val="none"/>
        </w:rPr>
        <w:t>识别的水文地质参数要符合实际水文地质条件。根据以上三个原则，对模拟区地下水系统进行了识别和验证。通过反复模拟、识别验证后的水文地质参数较好的刻划了地下水系统的水文地质特征，基本反映了地下水随时间和空间的变化规律，使水位拟合误差较小，达到预期效果。识别验证后的平面流场（图5.2-25）和参数分区图见图5.2-26，参数值见表5.2-2</w:t>
      </w:r>
      <w:r>
        <w:rPr>
          <w:rFonts w:hint="eastAsia"/>
          <w:sz w:val="24"/>
          <w:highlight w:val="none"/>
        </w:rPr>
        <w:t>5</w:t>
      </w:r>
      <w:r>
        <w:rPr>
          <w:sz w:val="24"/>
          <w:highlight w:val="none"/>
        </w:rPr>
        <w:t>。</w:t>
      </w:r>
    </w:p>
    <w:p>
      <w:pPr>
        <w:ind w:firstLine="480"/>
        <w:rPr>
          <w:bCs/>
          <w:sz w:val="24"/>
          <w:highlight w:val="none"/>
        </w:rPr>
      </w:pPr>
      <w:r>
        <w:rPr>
          <w:bCs/>
          <w:sz w:val="24"/>
          <w:highlight w:val="none"/>
        </w:rPr>
        <w:t>通过上述拟合对比，可以说明本次建立的地下水模型基本符合评价区实际水文地质条件，基本反映了地下水系统的流场特征，故利用该模型为基础，对建设区地下水环境影响进行预测评价是合理可信的。</w:t>
      </w:r>
    </w:p>
    <w:p>
      <w:pPr>
        <w:widowControl/>
        <w:ind w:firstLine="0" w:firstLineChars="0"/>
        <w:rPr>
          <w:sz w:val="24"/>
          <w:szCs w:val="24"/>
          <w:highlight w:val="none"/>
        </w:rPr>
      </w:pPr>
      <w:r>
        <w:rPr>
          <w:sz w:val="24"/>
          <w:szCs w:val="24"/>
          <w:highlight w:val="none"/>
        </w:rPr>
        <w:drawing>
          <wp:inline distT="0" distB="0" distL="0" distR="0">
            <wp:extent cx="4808220" cy="3268980"/>
            <wp:effectExtent l="19050" t="0" r="0" b="0"/>
            <wp:docPr id="228" name="图片 9" descr="拟合水位-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9" descr="拟合水位-Model"/>
                    <pic:cNvPicPr>
                      <a:picLocks noChangeAspect="1" noChangeArrowheads="1"/>
                    </pic:cNvPicPr>
                  </pic:nvPicPr>
                  <pic:blipFill>
                    <a:blip r:embed="rId90" cstate="print"/>
                    <a:srcRect l="7170" t="27792" r="4846" b="26920"/>
                    <a:stretch>
                      <a:fillRect/>
                    </a:stretch>
                  </pic:blipFill>
                  <pic:spPr>
                    <a:xfrm>
                      <a:off x="0" y="0"/>
                      <a:ext cx="4808220" cy="3268980"/>
                    </a:xfrm>
                    <a:prstGeom prst="rect">
                      <a:avLst/>
                    </a:prstGeom>
                    <a:noFill/>
                    <a:ln w="9525">
                      <a:noFill/>
                      <a:miter lim="800000"/>
                      <a:headEnd/>
                      <a:tailEnd/>
                    </a:ln>
                    <a:effectLst/>
                  </pic:spPr>
                </pic:pic>
              </a:graphicData>
            </a:graphic>
          </wp:inline>
        </w:drawing>
      </w:r>
    </w:p>
    <w:p>
      <w:pPr>
        <w:ind w:firstLine="0" w:firstLineChars="0"/>
        <w:jc w:val="center"/>
        <w:rPr>
          <w:rFonts w:eastAsia="黑体"/>
          <w:sz w:val="21"/>
          <w:szCs w:val="21"/>
          <w:highlight w:val="none"/>
          <w:lang w:val="zh-CN"/>
        </w:rPr>
      </w:pPr>
      <w:r>
        <w:rPr>
          <w:rFonts w:eastAsia="黑体"/>
          <w:sz w:val="21"/>
          <w:szCs w:val="21"/>
          <w:highlight w:val="none"/>
        </w:rPr>
        <w:t>图5.2-25  2018年7月潜水等水位线拟合图</w:t>
      </w:r>
      <w:bookmarkStart w:id="473" w:name="_Toc333490281"/>
      <w:bookmarkStart w:id="474" w:name="_Toc335353629"/>
    </w:p>
    <w:p>
      <w:pPr>
        <w:ind w:firstLine="0" w:firstLineChars="0"/>
        <w:jc w:val="center"/>
        <w:rPr>
          <w:b/>
          <w:bCs/>
          <w:sz w:val="22"/>
          <w:szCs w:val="22"/>
          <w:highlight w:val="none"/>
        </w:rPr>
      </w:pPr>
    </w:p>
    <w:p>
      <w:pPr>
        <w:widowControl/>
        <w:ind w:firstLine="0" w:firstLineChars="0"/>
        <w:rPr>
          <w:sz w:val="24"/>
          <w:szCs w:val="24"/>
          <w:highlight w:val="none"/>
        </w:rPr>
      </w:pPr>
      <w:r>
        <w:rPr>
          <w:sz w:val="24"/>
          <w:szCs w:val="24"/>
          <w:highlight w:val="none"/>
        </w:rPr>
        <w:drawing>
          <wp:inline distT="0" distB="0" distL="0" distR="0">
            <wp:extent cx="4625340" cy="3436620"/>
            <wp:effectExtent l="19050" t="0" r="3810" b="0"/>
            <wp:docPr id="229" name="图片 10" descr="含雨分区-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 descr="含雨分区-Model"/>
                    <pic:cNvPicPr>
                      <a:picLocks noChangeAspect="1" noChangeArrowheads="1"/>
                    </pic:cNvPicPr>
                  </pic:nvPicPr>
                  <pic:blipFill>
                    <a:blip r:embed="rId91" cstate="print"/>
                    <a:srcRect l="6194" t="25403" r="9099" b="26909"/>
                    <a:stretch>
                      <a:fillRect/>
                    </a:stretch>
                  </pic:blipFill>
                  <pic:spPr>
                    <a:xfrm>
                      <a:off x="0" y="0"/>
                      <a:ext cx="4625340" cy="3436620"/>
                    </a:xfrm>
                    <a:prstGeom prst="rect">
                      <a:avLst/>
                    </a:prstGeom>
                    <a:noFill/>
                    <a:ln w="9525">
                      <a:noFill/>
                      <a:miter lim="800000"/>
                      <a:headEnd/>
                      <a:tailEnd/>
                    </a:ln>
                    <a:effectLst/>
                  </pic:spPr>
                </pic:pic>
              </a:graphicData>
            </a:graphic>
          </wp:inline>
        </w:drawing>
      </w:r>
    </w:p>
    <w:p>
      <w:pPr>
        <w:ind w:firstLine="0" w:firstLineChars="0"/>
        <w:jc w:val="center"/>
        <w:rPr>
          <w:rFonts w:eastAsia="黑体"/>
          <w:sz w:val="21"/>
          <w:szCs w:val="21"/>
          <w:highlight w:val="none"/>
          <w:lang w:val="zh-CN"/>
        </w:rPr>
      </w:pPr>
      <w:r>
        <w:rPr>
          <w:rFonts w:eastAsia="黑体"/>
          <w:sz w:val="21"/>
          <w:szCs w:val="21"/>
          <w:highlight w:val="none"/>
          <w:lang w:val="zh-CN"/>
        </w:rPr>
        <w:t>图5.2-</w:t>
      </w:r>
      <w:bookmarkStart w:id="475" w:name="_Toc306189241"/>
      <w:r>
        <w:rPr>
          <w:rFonts w:eastAsia="黑体"/>
          <w:sz w:val="21"/>
          <w:szCs w:val="21"/>
          <w:highlight w:val="none"/>
        </w:rPr>
        <w:t xml:space="preserve">26 </w:t>
      </w:r>
      <w:r>
        <w:rPr>
          <w:rFonts w:eastAsia="黑体"/>
          <w:sz w:val="21"/>
          <w:szCs w:val="21"/>
          <w:highlight w:val="none"/>
          <w:lang w:val="zh-CN"/>
        </w:rPr>
        <w:t>浅层含水层参数分区图</w:t>
      </w:r>
      <w:bookmarkEnd w:id="475"/>
    </w:p>
    <w:p>
      <w:pPr>
        <w:spacing w:before="120" w:beforeLines="50" w:line="240" w:lineRule="auto"/>
        <w:ind w:firstLine="0" w:firstLineChars="0"/>
        <w:jc w:val="center"/>
        <w:rPr>
          <w:rFonts w:eastAsia="黑体"/>
          <w:sz w:val="21"/>
          <w:szCs w:val="21"/>
          <w:highlight w:val="none"/>
        </w:rPr>
      </w:pPr>
      <w:r>
        <w:rPr>
          <w:rFonts w:eastAsia="黑体"/>
          <w:sz w:val="21"/>
          <w:szCs w:val="21"/>
          <w:highlight w:val="none"/>
        </w:rPr>
        <w:t>表5.2-2</w:t>
      </w:r>
      <w:r>
        <w:rPr>
          <w:rFonts w:hint="eastAsia" w:eastAsia="黑体"/>
          <w:sz w:val="21"/>
          <w:szCs w:val="21"/>
          <w:highlight w:val="none"/>
        </w:rPr>
        <w:t>5</w:t>
      </w:r>
      <w:r>
        <w:rPr>
          <w:rFonts w:eastAsia="黑体"/>
          <w:sz w:val="21"/>
          <w:szCs w:val="21"/>
          <w:highlight w:val="none"/>
        </w:rPr>
        <w:t>模型识别与验证后参数取值表</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56"/>
        <w:gridCol w:w="3080"/>
        <w:gridCol w:w="328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1" w:hRule="atLeast"/>
        </w:trPr>
        <w:tc>
          <w:tcPr>
            <w:tcW w:w="2156" w:type="dxa"/>
            <w:vAlign w:val="center"/>
          </w:tcPr>
          <w:p>
            <w:pPr>
              <w:spacing w:line="240" w:lineRule="auto"/>
              <w:ind w:firstLine="0" w:firstLineChars="0"/>
              <w:jc w:val="center"/>
              <w:rPr>
                <w:sz w:val="21"/>
                <w:szCs w:val="21"/>
                <w:highlight w:val="none"/>
              </w:rPr>
            </w:pPr>
            <w:r>
              <w:rPr>
                <w:sz w:val="21"/>
                <w:szCs w:val="21"/>
                <w:highlight w:val="none"/>
              </w:rPr>
              <w:t>分区号</w:t>
            </w:r>
          </w:p>
        </w:tc>
        <w:tc>
          <w:tcPr>
            <w:tcW w:w="3080" w:type="dxa"/>
            <w:vAlign w:val="center"/>
          </w:tcPr>
          <w:p>
            <w:pPr>
              <w:spacing w:line="240" w:lineRule="auto"/>
              <w:ind w:firstLine="0" w:firstLineChars="0"/>
              <w:jc w:val="center"/>
              <w:rPr>
                <w:sz w:val="21"/>
                <w:szCs w:val="21"/>
                <w:highlight w:val="none"/>
              </w:rPr>
            </w:pPr>
            <w:r>
              <w:rPr>
                <w:sz w:val="21"/>
                <w:szCs w:val="21"/>
                <w:highlight w:val="none"/>
              </w:rPr>
              <w:t>渗透系数 (m/d)</w:t>
            </w:r>
          </w:p>
        </w:tc>
        <w:tc>
          <w:tcPr>
            <w:tcW w:w="3286" w:type="dxa"/>
            <w:vAlign w:val="center"/>
          </w:tcPr>
          <w:p>
            <w:pPr>
              <w:spacing w:line="240" w:lineRule="auto"/>
              <w:ind w:firstLine="0" w:firstLineChars="0"/>
              <w:jc w:val="center"/>
              <w:rPr>
                <w:sz w:val="21"/>
                <w:szCs w:val="21"/>
                <w:highlight w:val="none"/>
              </w:rPr>
            </w:pPr>
            <w:r>
              <w:rPr>
                <w:sz w:val="21"/>
                <w:szCs w:val="21"/>
                <w:highlight w:val="none"/>
              </w:rPr>
              <w:t>给水度</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1" w:hRule="atLeast"/>
        </w:trPr>
        <w:tc>
          <w:tcPr>
            <w:tcW w:w="2156" w:type="dxa"/>
            <w:vAlign w:val="center"/>
          </w:tcPr>
          <w:p>
            <w:pPr>
              <w:spacing w:line="240" w:lineRule="auto"/>
              <w:ind w:firstLine="0" w:firstLineChars="0"/>
              <w:jc w:val="center"/>
              <w:rPr>
                <w:sz w:val="21"/>
                <w:szCs w:val="21"/>
                <w:highlight w:val="none"/>
              </w:rPr>
            </w:pPr>
            <w:r>
              <w:rPr>
                <w:sz w:val="21"/>
                <w:szCs w:val="21"/>
                <w:highlight w:val="none"/>
              </w:rPr>
              <w:t>1</w:t>
            </w:r>
          </w:p>
        </w:tc>
        <w:tc>
          <w:tcPr>
            <w:tcW w:w="3080" w:type="dxa"/>
            <w:vAlign w:val="center"/>
          </w:tcPr>
          <w:p>
            <w:pPr>
              <w:spacing w:line="240" w:lineRule="auto"/>
              <w:ind w:firstLine="0" w:firstLineChars="0"/>
              <w:jc w:val="center"/>
              <w:rPr>
                <w:sz w:val="21"/>
                <w:szCs w:val="21"/>
                <w:highlight w:val="none"/>
              </w:rPr>
            </w:pPr>
            <w:r>
              <w:rPr>
                <w:sz w:val="21"/>
                <w:szCs w:val="21"/>
                <w:highlight w:val="none"/>
              </w:rPr>
              <w:t>24.1</w:t>
            </w:r>
          </w:p>
        </w:tc>
        <w:tc>
          <w:tcPr>
            <w:tcW w:w="3286" w:type="dxa"/>
            <w:vAlign w:val="center"/>
          </w:tcPr>
          <w:p>
            <w:pPr>
              <w:spacing w:line="240" w:lineRule="auto"/>
              <w:ind w:firstLine="0" w:firstLineChars="0"/>
              <w:jc w:val="center"/>
              <w:rPr>
                <w:sz w:val="21"/>
                <w:szCs w:val="21"/>
                <w:highlight w:val="none"/>
              </w:rPr>
            </w:pPr>
            <w:r>
              <w:rPr>
                <w:sz w:val="21"/>
                <w:szCs w:val="21"/>
                <w:highlight w:val="none"/>
              </w:rPr>
              <w:t>0.20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1" w:hRule="atLeast"/>
        </w:trPr>
        <w:tc>
          <w:tcPr>
            <w:tcW w:w="2156" w:type="dxa"/>
            <w:vAlign w:val="center"/>
          </w:tcPr>
          <w:p>
            <w:pPr>
              <w:spacing w:line="240" w:lineRule="auto"/>
              <w:ind w:firstLine="0" w:firstLineChars="0"/>
              <w:jc w:val="center"/>
              <w:rPr>
                <w:sz w:val="21"/>
                <w:szCs w:val="21"/>
                <w:highlight w:val="none"/>
              </w:rPr>
            </w:pPr>
            <w:r>
              <w:rPr>
                <w:sz w:val="21"/>
                <w:szCs w:val="21"/>
                <w:highlight w:val="none"/>
              </w:rPr>
              <w:t>2</w:t>
            </w:r>
          </w:p>
        </w:tc>
        <w:tc>
          <w:tcPr>
            <w:tcW w:w="3080" w:type="dxa"/>
            <w:vAlign w:val="center"/>
          </w:tcPr>
          <w:p>
            <w:pPr>
              <w:spacing w:line="240" w:lineRule="auto"/>
              <w:ind w:firstLine="0" w:firstLineChars="0"/>
              <w:jc w:val="center"/>
              <w:rPr>
                <w:sz w:val="21"/>
                <w:szCs w:val="21"/>
                <w:highlight w:val="none"/>
              </w:rPr>
            </w:pPr>
            <w:r>
              <w:rPr>
                <w:sz w:val="21"/>
                <w:szCs w:val="21"/>
                <w:highlight w:val="none"/>
              </w:rPr>
              <w:t>36.2</w:t>
            </w:r>
          </w:p>
        </w:tc>
        <w:tc>
          <w:tcPr>
            <w:tcW w:w="3286" w:type="dxa"/>
            <w:vAlign w:val="center"/>
          </w:tcPr>
          <w:p>
            <w:pPr>
              <w:spacing w:line="240" w:lineRule="auto"/>
              <w:ind w:firstLine="0" w:firstLineChars="0"/>
              <w:jc w:val="center"/>
              <w:rPr>
                <w:sz w:val="21"/>
                <w:szCs w:val="21"/>
                <w:highlight w:val="none"/>
              </w:rPr>
            </w:pPr>
            <w:r>
              <w:rPr>
                <w:sz w:val="21"/>
                <w:szCs w:val="21"/>
                <w:highlight w:val="none"/>
              </w:rPr>
              <w:t>0.24</w:t>
            </w:r>
          </w:p>
        </w:tc>
      </w:tr>
      <w:bookmarkEnd w:id="473"/>
      <w:bookmarkEnd w:id="474"/>
    </w:tbl>
    <w:p>
      <w:pPr>
        <w:pStyle w:val="7"/>
        <w:tabs>
          <w:tab w:val="left" w:pos="0"/>
          <w:tab w:val="clear" w:pos="240"/>
        </w:tabs>
        <w:spacing w:before="0" w:after="0" w:line="360" w:lineRule="auto"/>
        <w:ind w:left="0" w:firstLine="0"/>
        <w:rPr>
          <w:b w:val="0"/>
          <w:color w:val="auto"/>
          <w:sz w:val="24"/>
          <w:szCs w:val="24"/>
          <w:highlight w:val="none"/>
        </w:rPr>
      </w:pPr>
      <w:bookmarkStart w:id="476" w:name="_Toc5983"/>
      <w:bookmarkStart w:id="477" w:name="_Toc361924681"/>
      <w:bookmarkStart w:id="478" w:name="_Toc19375"/>
      <w:bookmarkStart w:id="479" w:name="_Toc358498106"/>
      <w:bookmarkStart w:id="480" w:name="_Toc468693003"/>
      <w:bookmarkStart w:id="481" w:name="_Toc23124"/>
      <w:r>
        <w:rPr>
          <w:b w:val="0"/>
          <w:color w:val="auto"/>
          <w:sz w:val="24"/>
          <w:szCs w:val="24"/>
          <w:highlight w:val="none"/>
        </w:rPr>
        <w:t>（5）地下水污染模拟预测</w:t>
      </w:r>
      <w:bookmarkEnd w:id="476"/>
      <w:bookmarkEnd w:id="477"/>
      <w:bookmarkEnd w:id="478"/>
      <w:bookmarkEnd w:id="479"/>
      <w:bookmarkEnd w:id="480"/>
      <w:bookmarkEnd w:id="481"/>
    </w:p>
    <w:p>
      <w:pPr>
        <w:ind w:firstLine="480"/>
        <w:rPr>
          <w:sz w:val="24"/>
          <w:highlight w:val="none"/>
        </w:rPr>
      </w:pPr>
      <w:r>
        <w:rPr>
          <w:sz w:val="24"/>
          <w:highlight w:val="none"/>
        </w:rPr>
        <w:t>本次工作已用GMS 7.1中Modflow模块建立了水流模型，在此基础上，可利用GMS7.1中的MT3DMS模块进一步来模拟预测地下水中污染质的运移情况。</w:t>
      </w:r>
    </w:p>
    <w:p>
      <w:pPr>
        <w:ind w:firstLine="480"/>
        <w:rPr>
          <w:sz w:val="24"/>
          <w:highlight w:val="none"/>
        </w:rPr>
      </w:pPr>
      <w:r>
        <w:rPr>
          <w:sz w:val="24"/>
          <w:highlight w:val="none"/>
        </w:rPr>
        <w:t>本次地下水污染模拟过程未考虑污染物在含水层中的吸附、挥发、生物化学反应，模型中各项参数予以保守性考虑。这样选择的理由是：</w:t>
      </w:r>
    </w:p>
    <w:p>
      <w:pPr>
        <w:ind w:firstLine="480"/>
        <w:rPr>
          <w:sz w:val="24"/>
          <w:highlight w:val="none"/>
        </w:rPr>
      </w:pPr>
      <w:r>
        <w:rPr>
          <w:sz w:val="24"/>
          <w:highlight w:val="none"/>
        </w:rPr>
        <w:t>从保守性角度考虑，假设污染质在运移中不与含水层介质发生反应，可以被认为是保守型污染质，只按保守型污染质来计算，即只考虑运移过程中的对流、弥散作用。</w:t>
      </w:r>
    </w:p>
    <w:p>
      <w:pPr>
        <w:ind w:firstLine="480"/>
        <w:rPr>
          <w:sz w:val="24"/>
          <w:highlight w:val="none"/>
        </w:rPr>
      </w:pPr>
      <w:r>
        <w:rPr>
          <w:sz w:val="24"/>
          <w:highlight w:val="none"/>
        </w:rPr>
        <w:t>有机污染物在地下水中的运移非常复杂，影响因素除对流、弥散作用以外，还存在物理、化学、微生物等作用，这些作用常常会使污染质浓度衰减。目前国际上对这些作用参数的准确获取还存在着困难。</w:t>
      </w:r>
    </w:p>
    <w:p>
      <w:pPr>
        <w:ind w:firstLine="480"/>
        <w:rPr>
          <w:sz w:val="24"/>
          <w:highlight w:val="none"/>
        </w:rPr>
      </w:pPr>
      <w:r>
        <w:rPr>
          <w:sz w:val="24"/>
          <w:highlight w:val="none"/>
        </w:rPr>
        <w:t>在国际上有很多用保守型污染物作为模拟因子的环境质量评价的成功实例，保守型考虑符合工程设计的思想。</w:t>
      </w:r>
    </w:p>
    <w:p>
      <w:pPr>
        <w:ind w:firstLine="480"/>
        <w:rPr>
          <w:sz w:val="24"/>
          <w:highlight w:val="none"/>
        </w:rPr>
      </w:pPr>
      <w:bookmarkStart w:id="482" w:name="_Toc339979658"/>
      <w:bookmarkEnd w:id="482"/>
      <w:bookmarkStart w:id="483" w:name="_Toc361924682"/>
      <w:r>
        <w:rPr>
          <w:rFonts w:hint="eastAsia" w:ascii="宋体" w:hAnsi="宋体" w:cs="宋体"/>
          <w:sz w:val="24"/>
          <w:highlight w:val="none"/>
        </w:rPr>
        <w:t>①</w:t>
      </w:r>
      <w:r>
        <w:rPr>
          <w:sz w:val="24"/>
          <w:highlight w:val="none"/>
        </w:rPr>
        <w:t>溶质运移数学模型</w:t>
      </w:r>
      <w:bookmarkEnd w:id="483"/>
    </w:p>
    <w:p>
      <w:pPr>
        <w:ind w:firstLine="480"/>
        <w:rPr>
          <w:sz w:val="24"/>
          <w:highlight w:val="none"/>
        </w:rPr>
      </w:pPr>
      <w:r>
        <w:rPr>
          <w:sz w:val="24"/>
          <w:highlight w:val="none"/>
        </w:rPr>
        <w:t>地下水中溶质运移的数学模型可表示为：</w:t>
      </w:r>
    </w:p>
    <w:p>
      <w:pPr>
        <w:ind w:firstLine="0" w:firstLineChars="0"/>
        <w:jc w:val="right"/>
        <w:rPr>
          <w:sz w:val="24"/>
          <w:highlight w:val="none"/>
        </w:rPr>
      </w:pPr>
      <w:r>
        <w:rPr>
          <w:position w:val="-30"/>
          <w:sz w:val="24"/>
          <w:highlight w:val="none"/>
        </w:rPr>
        <w:object>
          <v:shape id="_x0000_i1039" o:spt="75" type="#_x0000_t75" style="height:34.5pt;width:196pt;" o:ole="t" filled="f" o:preferrelative="t" stroked="f" coordsize="21600,21600">
            <v:path/>
            <v:fill on="f" focussize="0,0"/>
            <v:stroke on="f" joinstyle="miter"/>
            <v:imagedata r:id="rId93" o:title=""/>
            <o:lock v:ext="edit" aspectratio="t"/>
            <w10:wrap type="none"/>
            <w10:anchorlock/>
          </v:shape>
          <o:OLEObject Type="Embed" ProgID="Equation.3" ShapeID="_x0000_i1039" DrawAspect="Content" ObjectID="_1468075739" r:id="rId92">
            <o:LockedField>false</o:LockedField>
          </o:OLEObject>
        </w:object>
      </w:r>
      <w:r>
        <w:rPr>
          <w:sz w:val="24"/>
          <w:highlight w:val="none"/>
        </w:rPr>
        <w:t>（5.2-8）</w:t>
      </w:r>
    </w:p>
    <w:p>
      <w:pPr>
        <w:widowControl/>
        <w:ind w:firstLine="480"/>
        <w:rPr>
          <w:sz w:val="24"/>
          <w:szCs w:val="24"/>
          <w:highlight w:val="none"/>
        </w:rPr>
      </w:pPr>
      <w:r>
        <w:rPr>
          <w:sz w:val="24"/>
          <w:szCs w:val="24"/>
          <w:highlight w:val="none"/>
        </w:rPr>
        <w:t>式中，</w:t>
      </w:r>
    </w:p>
    <w:p>
      <w:pPr>
        <w:widowControl/>
        <w:ind w:firstLine="480"/>
        <w:rPr>
          <w:sz w:val="24"/>
          <w:szCs w:val="24"/>
          <w:highlight w:val="none"/>
        </w:rPr>
      </w:pPr>
      <w:r>
        <w:rPr>
          <w:position w:val="-6"/>
          <w:sz w:val="24"/>
          <w:szCs w:val="24"/>
          <w:highlight w:val="none"/>
        </w:rPr>
        <w:object>
          <v:shape id="_x0000_i1040" o:spt="75" type="#_x0000_t75" style="height:13pt;width:10pt;" o:ole="t" filled="f" o:preferrelative="t" stroked="f" coordsize="21600,21600">
            <v:path/>
            <v:fill on="f" focussize="0,0"/>
            <v:stroke on="f" joinstyle="miter"/>
            <v:imagedata r:id="rId95" o:title=""/>
            <o:lock v:ext="edit" aspectratio="t"/>
            <w10:wrap type="none"/>
            <w10:anchorlock/>
          </v:shape>
          <o:OLEObject Type="Embed" ProgID="Equation.3" ShapeID="_x0000_i1040" DrawAspect="Content" ObjectID="_1468075740" r:id="rId94">
            <o:LockedField>false</o:LockedField>
          </o:OLEObject>
        </w:object>
      </w:r>
      <w:r>
        <w:rPr>
          <w:sz w:val="24"/>
          <w:szCs w:val="24"/>
          <w:highlight w:val="none"/>
        </w:rPr>
        <w:t>—介质孔隙度，无量纲；</w:t>
      </w:r>
    </w:p>
    <w:p>
      <w:pPr>
        <w:widowControl/>
        <w:ind w:firstLine="480"/>
        <w:rPr>
          <w:sz w:val="24"/>
          <w:szCs w:val="24"/>
          <w:highlight w:val="none"/>
        </w:rPr>
      </w:pPr>
      <w:r>
        <w:rPr>
          <w:i/>
          <w:sz w:val="24"/>
          <w:szCs w:val="24"/>
          <w:highlight w:val="none"/>
        </w:rPr>
        <w:t>C</w:t>
      </w:r>
      <w:r>
        <w:rPr>
          <w:sz w:val="24"/>
          <w:szCs w:val="24"/>
          <w:highlight w:val="none"/>
        </w:rPr>
        <w:t>—组分的浓度，mg/L；</w:t>
      </w:r>
    </w:p>
    <w:p>
      <w:pPr>
        <w:widowControl/>
        <w:ind w:firstLine="480"/>
        <w:rPr>
          <w:sz w:val="24"/>
          <w:szCs w:val="24"/>
          <w:highlight w:val="none"/>
        </w:rPr>
      </w:pPr>
      <w:r>
        <w:rPr>
          <w:i/>
          <w:sz w:val="24"/>
          <w:szCs w:val="24"/>
          <w:highlight w:val="none"/>
        </w:rPr>
        <w:t>t</w:t>
      </w:r>
      <w:r>
        <w:rPr>
          <w:sz w:val="24"/>
          <w:szCs w:val="24"/>
          <w:highlight w:val="none"/>
        </w:rPr>
        <w:t xml:space="preserve"> —时间，d；</w:t>
      </w:r>
    </w:p>
    <w:p>
      <w:pPr>
        <w:widowControl/>
        <w:ind w:firstLine="480"/>
        <w:rPr>
          <w:sz w:val="24"/>
          <w:szCs w:val="24"/>
          <w:highlight w:val="none"/>
        </w:rPr>
      </w:pPr>
      <w:r>
        <w:rPr>
          <w:i/>
          <w:sz w:val="24"/>
          <w:szCs w:val="24"/>
          <w:highlight w:val="none"/>
        </w:rPr>
        <w:t>x</w:t>
      </w:r>
      <w:r>
        <w:rPr>
          <w:sz w:val="24"/>
          <w:szCs w:val="24"/>
          <w:highlight w:val="none"/>
        </w:rPr>
        <w:t>，</w:t>
      </w:r>
      <w:r>
        <w:rPr>
          <w:i/>
          <w:sz w:val="24"/>
          <w:szCs w:val="24"/>
          <w:highlight w:val="none"/>
        </w:rPr>
        <w:t>y</w:t>
      </w:r>
      <w:r>
        <w:rPr>
          <w:sz w:val="24"/>
          <w:szCs w:val="24"/>
          <w:highlight w:val="none"/>
        </w:rPr>
        <w:t>，</w:t>
      </w:r>
      <w:r>
        <w:rPr>
          <w:i/>
          <w:sz w:val="24"/>
          <w:szCs w:val="24"/>
          <w:highlight w:val="none"/>
        </w:rPr>
        <w:t>z</w:t>
      </w:r>
      <w:r>
        <w:rPr>
          <w:sz w:val="24"/>
          <w:szCs w:val="24"/>
          <w:highlight w:val="none"/>
        </w:rPr>
        <w:t>—空间位置坐标，m；</w:t>
      </w:r>
    </w:p>
    <w:p>
      <w:pPr>
        <w:widowControl/>
        <w:ind w:firstLine="480"/>
        <w:rPr>
          <w:sz w:val="24"/>
          <w:szCs w:val="24"/>
          <w:highlight w:val="none"/>
        </w:rPr>
      </w:pPr>
      <w:r>
        <w:rPr>
          <w:i/>
          <w:sz w:val="24"/>
          <w:szCs w:val="24"/>
          <w:highlight w:val="none"/>
        </w:rPr>
        <w:t>D</w:t>
      </w:r>
      <w:r>
        <w:rPr>
          <w:i/>
          <w:sz w:val="24"/>
          <w:szCs w:val="24"/>
          <w:highlight w:val="none"/>
          <w:vertAlign w:val="subscript"/>
        </w:rPr>
        <w:t>ij</w:t>
      </w:r>
      <w:r>
        <w:rPr>
          <w:sz w:val="24"/>
          <w:szCs w:val="24"/>
          <w:highlight w:val="none"/>
        </w:rPr>
        <w:t>—水动力弥散系数张量，m</w:t>
      </w:r>
      <w:r>
        <w:rPr>
          <w:sz w:val="24"/>
          <w:szCs w:val="24"/>
          <w:highlight w:val="none"/>
          <w:vertAlign w:val="superscript"/>
        </w:rPr>
        <w:t>2</w:t>
      </w:r>
      <w:r>
        <w:rPr>
          <w:sz w:val="24"/>
          <w:szCs w:val="24"/>
          <w:highlight w:val="none"/>
        </w:rPr>
        <w:t>/d；</w:t>
      </w:r>
    </w:p>
    <w:p>
      <w:pPr>
        <w:widowControl/>
        <w:ind w:firstLine="480"/>
        <w:rPr>
          <w:sz w:val="24"/>
          <w:szCs w:val="24"/>
          <w:highlight w:val="none"/>
        </w:rPr>
      </w:pPr>
      <w:r>
        <w:rPr>
          <w:i/>
          <w:sz w:val="24"/>
          <w:szCs w:val="24"/>
          <w:highlight w:val="none"/>
        </w:rPr>
        <w:t>V</w:t>
      </w:r>
      <w:r>
        <w:rPr>
          <w:i/>
          <w:sz w:val="24"/>
          <w:szCs w:val="24"/>
          <w:highlight w:val="none"/>
          <w:vertAlign w:val="subscript"/>
        </w:rPr>
        <w:t>i</w:t>
      </w:r>
      <w:r>
        <w:rPr>
          <w:sz w:val="24"/>
          <w:szCs w:val="24"/>
          <w:highlight w:val="none"/>
        </w:rPr>
        <w:t>—地下水渗流速度张量，m/d；</w:t>
      </w:r>
    </w:p>
    <w:p>
      <w:pPr>
        <w:widowControl/>
        <w:ind w:firstLine="480"/>
        <w:rPr>
          <w:sz w:val="24"/>
          <w:szCs w:val="24"/>
          <w:highlight w:val="none"/>
        </w:rPr>
      </w:pPr>
      <w:r>
        <w:rPr>
          <w:i/>
          <w:sz w:val="24"/>
          <w:szCs w:val="24"/>
          <w:highlight w:val="none"/>
        </w:rPr>
        <w:t>W</w:t>
      </w:r>
      <w:r>
        <w:rPr>
          <w:sz w:val="24"/>
          <w:szCs w:val="24"/>
          <w:highlight w:val="none"/>
        </w:rPr>
        <w:t>—水流的源和汇，m</w:t>
      </w:r>
      <w:r>
        <w:rPr>
          <w:sz w:val="24"/>
          <w:szCs w:val="24"/>
          <w:highlight w:val="none"/>
          <w:vertAlign w:val="superscript"/>
        </w:rPr>
        <w:t>3</w:t>
      </w:r>
      <w:r>
        <w:rPr>
          <w:sz w:val="24"/>
          <w:szCs w:val="24"/>
          <w:highlight w:val="none"/>
        </w:rPr>
        <w:t>/d；</w:t>
      </w:r>
    </w:p>
    <w:p>
      <w:pPr>
        <w:widowControl/>
        <w:ind w:firstLine="480"/>
        <w:rPr>
          <w:sz w:val="24"/>
          <w:szCs w:val="24"/>
          <w:highlight w:val="none"/>
        </w:rPr>
      </w:pPr>
      <w:r>
        <w:rPr>
          <w:i/>
          <w:sz w:val="24"/>
          <w:szCs w:val="24"/>
          <w:highlight w:val="none"/>
        </w:rPr>
        <w:t>C</w:t>
      </w:r>
      <w:r>
        <w:rPr>
          <w:i/>
          <w:sz w:val="24"/>
          <w:szCs w:val="24"/>
          <w:highlight w:val="none"/>
          <w:vertAlign w:val="subscript"/>
        </w:rPr>
        <w:t>s</w:t>
      </w:r>
      <w:r>
        <w:rPr>
          <w:sz w:val="24"/>
          <w:szCs w:val="24"/>
          <w:highlight w:val="none"/>
        </w:rPr>
        <w:t>—组分的浓度，mg/L；</w:t>
      </w:r>
    </w:p>
    <w:p>
      <w:pPr>
        <w:ind w:firstLine="480"/>
        <w:rPr>
          <w:sz w:val="24"/>
          <w:highlight w:val="none"/>
        </w:rPr>
      </w:pPr>
      <w:r>
        <w:rPr>
          <w:rFonts w:hint="eastAsia" w:ascii="宋体" w:hAnsi="宋体" w:cs="宋体"/>
          <w:sz w:val="24"/>
          <w:highlight w:val="none"/>
        </w:rPr>
        <w:t>②</w:t>
      </w:r>
      <w:r>
        <w:rPr>
          <w:sz w:val="24"/>
          <w:highlight w:val="none"/>
        </w:rPr>
        <w:t>弥散度的确定</w:t>
      </w:r>
    </w:p>
    <w:p>
      <w:pPr>
        <w:ind w:firstLine="480"/>
        <w:rPr>
          <w:sz w:val="24"/>
          <w:highlight w:val="none"/>
        </w:rPr>
      </w:pPr>
      <w:r>
        <w:rPr>
          <w:sz w:val="24"/>
          <w:highlight w:val="none"/>
        </w:rPr>
        <w:t>地质介质中溶质运移主要受渗透系数在空间上变化的制约，即地质介质的结构影响。这一空间上变化影响到地下水流速，从而影响到溶质的对流与弥散。通常空隙介质中的弥散度随着溶质运移距离的增加而加大，这种现象称之为水动力弥散尺度效应。其具体表现为：野外弥散试验所求出的弥散度远远大于在实验室所测出的值，相差可达4-5个数量级；即使是同一含水层，溶质运移距离越大，所计算出的弥散度也越大。越来越多的室内外弥散试验不断地证实了空隙介质中水动力弥散尺度效应的存在。</w:t>
      </w:r>
    </w:p>
    <w:p>
      <w:pPr>
        <w:ind w:firstLine="480"/>
        <w:rPr>
          <w:sz w:val="24"/>
          <w:highlight w:val="none"/>
        </w:rPr>
      </w:pPr>
      <w:r>
        <w:rPr>
          <w:sz w:val="24"/>
          <w:highlight w:val="none"/>
        </w:rPr>
        <w:t>据环保部环境工程评估中心在北京组织召开了《环境影响评价技术导则地下水环境》（HJ610-201</w:t>
      </w:r>
      <w:r>
        <w:rPr>
          <w:rFonts w:hint="eastAsia"/>
          <w:sz w:val="24"/>
          <w:highlight w:val="none"/>
        </w:rPr>
        <w:t>6</w:t>
      </w:r>
      <w:r>
        <w:rPr>
          <w:sz w:val="24"/>
          <w:highlight w:val="none"/>
        </w:rPr>
        <w:t>）专家研讨会，与会水文地质专家一致认为弥散试验的结果受试验场地的尺度效应影响明显，其结果应用受到很大的局限性。因此，一般不推荐开展弥散试验工作。</w:t>
      </w:r>
    </w:p>
    <w:p>
      <w:pPr>
        <w:ind w:firstLine="480"/>
        <w:rPr>
          <w:sz w:val="24"/>
          <w:highlight w:val="none"/>
        </w:rPr>
      </w:pPr>
      <w:r>
        <w:rPr>
          <w:sz w:val="24"/>
          <w:highlight w:val="none"/>
        </w:rPr>
        <w:t>许多研究者都曾用类似的图说明水动力弥散的尺度效应。Geihar等（1992）将59个不同现场所获得的弥散度按含水层类型、水力学特征、地下水流动状态、观测网类别、示踪剂类型、数据的获取方法、水质模型的尺度等整理后，对弥散度增大的规律进行了讨论。Neuman（1991）根据前人文献中所记载的130余个纵向弥散度进行了线性回归分析，并综合前人发展的准线性扩散理论，对尺度效应进行了解释与讨论。李国敏等（1995）综合了前人文献中记录的弥散度数值按介质类型（孔隙与非孔隙的裂隙等介质）、模型类别（解析模型与数值模型）等分别作出弥散度与基准尺度的双对数分布，并分别给出了不同介质中使用不同模型所求出参数的分维数。如前述分析，由于水动力弥散尺度效应的存在，难以通过野外或室内弥散试验获得真实的弥散度。因此，由于水动力弥散尺度效应的存在，本次工作参考前人的研究成果，和类似溶质运移模拟的经验，从保守角度考虑，取弥散度参数值取10m。</w:t>
      </w:r>
    </w:p>
    <w:p>
      <w:pPr>
        <w:ind w:firstLine="0" w:firstLineChars="0"/>
        <w:jc w:val="center"/>
        <w:rPr>
          <w:highlight w:val="none"/>
        </w:rPr>
      </w:pPr>
      <w:r>
        <w:rPr>
          <w:highlight w:val="none"/>
        </w:rPr>
        <w:drawing>
          <wp:inline distT="0" distB="0" distL="0" distR="0">
            <wp:extent cx="4152900" cy="2590800"/>
            <wp:effectExtent l="0" t="0" r="0" b="0"/>
            <wp:docPr id="23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91"/>
                    <pic:cNvPicPr>
                      <a:picLocks noChangeAspect="1" noChangeArrowheads="1"/>
                    </pic:cNvPicPr>
                  </pic:nvPicPr>
                  <pic:blipFill>
                    <a:blip r:embed="rId96" cstate="print"/>
                    <a:srcRect l="17328" t="25539" r="26353" b="12131"/>
                    <a:stretch>
                      <a:fillRect/>
                    </a:stretch>
                  </pic:blipFill>
                  <pic:spPr>
                    <a:xfrm>
                      <a:off x="0" y="0"/>
                      <a:ext cx="4152900" cy="2590800"/>
                    </a:xfrm>
                    <a:prstGeom prst="rect">
                      <a:avLst/>
                    </a:prstGeom>
                    <a:noFill/>
                    <a:ln w="9525">
                      <a:noFill/>
                      <a:miter lim="800000"/>
                      <a:headEnd/>
                      <a:tailEnd/>
                    </a:ln>
                  </pic:spPr>
                </pic:pic>
              </a:graphicData>
            </a:graphic>
          </wp:inline>
        </w:drawing>
      </w:r>
    </w:p>
    <w:p>
      <w:pPr>
        <w:ind w:firstLine="0" w:firstLineChars="0"/>
        <w:jc w:val="center"/>
        <w:rPr>
          <w:rFonts w:eastAsia="黑体"/>
          <w:sz w:val="21"/>
          <w:szCs w:val="21"/>
          <w:highlight w:val="none"/>
        </w:rPr>
      </w:pPr>
      <w:r>
        <w:rPr>
          <w:rFonts w:eastAsia="黑体"/>
          <w:sz w:val="21"/>
          <w:szCs w:val="21"/>
          <w:highlight w:val="none"/>
        </w:rPr>
        <w:t>图5.2-27 孔隙介质2维数值模型的</w:t>
      </w:r>
      <w:r>
        <w:rPr>
          <w:rFonts w:eastAsia="黑体"/>
          <w:i/>
          <w:sz w:val="21"/>
          <w:szCs w:val="21"/>
          <w:highlight w:val="none"/>
        </w:rPr>
        <w:t>lga</w:t>
      </w:r>
      <w:r>
        <w:rPr>
          <w:rFonts w:eastAsia="黑体"/>
          <w:i/>
          <w:sz w:val="21"/>
          <w:szCs w:val="21"/>
          <w:highlight w:val="none"/>
          <w:vertAlign w:val="subscript"/>
        </w:rPr>
        <w:t>L</w:t>
      </w:r>
      <w:r>
        <w:rPr>
          <w:rFonts w:eastAsia="黑体"/>
          <w:sz w:val="21"/>
          <w:szCs w:val="21"/>
          <w:highlight w:val="none"/>
        </w:rPr>
        <w:t>-</w:t>
      </w:r>
      <w:r>
        <w:rPr>
          <w:rFonts w:eastAsia="黑体"/>
          <w:i/>
          <w:sz w:val="21"/>
          <w:szCs w:val="21"/>
          <w:highlight w:val="none"/>
        </w:rPr>
        <w:t>lgL</w:t>
      </w:r>
      <w:r>
        <w:rPr>
          <w:rFonts w:eastAsia="黑体"/>
          <w:sz w:val="21"/>
          <w:szCs w:val="21"/>
          <w:highlight w:val="none"/>
          <w:vertAlign w:val="subscript"/>
        </w:rPr>
        <w:t>s</w:t>
      </w:r>
      <w:r>
        <w:rPr>
          <w:rFonts w:eastAsia="黑体"/>
          <w:sz w:val="21"/>
          <w:szCs w:val="21"/>
          <w:highlight w:val="none"/>
        </w:rPr>
        <w:t>图</w:t>
      </w:r>
    </w:p>
    <w:p>
      <w:pPr>
        <w:ind w:firstLine="480"/>
        <w:rPr>
          <w:sz w:val="24"/>
          <w:highlight w:val="none"/>
        </w:rPr>
      </w:pPr>
      <w:bookmarkStart w:id="484" w:name="_Toc361924684"/>
      <w:bookmarkStart w:id="485" w:name="_Toc364328710"/>
      <w:r>
        <w:rPr>
          <w:rFonts w:hint="eastAsia" w:ascii="宋体" w:hAnsi="宋体" w:cs="宋体"/>
          <w:sz w:val="24"/>
          <w:highlight w:val="none"/>
        </w:rPr>
        <w:t>③</w:t>
      </w:r>
      <w:r>
        <w:rPr>
          <w:sz w:val="24"/>
          <w:highlight w:val="none"/>
        </w:rPr>
        <w:t>地下水污染预测情景设定</w:t>
      </w:r>
      <w:bookmarkEnd w:id="484"/>
      <w:bookmarkEnd w:id="485"/>
    </w:p>
    <w:p>
      <w:pPr>
        <w:pStyle w:val="310"/>
        <w:snapToGrid w:val="0"/>
        <w:spacing w:line="360" w:lineRule="auto"/>
        <w:ind w:firstLine="480"/>
        <w:rPr>
          <w:rFonts w:ascii="Times New Roman" w:hAnsi="Times New Roman"/>
          <w:sz w:val="24"/>
          <w:szCs w:val="24"/>
          <w:highlight w:val="none"/>
        </w:rPr>
      </w:pPr>
      <w:r>
        <w:rPr>
          <w:rFonts w:hint="eastAsia"/>
          <w:sz w:val="24"/>
          <w:szCs w:val="24"/>
          <w:highlight w:val="none"/>
        </w:rPr>
        <w:t>&lt;</w:t>
      </w:r>
      <w:r>
        <w:rPr>
          <w:sz w:val="24"/>
          <w:szCs w:val="24"/>
          <w:highlight w:val="none"/>
        </w:rPr>
        <w:t>1&gt;</w:t>
      </w:r>
      <w:r>
        <w:rPr>
          <w:rFonts w:ascii="Times New Roman" w:hAnsi="Times New Roman"/>
          <w:sz w:val="24"/>
          <w:szCs w:val="24"/>
          <w:highlight w:val="none"/>
        </w:rPr>
        <w:t>正常状况</w:t>
      </w:r>
    </w:p>
    <w:p>
      <w:pPr>
        <w:pStyle w:val="310"/>
        <w:snapToGrid w:val="0"/>
        <w:spacing w:line="360" w:lineRule="auto"/>
        <w:ind w:firstLine="480"/>
        <w:rPr>
          <w:rFonts w:ascii="Times New Roman" w:hAnsi="Times New Roman"/>
          <w:sz w:val="24"/>
          <w:szCs w:val="24"/>
          <w:highlight w:val="none"/>
        </w:rPr>
      </w:pPr>
      <w:r>
        <w:rPr>
          <w:rFonts w:ascii="Times New Roman" w:hAnsi="Times New Roman"/>
          <w:sz w:val="24"/>
          <w:szCs w:val="24"/>
          <w:highlight w:val="none"/>
        </w:rPr>
        <w:t>本项目对厂区内各地下水重点污染区</w:t>
      </w:r>
      <w:bookmarkStart w:id="486" w:name="_Hlk3211049"/>
      <w:r>
        <w:rPr>
          <w:rFonts w:hint="eastAsia" w:ascii="Times New Roman" w:hAnsi="Times New Roman"/>
          <w:sz w:val="24"/>
          <w:szCs w:val="24"/>
          <w:highlight w:val="none"/>
        </w:rPr>
        <w:t>按《危险废物贮存污染控制标准》（GB18597-20</w:t>
      </w:r>
      <w:r>
        <w:rPr>
          <w:rFonts w:hint="eastAsia" w:ascii="Times New Roman" w:hAnsi="Times New Roman"/>
          <w:sz w:val="24"/>
          <w:szCs w:val="24"/>
          <w:highlight w:val="none"/>
          <w:lang w:val="en-US" w:eastAsia="zh-CN"/>
        </w:rPr>
        <w:t>23</w:t>
      </w:r>
      <w:r>
        <w:rPr>
          <w:rFonts w:hint="eastAsia" w:ascii="Times New Roman" w:hAnsi="Times New Roman"/>
          <w:sz w:val="24"/>
          <w:szCs w:val="24"/>
          <w:highlight w:val="none"/>
        </w:rPr>
        <w:t>）的要求进行了防治处理（渗透系数小于</w:t>
      </w:r>
      <w:r>
        <w:rPr>
          <w:rFonts w:ascii="Times New Roman" w:hAnsi="Times New Roman"/>
          <w:sz w:val="24"/>
          <w:szCs w:val="24"/>
          <w:highlight w:val="none"/>
        </w:rPr>
        <w:t>1.0×10</w:t>
      </w:r>
      <w:r>
        <w:rPr>
          <w:rFonts w:ascii="Times New Roman" w:hAnsi="Times New Roman"/>
          <w:sz w:val="24"/>
          <w:szCs w:val="24"/>
          <w:highlight w:val="none"/>
          <w:vertAlign w:val="superscript"/>
        </w:rPr>
        <w:t>-10</w:t>
      </w:r>
      <w:r>
        <w:rPr>
          <w:rFonts w:ascii="Times New Roman" w:hAnsi="Times New Roman"/>
          <w:sz w:val="24"/>
          <w:szCs w:val="24"/>
          <w:highlight w:val="none"/>
        </w:rPr>
        <w:t>cm/s</w:t>
      </w:r>
      <w:r>
        <w:rPr>
          <w:rFonts w:hint="eastAsia" w:ascii="Times New Roman" w:hAnsi="Times New Roman"/>
          <w:sz w:val="24"/>
          <w:szCs w:val="24"/>
          <w:highlight w:val="none"/>
        </w:rPr>
        <w:t>）</w:t>
      </w:r>
      <w:r>
        <w:rPr>
          <w:rFonts w:ascii="Times New Roman" w:hAnsi="Times New Roman"/>
          <w:sz w:val="24"/>
          <w:szCs w:val="24"/>
          <w:highlight w:val="none"/>
        </w:rPr>
        <w:t>、一般污染区按《一般工业固体废物贮存</w:t>
      </w:r>
      <w:r>
        <w:rPr>
          <w:rFonts w:hint="eastAsia" w:ascii="Times New Roman" w:hAnsi="Times New Roman"/>
          <w:sz w:val="24"/>
          <w:szCs w:val="24"/>
          <w:highlight w:val="none"/>
        </w:rPr>
        <w:t>和填埋</w:t>
      </w:r>
      <w:r>
        <w:rPr>
          <w:rFonts w:ascii="Times New Roman" w:hAnsi="Times New Roman"/>
          <w:sz w:val="24"/>
          <w:szCs w:val="24"/>
          <w:highlight w:val="none"/>
        </w:rPr>
        <w:t>污染控制标准》（GB18599-20</w:t>
      </w:r>
      <w:r>
        <w:rPr>
          <w:rFonts w:hint="eastAsia" w:ascii="Times New Roman" w:hAnsi="Times New Roman"/>
          <w:sz w:val="24"/>
          <w:szCs w:val="24"/>
          <w:highlight w:val="none"/>
        </w:rPr>
        <w:t>20</w:t>
      </w:r>
      <w:r>
        <w:rPr>
          <w:rFonts w:ascii="Times New Roman" w:hAnsi="Times New Roman"/>
          <w:sz w:val="24"/>
          <w:szCs w:val="24"/>
          <w:highlight w:val="none"/>
        </w:rPr>
        <w:t>）的</w:t>
      </w:r>
      <w:r>
        <w:rPr>
          <w:rFonts w:hint="eastAsia" w:ascii="Times New Roman" w:hAnsi="Times New Roman"/>
          <w:sz w:val="24"/>
          <w:szCs w:val="24"/>
          <w:highlight w:val="none"/>
        </w:rPr>
        <w:t>要求</w:t>
      </w:r>
      <w:r>
        <w:rPr>
          <w:rFonts w:ascii="Times New Roman" w:hAnsi="Times New Roman"/>
          <w:sz w:val="24"/>
          <w:szCs w:val="24"/>
          <w:highlight w:val="none"/>
        </w:rPr>
        <w:t>进行了防渗处理</w:t>
      </w:r>
      <w:r>
        <w:rPr>
          <w:rFonts w:hint="eastAsia" w:ascii="Times New Roman" w:hAnsi="Times New Roman"/>
          <w:sz w:val="24"/>
          <w:szCs w:val="24"/>
          <w:highlight w:val="none"/>
        </w:rPr>
        <w:t>（渗透系数小于</w:t>
      </w:r>
      <w:r>
        <w:rPr>
          <w:rFonts w:ascii="Times New Roman" w:hAnsi="Times New Roman"/>
          <w:sz w:val="24"/>
          <w:szCs w:val="24"/>
          <w:highlight w:val="none"/>
        </w:rPr>
        <w:t>1.0×10</w:t>
      </w:r>
      <w:r>
        <w:rPr>
          <w:rFonts w:ascii="Times New Roman" w:hAnsi="Times New Roman"/>
          <w:sz w:val="24"/>
          <w:szCs w:val="24"/>
          <w:highlight w:val="none"/>
          <w:vertAlign w:val="superscript"/>
        </w:rPr>
        <w:t>-7</w:t>
      </w:r>
      <w:r>
        <w:rPr>
          <w:rFonts w:ascii="Times New Roman" w:hAnsi="Times New Roman"/>
          <w:sz w:val="24"/>
          <w:szCs w:val="24"/>
          <w:highlight w:val="none"/>
        </w:rPr>
        <w:t>cm/s</w:t>
      </w:r>
      <w:r>
        <w:rPr>
          <w:rFonts w:hint="eastAsia" w:ascii="Times New Roman" w:hAnsi="Times New Roman"/>
          <w:sz w:val="24"/>
          <w:szCs w:val="24"/>
          <w:highlight w:val="none"/>
        </w:rPr>
        <w:t>）</w:t>
      </w:r>
      <w:bookmarkEnd w:id="486"/>
      <w:r>
        <w:rPr>
          <w:rFonts w:ascii="Times New Roman" w:hAnsi="Times New Roman"/>
          <w:sz w:val="24"/>
          <w:szCs w:val="24"/>
          <w:highlight w:val="none"/>
        </w:rPr>
        <w:t>，污染源从源头上可以得到控制：对可能出现的渗漏的池体构筑物，以及</w:t>
      </w:r>
      <w:r>
        <w:rPr>
          <w:rFonts w:hint="eastAsia" w:ascii="Times New Roman" w:hAnsi="Times New Roman"/>
          <w:sz w:val="24"/>
          <w:szCs w:val="24"/>
          <w:highlight w:val="none"/>
        </w:rPr>
        <w:t>原料</w:t>
      </w:r>
      <w:r>
        <w:rPr>
          <w:rFonts w:hint="eastAsia" w:ascii="Times New Roman" w:hAnsi="Times New Roman"/>
          <w:sz w:val="24"/>
          <w:szCs w:val="24"/>
          <w:highlight w:val="none"/>
          <w:lang w:val="en-US" w:eastAsia="zh-CN"/>
        </w:rPr>
        <w:t>棚</w:t>
      </w:r>
      <w:r>
        <w:rPr>
          <w:rFonts w:hint="eastAsia" w:ascii="Times New Roman" w:hAnsi="Times New Roman"/>
          <w:sz w:val="24"/>
          <w:szCs w:val="24"/>
          <w:highlight w:val="none"/>
        </w:rPr>
        <w:t>、破碎</w:t>
      </w:r>
      <w:r>
        <w:rPr>
          <w:rFonts w:ascii="Times New Roman" w:hAnsi="Times New Roman"/>
          <w:sz w:val="24"/>
          <w:szCs w:val="24"/>
          <w:highlight w:val="none"/>
        </w:rPr>
        <w:t>车间</w:t>
      </w:r>
      <w:r>
        <w:rPr>
          <w:rFonts w:hint="eastAsia" w:ascii="Times New Roman" w:hAnsi="Times New Roman"/>
          <w:sz w:val="24"/>
          <w:szCs w:val="24"/>
          <w:highlight w:val="none"/>
        </w:rPr>
        <w:t>、球磨车间、成品库</w:t>
      </w:r>
      <w:r>
        <w:rPr>
          <w:rFonts w:ascii="Times New Roman" w:hAnsi="Times New Roman"/>
          <w:sz w:val="24"/>
          <w:szCs w:val="24"/>
          <w:highlight w:val="none"/>
        </w:rPr>
        <w:t>等地面进行防渗处理，即使有少量的污染物泄漏，也很难通过防渗层渗入包气带。在正常状况下，本项目产生的污染物从源头和末端均得到控制，池体和地面经防渗处理，没有污染地下水的通道，污染物污染地下水的可能性很小。</w:t>
      </w:r>
    </w:p>
    <w:p>
      <w:pPr>
        <w:ind w:firstLine="480"/>
        <w:rPr>
          <w:sz w:val="24"/>
          <w:highlight w:val="none"/>
        </w:rPr>
      </w:pPr>
      <w:bookmarkStart w:id="487" w:name="_Hlk3211115"/>
      <w:r>
        <w:rPr>
          <w:rFonts w:hint="eastAsia"/>
          <w:sz w:val="24"/>
          <w:szCs w:val="24"/>
          <w:highlight w:val="none"/>
        </w:rPr>
        <w:t>因此，本项目不进行正常状况下的情景预测。</w:t>
      </w:r>
      <w:bookmarkEnd w:id="487"/>
    </w:p>
    <w:p>
      <w:pPr>
        <w:pStyle w:val="310"/>
        <w:snapToGrid w:val="0"/>
        <w:spacing w:line="360" w:lineRule="auto"/>
        <w:ind w:firstLine="480"/>
        <w:rPr>
          <w:rFonts w:ascii="Times New Roman" w:hAnsi="Times New Roman"/>
          <w:sz w:val="24"/>
          <w:szCs w:val="24"/>
          <w:highlight w:val="none"/>
        </w:rPr>
      </w:pPr>
      <w:r>
        <w:rPr>
          <w:rFonts w:hint="eastAsia" w:ascii="Times New Roman" w:hAnsi="Times New Roman"/>
          <w:sz w:val="24"/>
          <w:szCs w:val="24"/>
          <w:highlight w:val="none"/>
        </w:rPr>
        <w:t>&lt;</w:t>
      </w:r>
      <w:r>
        <w:rPr>
          <w:rFonts w:ascii="Times New Roman" w:hAnsi="Times New Roman"/>
          <w:sz w:val="24"/>
          <w:szCs w:val="24"/>
          <w:highlight w:val="none"/>
        </w:rPr>
        <w:t>2&gt;非正常状况</w:t>
      </w:r>
    </w:p>
    <w:p>
      <w:pPr>
        <w:pStyle w:val="310"/>
        <w:snapToGrid w:val="0"/>
        <w:spacing w:line="360" w:lineRule="auto"/>
        <w:ind w:firstLine="480"/>
        <w:rPr>
          <w:rFonts w:ascii="Times New Roman" w:hAnsi="Times New Roman"/>
          <w:sz w:val="24"/>
          <w:szCs w:val="24"/>
          <w:highlight w:val="none"/>
        </w:rPr>
      </w:pPr>
      <w:r>
        <w:rPr>
          <w:rFonts w:ascii="Times New Roman" w:hAnsi="Times New Roman"/>
          <w:sz w:val="24"/>
          <w:szCs w:val="24"/>
          <w:highlight w:val="none"/>
        </w:rPr>
        <w:t>非正常状况是指污水处理构筑物四壁或底部出现破损，以及底部防渗等级不合标准要求，污染物经包气带渗入浅层地下水。</w:t>
      </w:r>
    </w:p>
    <w:p>
      <w:pPr>
        <w:ind w:firstLine="0" w:firstLineChars="0"/>
        <w:jc w:val="center"/>
        <w:rPr>
          <w:highlight w:val="none"/>
        </w:rPr>
      </w:pPr>
      <w:r>
        <w:rPr>
          <w:sz w:val="24"/>
          <w:szCs w:val="24"/>
          <w:highlight w:val="none"/>
        </w:rPr>
        <w:t>情景设定：项目区的浓密池发生泄漏，导致泄漏污染物污染地下水。</w:t>
      </w:r>
    </w:p>
    <w:bookmarkEnd w:id="472"/>
    <w:p>
      <w:pPr>
        <w:pStyle w:val="47"/>
        <w:spacing w:after="0" w:line="360" w:lineRule="auto"/>
        <w:ind w:left="0" w:leftChars="0" w:firstLine="480"/>
        <w:rPr>
          <w:sz w:val="24"/>
          <w:szCs w:val="32"/>
          <w:highlight w:val="none"/>
        </w:rPr>
      </w:pPr>
      <w:r>
        <w:rPr>
          <w:sz w:val="24"/>
          <w:highlight w:val="none"/>
        </w:rPr>
        <w:t>项目生产过程中潜在泄漏点为浓密池，浓密池</w:t>
      </w:r>
      <w:r>
        <w:rPr>
          <w:sz w:val="24"/>
          <w:szCs w:val="32"/>
          <w:highlight w:val="none"/>
        </w:rPr>
        <w:t>直径30m，上部为圆柱体，高2.4m</w:t>
      </w:r>
      <w:r>
        <w:rPr>
          <w:rFonts w:hint="eastAsia"/>
          <w:sz w:val="24"/>
          <w:highlight w:val="none"/>
        </w:rPr>
        <w:t>，</w:t>
      </w:r>
      <w:r>
        <w:rPr>
          <w:sz w:val="24"/>
          <w:szCs w:val="32"/>
          <w:highlight w:val="none"/>
        </w:rPr>
        <w:t>下部为椎体，高2.7m</w:t>
      </w:r>
      <w:r>
        <w:rPr>
          <w:rFonts w:hint="eastAsia"/>
          <w:sz w:val="24"/>
          <w:highlight w:val="none"/>
        </w:rPr>
        <w:t>，</w:t>
      </w:r>
      <w:r>
        <w:rPr>
          <w:sz w:val="24"/>
          <w:highlight w:val="none"/>
        </w:rPr>
        <w:t>主要储存生产过程中的生产废水，主要特征污染物为铁。</w:t>
      </w:r>
    </w:p>
    <w:p>
      <w:pPr>
        <w:ind w:firstLine="480"/>
        <w:jc w:val="both"/>
        <w:rPr>
          <w:sz w:val="24"/>
          <w:highlight w:val="none"/>
        </w:rPr>
      </w:pPr>
      <w:r>
        <w:rPr>
          <w:sz w:val="24"/>
          <w:highlight w:val="none"/>
        </w:rPr>
        <w:t>源强计算：根据《给水排水建筑物工程施工及验收规范》（GB50141-2008）中关于钢筋混凝土的满水试验验收标准，钢筋混凝土结构水池渗水量的验收标准为2L/m</w:t>
      </w:r>
      <w:r>
        <w:rPr>
          <w:sz w:val="24"/>
          <w:highlight w:val="none"/>
          <w:vertAlign w:val="superscript"/>
        </w:rPr>
        <w:t>2</w:t>
      </w:r>
      <w:r>
        <w:rPr>
          <w:sz w:val="24"/>
          <w:highlight w:val="none"/>
        </w:rPr>
        <w:t>·d。因此正常情况下，浓密池尺寸表面积为，2×3.14×15×2.4+1/2×2×3.14×15×15.24=943.883m</w:t>
      </w:r>
      <w:r>
        <w:rPr>
          <w:sz w:val="24"/>
          <w:highlight w:val="none"/>
          <w:vertAlign w:val="superscript"/>
        </w:rPr>
        <w:t>2</w:t>
      </w:r>
      <w:r>
        <w:rPr>
          <w:sz w:val="24"/>
          <w:highlight w:val="none"/>
        </w:rPr>
        <w:t>，废水泄露量为1887.77L/d，非正常情况下取正常情况下渗漏量的10倍，则非正常情况下，浓密池废水泄漏量为18877.7 L/d, 即每天18.87 m</w:t>
      </w:r>
      <w:r>
        <w:rPr>
          <w:sz w:val="24"/>
          <w:highlight w:val="none"/>
          <w:vertAlign w:val="superscript"/>
        </w:rPr>
        <w:t>3</w:t>
      </w:r>
      <w:r>
        <w:rPr>
          <w:sz w:val="24"/>
          <w:highlight w:val="none"/>
        </w:rPr>
        <w:t>/d</w:t>
      </w:r>
      <w:r>
        <w:rPr>
          <w:rFonts w:hint="eastAsia"/>
          <w:sz w:val="24"/>
          <w:highlight w:val="none"/>
        </w:rPr>
        <w:t>，</w:t>
      </w:r>
      <w:r>
        <w:rPr>
          <w:sz w:val="24"/>
          <w:highlight w:val="none"/>
        </w:rPr>
        <w:t>其中生产废水铁的浓度为0.048mg/L。</w:t>
      </w:r>
    </w:p>
    <w:p>
      <w:pPr>
        <w:ind w:firstLine="480"/>
        <w:rPr>
          <w:sz w:val="24"/>
          <w:highlight w:val="none"/>
        </w:rPr>
      </w:pPr>
      <w:r>
        <w:rPr>
          <w:sz w:val="24"/>
          <w:highlight w:val="none"/>
        </w:rPr>
        <w:t>设定采取的渗漏检测发现及修复事故工况时间为20天，则污染物每天的泄漏量为：</w:t>
      </w:r>
      <w:r>
        <w:rPr>
          <w:b/>
          <w:sz w:val="24"/>
          <w:highlight w:val="none"/>
        </w:rPr>
        <w:t>铁：</w:t>
      </w:r>
      <w:r>
        <w:rPr>
          <w:sz w:val="24"/>
          <w:highlight w:val="none"/>
        </w:rPr>
        <w:t>18.87m</w:t>
      </w:r>
      <w:r>
        <w:rPr>
          <w:sz w:val="24"/>
          <w:highlight w:val="none"/>
          <w:vertAlign w:val="superscript"/>
        </w:rPr>
        <w:t>3</w:t>
      </w:r>
      <w:r>
        <w:rPr>
          <w:sz w:val="24"/>
          <w:highlight w:val="none"/>
        </w:rPr>
        <w:t>×10</w:t>
      </w:r>
      <w:r>
        <w:rPr>
          <w:sz w:val="24"/>
          <w:highlight w:val="none"/>
          <w:vertAlign w:val="superscript"/>
        </w:rPr>
        <w:t>3</w:t>
      </w:r>
      <w:r>
        <w:rPr>
          <w:sz w:val="24"/>
          <w:highlight w:val="none"/>
        </w:rPr>
        <w:t>L/m</w:t>
      </w:r>
      <w:r>
        <w:rPr>
          <w:sz w:val="24"/>
          <w:highlight w:val="none"/>
          <w:vertAlign w:val="superscript"/>
        </w:rPr>
        <w:t>3</w:t>
      </w:r>
      <w:r>
        <w:rPr>
          <w:sz w:val="24"/>
          <w:highlight w:val="none"/>
        </w:rPr>
        <w:t>×0.048mg/L÷1000000mg/kg =0.0091</w:t>
      </w:r>
      <w:r>
        <w:rPr>
          <w:rFonts w:hint="eastAsia"/>
          <w:sz w:val="24"/>
          <w:highlight w:val="none"/>
        </w:rPr>
        <w:t>k</w:t>
      </w:r>
      <w:r>
        <w:rPr>
          <w:sz w:val="24"/>
          <w:highlight w:val="none"/>
        </w:rPr>
        <w:t>g；</w:t>
      </w:r>
    </w:p>
    <w:p>
      <w:pPr>
        <w:ind w:firstLine="480"/>
        <w:rPr>
          <w:sz w:val="24"/>
          <w:highlight w:val="none"/>
        </w:rPr>
      </w:pPr>
      <w:r>
        <w:rPr>
          <w:sz w:val="24"/>
          <w:highlight w:val="none"/>
        </w:rPr>
        <w:t>本次模拟预测根据污染风险分析的情景设计，在选定优先控制污染物的基础上，分别对地下水污染物在不同时段的运移距离、超标范围和影响范围进行模拟预测</w:t>
      </w:r>
      <w:bookmarkStart w:id="488" w:name="_Hlk3213626"/>
      <w:r>
        <w:rPr>
          <w:rFonts w:hint="eastAsia"/>
          <w:sz w:val="24"/>
          <w:highlight w:val="none"/>
        </w:rPr>
        <w:t>，</w:t>
      </w:r>
      <w:bookmarkEnd w:id="488"/>
      <w:r>
        <w:rPr>
          <w:sz w:val="24"/>
          <w:highlight w:val="none"/>
        </w:rPr>
        <w:t>铁的超标范围参照《地下水质量标准》（GB/T14848-2017）中Ⅲ类水的要求，污染物的检出下限值参照常规仪器检测下限（详见表5.2-2</w:t>
      </w:r>
      <w:r>
        <w:rPr>
          <w:rFonts w:hint="eastAsia"/>
          <w:sz w:val="24"/>
          <w:highlight w:val="none"/>
        </w:rPr>
        <w:t>6</w:t>
      </w:r>
      <w:r>
        <w:rPr>
          <w:sz w:val="24"/>
          <w:highlight w:val="none"/>
        </w:rPr>
        <w:t>）。</w:t>
      </w:r>
    </w:p>
    <w:p>
      <w:pPr>
        <w:spacing w:line="240" w:lineRule="auto"/>
        <w:ind w:firstLine="0" w:firstLineChars="0"/>
        <w:jc w:val="center"/>
        <w:rPr>
          <w:rFonts w:eastAsia="黑体"/>
          <w:sz w:val="21"/>
          <w:szCs w:val="21"/>
          <w:highlight w:val="none"/>
        </w:rPr>
      </w:pPr>
      <w:r>
        <w:rPr>
          <w:rFonts w:eastAsia="黑体"/>
          <w:sz w:val="21"/>
          <w:szCs w:val="21"/>
          <w:highlight w:val="none"/>
        </w:rPr>
        <w:t>表5.2-2</w:t>
      </w:r>
      <w:r>
        <w:rPr>
          <w:rFonts w:hint="eastAsia" w:eastAsia="黑体"/>
          <w:sz w:val="21"/>
          <w:szCs w:val="21"/>
          <w:highlight w:val="none"/>
        </w:rPr>
        <w:t>6</w:t>
      </w:r>
      <w:r>
        <w:rPr>
          <w:rFonts w:eastAsia="黑体"/>
          <w:sz w:val="21"/>
          <w:szCs w:val="21"/>
          <w:highlight w:val="none"/>
        </w:rPr>
        <w:t>评价因子及评价标准一览表</w:t>
      </w:r>
    </w:p>
    <w:tbl>
      <w:tblPr>
        <w:tblStyle w:val="48"/>
        <w:tblW w:w="4999"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6751"/>
        <w:gridCol w:w="161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50" w:hRule="atLeast"/>
        </w:trPr>
        <w:tc>
          <w:tcPr>
            <w:tcW w:w="4034" w:type="pct"/>
            <w:vAlign w:val="center"/>
          </w:tcPr>
          <w:p>
            <w:pPr>
              <w:spacing w:line="240" w:lineRule="auto"/>
              <w:ind w:firstLine="0" w:firstLineChars="0"/>
              <w:jc w:val="center"/>
              <w:rPr>
                <w:sz w:val="21"/>
                <w:szCs w:val="21"/>
                <w:highlight w:val="none"/>
              </w:rPr>
            </w:pPr>
            <w:r>
              <w:rPr>
                <w:sz w:val="21"/>
                <w:szCs w:val="21"/>
                <w:highlight w:val="none"/>
              </w:rPr>
              <w:t>评价因子</w:t>
            </w:r>
          </w:p>
        </w:tc>
        <w:tc>
          <w:tcPr>
            <w:tcW w:w="965" w:type="pct"/>
          </w:tcPr>
          <w:p>
            <w:pPr>
              <w:spacing w:line="240" w:lineRule="auto"/>
              <w:ind w:firstLine="0" w:firstLineChars="0"/>
              <w:jc w:val="center"/>
              <w:rPr>
                <w:sz w:val="21"/>
                <w:szCs w:val="21"/>
                <w:highlight w:val="none"/>
              </w:rPr>
            </w:pPr>
            <w:r>
              <w:rPr>
                <w:sz w:val="21"/>
                <w:szCs w:val="21"/>
                <w:highlight w:val="none"/>
              </w:rPr>
              <w:t>铁</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83" w:hRule="atLeast"/>
        </w:trPr>
        <w:tc>
          <w:tcPr>
            <w:tcW w:w="4034" w:type="pct"/>
            <w:vAlign w:val="center"/>
          </w:tcPr>
          <w:p>
            <w:pPr>
              <w:spacing w:line="240" w:lineRule="auto"/>
              <w:ind w:firstLine="0" w:firstLineChars="0"/>
              <w:jc w:val="center"/>
              <w:rPr>
                <w:sz w:val="21"/>
                <w:szCs w:val="21"/>
                <w:highlight w:val="none"/>
              </w:rPr>
            </w:pPr>
            <w:r>
              <w:rPr>
                <w:sz w:val="21"/>
                <w:szCs w:val="21"/>
                <w:highlight w:val="none"/>
              </w:rPr>
              <w:t>质量标准（mg/L）</w:t>
            </w:r>
          </w:p>
        </w:tc>
        <w:tc>
          <w:tcPr>
            <w:tcW w:w="965" w:type="pct"/>
          </w:tcPr>
          <w:p>
            <w:pPr>
              <w:spacing w:line="240" w:lineRule="auto"/>
              <w:ind w:firstLine="0" w:firstLineChars="0"/>
              <w:jc w:val="center"/>
              <w:rPr>
                <w:sz w:val="21"/>
                <w:szCs w:val="21"/>
                <w:highlight w:val="none"/>
              </w:rPr>
            </w:pPr>
            <w:r>
              <w:rPr>
                <w:sz w:val="21"/>
                <w:szCs w:val="21"/>
                <w:highlight w:val="none"/>
              </w:rPr>
              <w:t>0.3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0" w:hRule="atLeast"/>
        </w:trPr>
        <w:tc>
          <w:tcPr>
            <w:tcW w:w="4034" w:type="pct"/>
            <w:vAlign w:val="center"/>
          </w:tcPr>
          <w:p>
            <w:pPr>
              <w:spacing w:line="240" w:lineRule="auto"/>
              <w:ind w:firstLine="0" w:firstLineChars="0"/>
              <w:jc w:val="center"/>
              <w:rPr>
                <w:sz w:val="21"/>
                <w:szCs w:val="21"/>
                <w:highlight w:val="none"/>
              </w:rPr>
            </w:pPr>
            <w:r>
              <w:rPr>
                <w:sz w:val="21"/>
                <w:szCs w:val="21"/>
                <w:highlight w:val="none"/>
              </w:rPr>
              <w:t>检出范围(mg/L)</w:t>
            </w:r>
          </w:p>
        </w:tc>
        <w:tc>
          <w:tcPr>
            <w:tcW w:w="965" w:type="pct"/>
          </w:tcPr>
          <w:p>
            <w:pPr>
              <w:spacing w:line="240" w:lineRule="auto"/>
              <w:ind w:firstLine="0" w:firstLineChars="0"/>
              <w:jc w:val="center"/>
              <w:rPr>
                <w:sz w:val="21"/>
                <w:szCs w:val="21"/>
                <w:highlight w:val="none"/>
              </w:rPr>
            </w:pPr>
            <w:r>
              <w:rPr>
                <w:sz w:val="21"/>
                <w:szCs w:val="21"/>
                <w:highlight w:val="none"/>
              </w:rPr>
              <w:t>0.01</w:t>
            </w:r>
          </w:p>
        </w:tc>
      </w:tr>
    </w:tbl>
    <w:p>
      <w:pPr>
        <w:widowControl/>
        <w:ind w:firstLine="480"/>
        <w:rPr>
          <w:sz w:val="24"/>
          <w:highlight w:val="none"/>
        </w:rPr>
      </w:pPr>
      <w:bookmarkStart w:id="489" w:name="_Toc6843"/>
      <w:bookmarkStart w:id="490" w:name="_Toc328151219"/>
      <w:bookmarkStart w:id="491" w:name="_Toc325797831"/>
      <w:r>
        <w:rPr>
          <w:sz w:val="24"/>
          <w:highlight w:val="none"/>
        </w:rPr>
        <w:t>对厂区非</w:t>
      </w:r>
      <w:r>
        <w:rPr>
          <w:bCs/>
          <w:sz w:val="24"/>
          <w:highlight w:val="none"/>
        </w:rPr>
        <w:t>正常状况</w:t>
      </w:r>
      <w:r>
        <w:rPr>
          <w:sz w:val="24"/>
          <w:highlight w:val="none"/>
        </w:rPr>
        <w:t>情景进行模拟预测，预测结果如下：</w:t>
      </w:r>
    </w:p>
    <w:p>
      <w:pPr>
        <w:ind w:firstLine="480"/>
        <w:rPr>
          <w:sz w:val="24"/>
          <w:highlight w:val="none"/>
        </w:rPr>
      </w:pPr>
      <w:r>
        <w:rPr>
          <w:rFonts w:hint="eastAsia" w:ascii="宋体" w:hAnsi="宋体" w:cs="宋体"/>
          <w:sz w:val="24"/>
          <w:highlight w:val="none"/>
        </w:rPr>
        <w:t>④</w:t>
      </w:r>
      <w:r>
        <w:rPr>
          <w:sz w:val="24"/>
          <w:highlight w:val="none"/>
        </w:rPr>
        <w:t>地下水污染预测</w:t>
      </w:r>
      <w:bookmarkEnd w:id="489"/>
      <w:bookmarkEnd w:id="490"/>
      <w:bookmarkEnd w:id="491"/>
    </w:p>
    <w:p>
      <w:pPr>
        <w:ind w:firstLine="480"/>
        <w:rPr>
          <w:sz w:val="24"/>
          <w:highlight w:val="none"/>
        </w:rPr>
      </w:pPr>
      <w:r>
        <w:rPr>
          <w:rFonts w:hint="eastAsia"/>
          <w:sz w:val="24"/>
          <w:highlight w:val="none"/>
        </w:rPr>
        <w:t>Fe</w:t>
      </w:r>
      <w:r>
        <w:rPr>
          <w:sz w:val="24"/>
          <w:highlight w:val="none"/>
        </w:rPr>
        <w:t>渗漏地下水污染预测</w:t>
      </w:r>
    </w:p>
    <w:p>
      <w:pPr>
        <w:spacing w:line="240" w:lineRule="auto"/>
        <w:ind w:firstLine="0" w:firstLineChars="0"/>
        <w:jc w:val="center"/>
        <w:rPr>
          <w:rFonts w:eastAsia="黑体"/>
          <w:sz w:val="21"/>
          <w:szCs w:val="21"/>
          <w:highlight w:val="none"/>
        </w:rPr>
      </w:pPr>
      <w:r>
        <w:rPr>
          <w:rFonts w:eastAsia="黑体"/>
          <w:sz w:val="21"/>
          <w:szCs w:val="21"/>
          <w:highlight w:val="none"/>
        </w:rPr>
        <w:t>表5.2-2</w:t>
      </w:r>
      <w:r>
        <w:rPr>
          <w:rFonts w:hint="eastAsia" w:eastAsia="黑体"/>
          <w:sz w:val="21"/>
          <w:szCs w:val="21"/>
          <w:highlight w:val="none"/>
        </w:rPr>
        <w:t>7</w:t>
      </w:r>
      <w:r>
        <w:rPr>
          <w:rFonts w:eastAsia="黑体"/>
          <w:sz w:val="21"/>
          <w:szCs w:val="21"/>
          <w:highlight w:val="none"/>
        </w:rPr>
        <w:t>非正常状况泄漏情景下含水层中</w:t>
      </w:r>
      <w:r>
        <w:rPr>
          <w:rFonts w:hint="eastAsia" w:eastAsia="黑体"/>
          <w:sz w:val="21"/>
          <w:szCs w:val="21"/>
          <w:highlight w:val="none"/>
        </w:rPr>
        <w:t>Fe</w:t>
      </w:r>
      <w:r>
        <w:rPr>
          <w:rFonts w:eastAsia="黑体"/>
          <w:sz w:val="21"/>
          <w:szCs w:val="21"/>
          <w:highlight w:val="none"/>
        </w:rPr>
        <w:t>影响范围</w:t>
      </w:r>
    </w:p>
    <w:tbl>
      <w:tblPr>
        <w:tblStyle w:val="48"/>
        <w:tblW w:w="8368" w:type="dxa"/>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384"/>
        <w:gridCol w:w="2166"/>
        <w:gridCol w:w="2167"/>
        <w:gridCol w:w="2651"/>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时间（天）</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超标范围（m</w:t>
            </w:r>
            <w:r>
              <w:rPr>
                <w:rFonts w:ascii="Times New Roman" w:hAnsi="Times New Roman"/>
                <w:kern w:val="2"/>
                <w:sz w:val="21"/>
                <w:szCs w:val="21"/>
                <w:highlight w:val="none"/>
                <w:vertAlign w:val="superscript"/>
              </w:rPr>
              <w:t>2</w:t>
            </w:r>
            <w:r>
              <w:rPr>
                <w:rFonts w:ascii="Times New Roman" w:hAnsi="Times New Roman"/>
                <w:kern w:val="2"/>
                <w:sz w:val="21"/>
                <w:szCs w:val="21"/>
                <w:highlight w:val="none"/>
              </w:rPr>
              <w:t>）</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影响范围（m</w:t>
            </w:r>
            <w:r>
              <w:rPr>
                <w:rFonts w:ascii="Times New Roman" w:hAnsi="Times New Roman"/>
                <w:kern w:val="2"/>
                <w:sz w:val="21"/>
                <w:szCs w:val="21"/>
                <w:highlight w:val="none"/>
                <w:vertAlign w:val="superscript"/>
              </w:rPr>
              <w:t>2</w:t>
            </w:r>
            <w:r>
              <w:rPr>
                <w:rFonts w:ascii="Times New Roman" w:hAnsi="Times New Roman"/>
                <w:kern w:val="2"/>
                <w:sz w:val="21"/>
                <w:szCs w:val="21"/>
                <w:highlight w:val="none"/>
              </w:rPr>
              <w:t>）</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最大运移距离（m）</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414</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49</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500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8972</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135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1000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9123</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215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1500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4269</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284</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1700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1563</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292</w:t>
            </w:r>
          </w:p>
        </w:tc>
      </w:tr>
    </w:tbl>
    <w:p>
      <w:pPr>
        <w:pStyle w:val="207"/>
        <w:spacing w:line="360" w:lineRule="auto"/>
        <w:ind w:firstLine="480" w:firstLineChars="200"/>
        <w:rPr>
          <w:szCs w:val="24"/>
          <w:highlight w:val="none"/>
        </w:rPr>
      </w:pPr>
      <w:r>
        <w:rPr>
          <w:szCs w:val="24"/>
          <w:highlight w:val="none"/>
        </w:rPr>
        <w:t>通过预测结果可知，整个模拟期间含水层中铁</w:t>
      </w:r>
      <w:r>
        <w:rPr>
          <w:bCs/>
          <w:szCs w:val="24"/>
          <w:highlight w:val="none"/>
        </w:rPr>
        <w:t>的最大浓度也仅为4.2×10</w:t>
      </w:r>
      <w:r>
        <w:rPr>
          <w:bCs/>
          <w:szCs w:val="24"/>
          <w:highlight w:val="none"/>
          <w:vertAlign w:val="superscript"/>
        </w:rPr>
        <w:t>-5</w:t>
      </w:r>
      <w:r>
        <w:rPr>
          <w:bCs/>
          <w:szCs w:val="24"/>
          <w:highlight w:val="none"/>
        </w:rPr>
        <w:t>mg/L，远小于</w:t>
      </w:r>
      <w:r>
        <w:rPr>
          <w:szCs w:val="24"/>
          <w:highlight w:val="none"/>
        </w:rPr>
        <w:t>铁</w:t>
      </w:r>
      <w:r>
        <w:rPr>
          <w:bCs/>
          <w:szCs w:val="24"/>
          <w:highlight w:val="none"/>
        </w:rPr>
        <w:t>的浓度检出限</w:t>
      </w:r>
      <w:r>
        <w:rPr>
          <w:szCs w:val="24"/>
          <w:highlight w:val="none"/>
        </w:rPr>
        <w:t>0.01</w:t>
      </w:r>
      <w:r>
        <w:rPr>
          <w:bCs/>
          <w:szCs w:val="24"/>
          <w:highlight w:val="none"/>
        </w:rPr>
        <w:t>mg/L的标准，</w:t>
      </w:r>
      <w:r>
        <w:rPr>
          <w:rFonts w:hint="eastAsia"/>
          <w:szCs w:val="24"/>
          <w:highlight w:val="none"/>
        </w:rPr>
        <w:t>因此本项目对厂区下游最近的西新店子村居民的生活用水水质不会产生影响，更不会对项目区</w:t>
      </w:r>
      <w:r>
        <w:rPr>
          <w:szCs w:val="24"/>
          <w:highlight w:val="none"/>
        </w:rPr>
        <w:t>附近</w:t>
      </w:r>
      <w:r>
        <w:rPr>
          <w:rFonts w:hint="eastAsia"/>
          <w:szCs w:val="24"/>
          <w:highlight w:val="none"/>
        </w:rPr>
        <w:t>其它</w:t>
      </w:r>
      <w:r>
        <w:rPr>
          <w:szCs w:val="24"/>
          <w:highlight w:val="none"/>
        </w:rPr>
        <w:t>居民</w:t>
      </w:r>
      <w:r>
        <w:rPr>
          <w:rFonts w:hint="eastAsia"/>
          <w:szCs w:val="24"/>
          <w:highlight w:val="none"/>
        </w:rPr>
        <w:t>点</w:t>
      </w:r>
      <w:r>
        <w:rPr>
          <w:szCs w:val="24"/>
          <w:highlight w:val="none"/>
        </w:rPr>
        <w:t>的生活用水水质产生影响。</w:t>
      </w:r>
    </w:p>
    <w:p>
      <w:pPr>
        <w:widowControl/>
        <w:ind w:firstLine="480"/>
        <w:rPr>
          <w:sz w:val="24"/>
          <w:szCs w:val="24"/>
          <w:highlight w:val="none"/>
        </w:rPr>
      </w:pPr>
      <w:r>
        <w:rPr>
          <w:sz w:val="24"/>
          <w:szCs w:val="24"/>
          <w:highlight w:val="none"/>
        </w:rPr>
        <w:t>厂区下游边界处铁浓度的预测结果见图5.2-</w:t>
      </w:r>
      <w:r>
        <w:rPr>
          <w:rFonts w:hint="eastAsia"/>
          <w:sz w:val="24"/>
          <w:szCs w:val="24"/>
          <w:highlight w:val="none"/>
        </w:rPr>
        <w:t>28</w:t>
      </w:r>
      <w:r>
        <w:rPr>
          <w:sz w:val="24"/>
          <w:szCs w:val="24"/>
          <w:highlight w:val="none"/>
        </w:rPr>
        <w:t>。结果表明项目区</w:t>
      </w:r>
      <w:r>
        <w:rPr>
          <w:spacing w:val="10"/>
          <w:sz w:val="24"/>
          <w:szCs w:val="24"/>
          <w:highlight w:val="none"/>
        </w:rPr>
        <w:t>浓密池</w:t>
      </w:r>
      <w:r>
        <w:rPr>
          <w:sz w:val="24"/>
          <w:szCs w:val="24"/>
          <w:highlight w:val="none"/>
        </w:rPr>
        <w:t>非正常泄露情景</w:t>
      </w:r>
      <w:r>
        <w:rPr>
          <w:spacing w:val="10"/>
          <w:sz w:val="24"/>
          <w:szCs w:val="24"/>
          <w:highlight w:val="none"/>
        </w:rPr>
        <w:t>下</w:t>
      </w:r>
      <w:r>
        <w:rPr>
          <w:sz w:val="24"/>
          <w:szCs w:val="24"/>
          <w:highlight w:val="none"/>
        </w:rPr>
        <w:t>，厂区下游边界处在泄露事故发生600天后，铁浓度达到了最大，为</w:t>
      </w:r>
      <w:r>
        <w:rPr>
          <w:bCs/>
          <w:sz w:val="24"/>
          <w:szCs w:val="24"/>
          <w:highlight w:val="none"/>
        </w:rPr>
        <w:t>4.2×10</w:t>
      </w:r>
      <w:r>
        <w:rPr>
          <w:bCs/>
          <w:sz w:val="24"/>
          <w:szCs w:val="24"/>
          <w:highlight w:val="none"/>
          <w:vertAlign w:val="superscript"/>
        </w:rPr>
        <w:t>-5</w:t>
      </w:r>
      <w:r>
        <w:rPr>
          <w:sz w:val="24"/>
          <w:szCs w:val="24"/>
          <w:highlight w:val="none"/>
        </w:rPr>
        <w:t>mg/L，没有超过地下水Ⅲ类水铁的质量标准，之后浓度开始逐渐减小</w:t>
      </w:r>
      <w:r>
        <w:rPr>
          <w:bCs/>
          <w:sz w:val="24"/>
          <w:szCs w:val="24"/>
          <w:highlight w:val="none"/>
        </w:rPr>
        <w:t>。</w:t>
      </w:r>
    </w:p>
    <w:p>
      <w:pPr>
        <w:ind w:firstLine="480"/>
        <w:rPr>
          <w:bCs/>
          <w:sz w:val="24"/>
          <w:szCs w:val="24"/>
          <w:highlight w:val="none"/>
        </w:rPr>
      </w:pPr>
    </w:p>
    <w:p>
      <w:pPr>
        <w:ind w:firstLine="0" w:firstLineChars="0"/>
        <w:jc w:val="center"/>
        <w:rPr>
          <w:highlight w:val="none"/>
        </w:rPr>
      </w:pPr>
      <w:r>
        <w:rPr>
          <w:highlight w:val="none"/>
        </w:rPr>
        <w:drawing>
          <wp:inline distT="0" distB="0" distL="0" distR="0">
            <wp:extent cx="4392295" cy="2915920"/>
            <wp:effectExtent l="19050" t="0" r="7737" b="0"/>
            <wp:docPr id="237" name="图片 56"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6" descr="100"/>
                    <pic:cNvPicPr>
                      <a:picLocks noChangeAspect="1" noChangeArrowheads="1"/>
                    </pic:cNvPicPr>
                  </pic:nvPicPr>
                  <pic:blipFill>
                    <a:blip r:embed="rId97" cstate="print"/>
                    <a:srcRect/>
                    <a:stretch>
                      <a:fillRect/>
                    </a:stretch>
                  </pic:blipFill>
                  <pic:spPr>
                    <a:xfrm>
                      <a:off x="0" y="0"/>
                      <a:ext cx="4392813" cy="2916000"/>
                    </a:xfrm>
                    <a:prstGeom prst="rect">
                      <a:avLst/>
                    </a:prstGeom>
                    <a:noFill/>
                    <a:ln w="9525">
                      <a:noFill/>
                      <a:miter lim="800000"/>
                      <a:headEnd/>
                      <a:tailEnd/>
                    </a:ln>
                  </pic:spPr>
                </pic:pic>
              </a:graphicData>
            </a:graphic>
          </wp:inline>
        </w:drawing>
      </w:r>
    </w:p>
    <w:p>
      <w:pPr>
        <w:ind w:firstLine="0" w:firstLineChars="0"/>
        <w:jc w:val="center"/>
        <w:rPr>
          <w:rFonts w:eastAsia="黑体"/>
          <w:bCs/>
          <w:sz w:val="21"/>
          <w:szCs w:val="21"/>
          <w:highlight w:val="none"/>
        </w:rPr>
      </w:pPr>
      <w:r>
        <w:rPr>
          <w:rFonts w:eastAsia="黑体"/>
          <w:bCs/>
          <w:sz w:val="21"/>
          <w:szCs w:val="21"/>
          <w:highlight w:val="none"/>
        </w:rPr>
        <w:t>图5.2-</w:t>
      </w:r>
      <w:r>
        <w:rPr>
          <w:rFonts w:hint="eastAsia" w:eastAsia="黑体"/>
          <w:bCs/>
          <w:sz w:val="21"/>
          <w:szCs w:val="21"/>
          <w:highlight w:val="none"/>
        </w:rPr>
        <w:t>28</w:t>
      </w:r>
      <w:r>
        <w:rPr>
          <w:rFonts w:eastAsia="黑体"/>
          <w:bCs/>
          <w:sz w:val="21"/>
          <w:szCs w:val="21"/>
          <w:highlight w:val="none"/>
        </w:rPr>
        <w:t xml:space="preserve">  距离污染泄露点100m处铁浓度随时间变化过程线</w:t>
      </w:r>
    </w:p>
    <w:p>
      <w:pPr>
        <w:pStyle w:val="3"/>
        <w:rPr>
          <w:rFonts w:eastAsia="宋体"/>
          <w:b/>
          <w:highlight w:val="none"/>
        </w:rPr>
      </w:pPr>
      <w:bookmarkStart w:id="492" w:name="_Toc20679"/>
      <w:bookmarkStart w:id="493" w:name="_Toc468693004"/>
      <w:bookmarkStart w:id="494" w:name="_Toc405317350"/>
      <w:r>
        <w:rPr>
          <w:rFonts w:eastAsia="宋体"/>
          <w:b/>
          <w:highlight w:val="none"/>
        </w:rPr>
        <w:t>5.2.3.3厂区建设对区域地下水影响评价小结</w:t>
      </w:r>
      <w:bookmarkEnd w:id="492"/>
      <w:bookmarkEnd w:id="493"/>
      <w:bookmarkEnd w:id="494"/>
    </w:p>
    <w:bookmarkEnd w:id="466"/>
    <w:p>
      <w:pPr>
        <w:pStyle w:val="207"/>
        <w:spacing w:line="360" w:lineRule="auto"/>
        <w:ind w:firstLine="480" w:firstLineChars="200"/>
        <w:rPr>
          <w:szCs w:val="24"/>
          <w:highlight w:val="none"/>
        </w:rPr>
      </w:pPr>
      <w:r>
        <w:rPr>
          <w:szCs w:val="24"/>
          <w:highlight w:val="none"/>
        </w:rPr>
        <w:t>（1）由预测结果可知，污染物在水动力条件作用下主要由西北向东南方向运移。由于本区含水层渗透性能较好，污染物迁移较快。</w:t>
      </w:r>
    </w:p>
    <w:p>
      <w:pPr>
        <w:pStyle w:val="207"/>
        <w:spacing w:line="360" w:lineRule="auto"/>
        <w:ind w:firstLine="520" w:firstLineChars="200"/>
        <w:rPr>
          <w:szCs w:val="24"/>
          <w:highlight w:val="none"/>
        </w:rPr>
      </w:pPr>
      <w:r>
        <w:rPr>
          <w:spacing w:val="10"/>
          <w:szCs w:val="24"/>
          <w:highlight w:val="none"/>
        </w:rPr>
        <w:t>（2）考虑最不利状况（项目区浓密池泄露情景下），可以看出地下水中</w:t>
      </w:r>
      <w:r>
        <w:rPr>
          <w:rFonts w:hint="eastAsia"/>
          <w:spacing w:val="10"/>
          <w:szCs w:val="24"/>
          <w:highlight w:val="none"/>
        </w:rPr>
        <w:t>耗氧量</w:t>
      </w:r>
      <w:r>
        <w:rPr>
          <w:spacing w:val="10"/>
          <w:szCs w:val="24"/>
          <w:highlight w:val="none"/>
        </w:rPr>
        <w:t>和铁浓度均没有超标。</w:t>
      </w:r>
      <w:r>
        <w:rPr>
          <w:rFonts w:hint="eastAsia"/>
          <w:szCs w:val="24"/>
          <w:highlight w:val="none"/>
        </w:rPr>
        <w:t>因此本项目对厂区下游最近的西新店子村居民的生活用水水质不会产生影响，更不会对项目区</w:t>
      </w:r>
      <w:r>
        <w:rPr>
          <w:szCs w:val="24"/>
          <w:highlight w:val="none"/>
        </w:rPr>
        <w:t>附近</w:t>
      </w:r>
      <w:r>
        <w:rPr>
          <w:rFonts w:hint="eastAsia"/>
          <w:szCs w:val="24"/>
          <w:highlight w:val="none"/>
        </w:rPr>
        <w:t>其它</w:t>
      </w:r>
      <w:r>
        <w:rPr>
          <w:szCs w:val="24"/>
          <w:highlight w:val="none"/>
        </w:rPr>
        <w:t>居民</w:t>
      </w:r>
      <w:r>
        <w:rPr>
          <w:rFonts w:hint="eastAsia"/>
          <w:szCs w:val="24"/>
          <w:highlight w:val="none"/>
        </w:rPr>
        <w:t>点</w:t>
      </w:r>
      <w:r>
        <w:rPr>
          <w:szCs w:val="24"/>
          <w:highlight w:val="none"/>
        </w:rPr>
        <w:t>的生活用水水质产生影响。</w:t>
      </w:r>
    </w:p>
    <w:p>
      <w:pPr>
        <w:ind w:firstLine="480"/>
        <w:rPr>
          <w:sz w:val="24"/>
          <w:highlight w:val="none"/>
        </w:rPr>
      </w:pPr>
      <w:r>
        <w:rPr>
          <w:sz w:val="24"/>
          <w:szCs w:val="24"/>
          <w:highlight w:val="none"/>
        </w:rPr>
        <w:t>（3）从总的评价结果来看，在有效的防渗措施和完善的监测系统条件下，该项目不会对地下水造成很大影响。发生事故立即启动应急预案，只要处理及时其对地下水的污染可控制在厂区范围之内。</w:t>
      </w:r>
    </w:p>
    <w:p>
      <w:pPr>
        <w:pStyle w:val="6"/>
        <w:numPr>
          <w:ilvl w:val="2"/>
          <w:numId w:val="1"/>
        </w:numPr>
        <w:spacing w:before="0" w:after="0"/>
        <w:ind w:left="567"/>
        <w:rPr>
          <w:szCs w:val="28"/>
          <w:highlight w:val="none"/>
        </w:rPr>
      </w:pPr>
      <w:bookmarkStart w:id="495" w:name="_Toc521591800"/>
      <w:bookmarkStart w:id="496" w:name="_Toc31159"/>
      <w:r>
        <w:rPr>
          <w:szCs w:val="28"/>
          <w:highlight w:val="none"/>
        </w:rPr>
        <w:t>声环境影响预测与评价</w:t>
      </w:r>
      <w:bookmarkEnd w:id="495"/>
      <w:bookmarkEnd w:id="496"/>
    </w:p>
    <w:p>
      <w:pPr>
        <w:pStyle w:val="3"/>
        <w:numPr>
          <w:ilvl w:val="3"/>
          <w:numId w:val="1"/>
        </w:numPr>
        <w:ind w:left="709" w:hanging="709"/>
        <w:rPr>
          <w:rFonts w:eastAsia="宋体"/>
          <w:b/>
          <w:highlight w:val="none"/>
        </w:rPr>
      </w:pPr>
      <w:r>
        <w:rPr>
          <w:rFonts w:eastAsia="宋体"/>
          <w:b/>
          <w:highlight w:val="none"/>
        </w:rPr>
        <w:t>噪声源分析</w:t>
      </w:r>
    </w:p>
    <w:p>
      <w:pPr>
        <w:autoSpaceDE w:val="0"/>
        <w:autoSpaceDN w:val="0"/>
        <w:ind w:firstLine="480"/>
        <w:textAlignment w:val="auto"/>
        <w:rPr>
          <w:sz w:val="24"/>
          <w:szCs w:val="24"/>
          <w:highlight w:val="none"/>
        </w:rPr>
      </w:pPr>
      <w:r>
        <w:rPr>
          <w:sz w:val="24"/>
          <w:szCs w:val="24"/>
          <w:highlight w:val="none"/>
        </w:rPr>
        <w:t>本项目</w:t>
      </w:r>
      <w:r>
        <w:rPr>
          <w:rFonts w:hint="eastAsia"/>
          <w:sz w:val="24"/>
          <w:szCs w:val="24"/>
          <w:highlight w:val="none"/>
          <w:lang w:val="en-US" w:eastAsia="zh-CN"/>
        </w:rPr>
        <w:t>新增</w:t>
      </w:r>
      <w:r>
        <w:rPr>
          <w:sz w:val="24"/>
          <w:szCs w:val="24"/>
          <w:highlight w:val="none"/>
        </w:rPr>
        <w:t>噪声</w:t>
      </w:r>
      <w:r>
        <w:rPr>
          <w:rFonts w:hint="eastAsia"/>
          <w:sz w:val="24"/>
          <w:szCs w:val="24"/>
          <w:highlight w:val="none"/>
          <w:lang w:val="en-US" w:eastAsia="zh-CN"/>
        </w:rPr>
        <w:t>源</w:t>
      </w:r>
      <w:r>
        <w:rPr>
          <w:sz w:val="24"/>
          <w:szCs w:val="24"/>
          <w:highlight w:val="none"/>
        </w:rPr>
        <w:t>主要为破碎机、振动筛</w:t>
      </w:r>
      <w:r>
        <w:rPr>
          <w:kern w:val="2"/>
          <w:sz w:val="24"/>
          <w:szCs w:val="24"/>
          <w:highlight w:val="none"/>
        </w:rPr>
        <w:t>、磁选机、水泵</w:t>
      </w:r>
      <w:r>
        <w:rPr>
          <w:rFonts w:hint="eastAsia"/>
          <w:kern w:val="2"/>
          <w:sz w:val="24"/>
          <w:szCs w:val="24"/>
          <w:highlight w:val="none"/>
          <w:lang w:eastAsia="zh-CN"/>
        </w:rPr>
        <w:t>、</w:t>
      </w:r>
      <w:r>
        <w:rPr>
          <w:rFonts w:hint="eastAsia"/>
          <w:kern w:val="2"/>
          <w:sz w:val="24"/>
          <w:szCs w:val="24"/>
          <w:highlight w:val="none"/>
          <w:lang w:val="en-US" w:eastAsia="zh-CN"/>
        </w:rPr>
        <w:t>风机</w:t>
      </w:r>
      <w:r>
        <w:rPr>
          <w:kern w:val="2"/>
          <w:sz w:val="24"/>
          <w:szCs w:val="24"/>
          <w:highlight w:val="none"/>
        </w:rPr>
        <w:t>等</w:t>
      </w:r>
      <w:r>
        <w:rPr>
          <w:sz w:val="24"/>
          <w:szCs w:val="24"/>
          <w:highlight w:val="none"/>
        </w:rPr>
        <w:t>设备运行时产生的噪声</w:t>
      </w:r>
      <w:r>
        <w:rPr>
          <w:bCs/>
          <w:sz w:val="24"/>
          <w:szCs w:val="24"/>
          <w:highlight w:val="none"/>
        </w:rPr>
        <w:t>。根据类比调查，其源强为7</w:t>
      </w:r>
      <w:r>
        <w:rPr>
          <w:rFonts w:hint="eastAsia"/>
          <w:bCs/>
          <w:sz w:val="24"/>
          <w:szCs w:val="24"/>
          <w:highlight w:val="none"/>
        </w:rPr>
        <w:t>5</w:t>
      </w:r>
      <w:r>
        <w:rPr>
          <w:bCs/>
          <w:sz w:val="24"/>
          <w:szCs w:val="24"/>
          <w:highlight w:val="none"/>
        </w:rPr>
        <w:t>～</w:t>
      </w:r>
      <w:r>
        <w:rPr>
          <w:rFonts w:hint="eastAsia"/>
          <w:bCs/>
          <w:sz w:val="24"/>
          <w:szCs w:val="24"/>
          <w:highlight w:val="none"/>
        </w:rPr>
        <w:t>100</w:t>
      </w:r>
      <w:r>
        <w:rPr>
          <w:bCs/>
          <w:sz w:val="24"/>
          <w:szCs w:val="24"/>
          <w:highlight w:val="none"/>
        </w:rPr>
        <w:t>dB(A)。</w:t>
      </w:r>
      <w:r>
        <w:rPr>
          <w:sz w:val="24"/>
          <w:szCs w:val="24"/>
          <w:highlight w:val="none"/>
        </w:rPr>
        <w:t>各噪声源经厂房隔声、基础减振等措施后噪声排放源强如表5.2-2</w:t>
      </w:r>
      <w:r>
        <w:rPr>
          <w:rFonts w:hint="eastAsia"/>
          <w:sz w:val="24"/>
          <w:szCs w:val="24"/>
          <w:highlight w:val="none"/>
        </w:rPr>
        <w:t>8</w:t>
      </w:r>
      <w:r>
        <w:rPr>
          <w:sz w:val="24"/>
          <w:szCs w:val="24"/>
          <w:highlight w:val="none"/>
        </w:rPr>
        <w:t>所示。</w:t>
      </w:r>
    </w:p>
    <w:p>
      <w:pPr>
        <w:autoSpaceDE w:val="0"/>
        <w:autoSpaceDN w:val="0"/>
        <w:ind w:firstLine="420"/>
        <w:textAlignment w:val="auto"/>
        <w:rPr>
          <w:rFonts w:eastAsia="黑体"/>
          <w:kern w:val="2"/>
          <w:sz w:val="21"/>
          <w:szCs w:val="21"/>
          <w:highlight w:val="none"/>
        </w:rPr>
      </w:pPr>
      <w:r>
        <w:rPr>
          <w:rFonts w:eastAsia="黑体"/>
          <w:kern w:val="2"/>
          <w:sz w:val="21"/>
          <w:szCs w:val="21"/>
          <w:highlight w:val="none"/>
        </w:rPr>
        <w:t>表5.2-2</w:t>
      </w:r>
      <w:r>
        <w:rPr>
          <w:rFonts w:hint="eastAsia" w:eastAsia="黑体"/>
          <w:kern w:val="2"/>
          <w:sz w:val="21"/>
          <w:szCs w:val="21"/>
          <w:highlight w:val="none"/>
        </w:rPr>
        <w:t xml:space="preserve">8  </w:t>
      </w:r>
      <w:r>
        <w:rPr>
          <w:rFonts w:eastAsia="黑体"/>
          <w:kern w:val="2"/>
          <w:sz w:val="21"/>
          <w:szCs w:val="21"/>
          <w:highlight w:val="none"/>
        </w:rPr>
        <w:t>项目噪声设备采取降噪措施后的噪声值一览表单位：dB(A)</w:t>
      </w:r>
    </w:p>
    <w:tbl>
      <w:tblPr>
        <w:tblStyle w:val="48"/>
        <w:tblW w:w="8406"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477"/>
        <w:gridCol w:w="754"/>
        <w:gridCol w:w="1399"/>
        <w:gridCol w:w="934"/>
        <w:gridCol w:w="777"/>
        <w:gridCol w:w="982"/>
        <w:gridCol w:w="1574"/>
        <w:gridCol w:w="9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序号</w:t>
            </w:r>
          </w:p>
        </w:tc>
        <w:tc>
          <w:tcPr>
            <w:tcW w:w="1231" w:type="dxa"/>
            <w:gridSpan w:val="2"/>
            <w:vAlign w:val="center"/>
          </w:tcPr>
          <w:p>
            <w:pPr>
              <w:pStyle w:val="174"/>
              <w:rPr>
                <w:rFonts w:eastAsia="宋体"/>
                <w:sz w:val="21"/>
                <w:szCs w:val="21"/>
                <w:highlight w:val="none"/>
              </w:rPr>
            </w:pPr>
            <w:r>
              <w:rPr>
                <w:rFonts w:eastAsia="宋体"/>
                <w:sz w:val="21"/>
                <w:szCs w:val="21"/>
                <w:highlight w:val="none"/>
              </w:rPr>
              <w:t>产噪车间</w:t>
            </w:r>
          </w:p>
        </w:tc>
        <w:tc>
          <w:tcPr>
            <w:tcW w:w="1399" w:type="dxa"/>
            <w:vAlign w:val="center"/>
          </w:tcPr>
          <w:p>
            <w:pPr>
              <w:pStyle w:val="174"/>
              <w:rPr>
                <w:rFonts w:eastAsia="宋体"/>
                <w:sz w:val="21"/>
                <w:szCs w:val="21"/>
                <w:highlight w:val="none"/>
              </w:rPr>
            </w:pPr>
            <w:r>
              <w:rPr>
                <w:rFonts w:eastAsia="宋体"/>
                <w:sz w:val="21"/>
                <w:szCs w:val="21"/>
                <w:highlight w:val="none"/>
              </w:rPr>
              <w:t>设备名称</w:t>
            </w:r>
          </w:p>
        </w:tc>
        <w:tc>
          <w:tcPr>
            <w:tcW w:w="934" w:type="dxa"/>
            <w:vAlign w:val="center"/>
          </w:tcPr>
          <w:p>
            <w:pPr>
              <w:pStyle w:val="174"/>
              <w:rPr>
                <w:rFonts w:eastAsia="宋体"/>
                <w:sz w:val="21"/>
                <w:szCs w:val="21"/>
                <w:highlight w:val="none"/>
              </w:rPr>
            </w:pPr>
            <w:r>
              <w:rPr>
                <w:rFonts w:eastAsia="宋体"/>
                <w:sz w:val="21"/>
                <w:szCs w:val="21"/>
                <w:highlight w:val="none"/>
              </w:rPr>
              <w:t>单台设备声级/dB(A)</w:t>
            </w:r>
          </w:p>
        </w:tc>
        <w:tc>
          <w:tcPr>
            <w:tcW w:w="777" w:type="dxa"/>
            <w:vAlign w:val="center"/>
          </w:tcPr>
          <w:p>
            <w:pPr>
              <w:pStyle w:val="174"/>
              <w:rPr>
                <w:rFonts w:eastAsia="宋体"/>
                <w:sz w:val="21"/>
                <w:szCs w:val="21"/>
                <w:highlight w:val="none"/>
              </w:rPr>
            </w:pPr>
            <w:r>
              <w:rPr>
                <w:rFonts w:eastAsia="宋体"/>
                <w:sz w:val="21"/>
                <w:szCs w:val="21"/>
                <w:highlight w:val="none"/>
              </w:rPr>
              <w:t>台(套)数</w:t>
            </w:r>
          </w:p>
        </w:tc>
        <w:tc>
          <w:tcPr>
            <w:tcW w:w="982" w:type="dxa"/>
            <w:vAlign w:val="center"/>
          </w:tcPr>
          <w:p>
            <w:pPr>
              <w:pStyle w:val="174"/>
              <w:rPr>
                <w:rFonts w:eastAsia="宋体"/>
                <w:sz w:val="21"/>
                <w:szCs w:val="21"/>
                <w:highlight w:val="none"/>
              </w:rPr>
            </w:pPr>
            <w:r>
              <w:rPr>
                <w:rFonts w:eastAsia="宋体"/>
                <w:sz w:val="21"/>
                <w:szCs w:val="21"/>
                <w:highlight w:val="none"/>
              </w:rPr>
              <w:t>运行</w:t>
            </w:r>
          </w:p>
          <w:p>
            <w:pPr>
              <w:pStyle w:val="174"/>
              <w:rPr>
                <w:rFonts w:eastAsia="宋体"/>
                <w:sz w:val="21"/>
                <w:szCs w:val="21"/>
                <w:highlight w:val="none"/>
              </w:rPr>
            </w:pPr>
            <w:r>
              <w:rPr>
                <w:rFonts w:eastAsia="宋体"/>
                <w:sz w:val="21"/>
                <w:szCs w:val="21"/>
                <w:highlight w:val="none"/>
              </w:rPr>
              <w:t>特征</w:t>
            </w:r>
          </w:p>
        </w:tc>
        <w:tc>
          <w:tcPr>
            <w:tcW w:w="1574" w:type="dxa"/>
            <w:vAlign w:val="center"/>
          </w:tcPr>
          <w:p>
            <w:pPr>
              <w:pStyle w:val="174"/>
              <w:rPr>
                <w:rFonts w:eastAsia="宋体"/>
                <w:sz w:val="21"/>
                <w:szCs w:val="21"/>
                <w:highlight w:val="none"/>
              </w:rPr>
            </w:pPr>
            <w:r>
              <w:rPr>
                <w:rFonts w:eastAsia="宋体"/>
                <w:sz w:val="21"/>
                <w:szCs w:val="21"/>
                <w:highlight w:val="none"/>
              </w:rPr>
              <w:t>治理措施</w:t>
            </w:r>
          </w:p>
        </w:tc>
        <w:tc>
          <w:tcPr>
            <w:tcW w:w="912" w:type="dxa"/>
            <w:vAlign w:val="center"/>
          </w:tcPr>
          <w:p>
            <w:pPr>
              <w:pStyle w:val="174"/>
              <w:rPr>
                <w:rFonts w:eastAsia="宋体"/>
                <w:sz w:val="21"/>
                <w:szCs w:val="21"/>
                <w:highlight w:val="none"/>
              </w:rPr>
            </w:pPr>
            <w:r>
              <w:rPr>
                <w:rFonts w:eastAsia="宋体"/>
                <w:sz w:val="21"/>
                <w:szCs w:val="21"/>
                <w:highlight w:val="none"/>
              </w:rPr>
              <w:t>单台设备外排噪声/dB(A)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1</w:t>
            </w:r>
          </w:p>
        </w:tc>
        <w:tc>
          <w:tcPr>
            <w:tcW w:w="477"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w:t>
            </w:r>
          </w:p>
        </w:tc>
        <w:tc>
          <w:tcPr>
            <w:tcW w:w="754" w:type="dxa"/>
            <w:vMerge w:val="restart"/>
            <w:vAlign w:val="center"/>
          </w:tcPr>
          <w:p>
            <w:pPr>
              <w:spacing w:line="240" w:lineRule="auto"/>
              <w:ind w:firstLine="0" w:firstLineChars="0"/>
              <w:jc w:val="center"/>
              <w:rPr>
                <w:sz w:val="21"/>
                <w:szCs w:val="21"/>
                <w:highlight w:val="none"/>
              </w:rPr>
            </w:pPr>
            <w:r>
              <w:rPr>
                <w:sz w:val="21"/>
                <w:szCs w:val="21"/>
                <w:highlight w:val="none"/>
              </w:rPr>
              <w:t>破碎</w:t>
            </w:r>
          </w:p>
          <w:p>
            <w:pPr>
              <w:spacing w:line="240" w:lineRule="auto"/>
              <w:ind w:firstLine="0" w:firstLineChars="0"/>
              <w:jc w:val="center"/>
              <w:rPr>
                <w:sz w:val="21"/>
                <w:szCs w:val="21"/>
                <w:highlight w:val="none"/>
              </w:rPr>
            </w:pPr>
            <w:r>
              <w:rPr>
                <w:sz w:val="21"/>
                <w:szCs w:val="21"/>
                <w:highlight w:val="none"/>
              </w:rPr>
              <w:t>车间</w:t>
            </w:r>
          </w:p>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宋体"/>
                <w:sz w:val="21"/>
                <w:szCs w:val="21"/>
                <w:highlight w:val="none"/>
              </w:rPr>
            </w:pPr>
            <w:r>
              <w:rPr>
                <w:rFonts w:eastAsiaTheme="minorEastAsia"/>
                <w:sz w:val="21"/>
                <w:szCs w:val="21"/>
                <w:highlight w:val="none"/>
              </w:rPr>
              <w:t>颚式破碎机</w:t>
            </w:r>
          </w:p>
        </w:tc>
        <w:tc>
          <w:tcPr>
            <w:tcW w:w="934" w:type="dxa"/>
            <w:vAlign w:val="center"/>
          </w:tcPr>
          <w:p>
            <w:pPr>
              <w:pStyle w:val="174"/>
              <w:rPr>
                <w:rFonts w:eastAsia="宋体"/>
                <w:sz w:val="21"/>
                <w:szCs w:val="21"/>
                <w:highlight w:val="none"/>
              </w:rPr>
            </w:pPr>
            <w:r>
              <w:rPr>
                <w:rFonts w:hint="eastAsia"/>
                <w:sz w:val="21"/>
                <w:szCs w:val="21"/>
                <w:highlight w:val="none"/>
              </w:rPr>
              <w:t>95</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restart"/>
            <w:vAlign w:val="center"/>
          </w:tcPr>
          <w:p>
            <w:pPr>
              <w:pStyle w:val="174"/>
              <w:rPr>
                <w:rFonts w:eastAsia="宋体"/>
                <w:sz w:val="21"/>
                <w:szCs w:val="21"/>
                <w:highlight w:val="none"/>
              </w:rPr>
            </w:pPr>
            <w:r>
              <w:rPr>
                <w:rFonts w:eastAsia="宋体"/>
                <w:sz w:val="21"/>
                <w:szCs w:val="21"/>
                <w:highlight w:val="none"/>
              </w:rPr>
              <w:t>厂房隔声、减震基础、吸声材料</w:t>
            </w:r>
            <w:r>
              <w:rPr>
                <w:rFonts w:hint="eastAsia" w:eastAsia="宋体"/>
                <w:sz w:val="21"/>
                <w:szCs w:val="21"/>
                <w:highlight w:val="none"/>
              </w:rPr>
              <w:t>等</w:t>
            </w:r>
            <w:r>
              <w:rPr>
                <w:rFonts w:eastAsia="宋体"/>
                <w:sz w:val="21"/>
                <w:szCs w:val="21"/>
                <w:highlight w:val="none"/>
              </w:rPr>
              <w:t>，</w:t>
            </w:r>
            <w:r>
              <w:rPr>
                <w:rFonts w:eastAsia="宋体"/>
                <w:snapToGrid w:val="0"/>
                <w:sz w:val="21"/>
                <w:szCs w:val="21"/>
                <w:highlight w:val="none"/>
                <w:lang w:val="zh-CN"/>
              </w:rPr>
              <w:t>降噪</w:t>
            </w:r>
            <w:r>
              <w:rPr>
                <w:rFonts w:hint="eastAsia" w:eastAsia="宋体"/>
                <w:snapToGrid w:val="0"/>
                <w:sz w:val="21"/>
                <w:szCs w:val="21"/>
                <w:highlight w:val="none"/>
                <w:lang w:val="zh-CN"/>
              </w:rPr>
              <w:t>20~</w:t>
            </w:r>
            <w:r>
              <w:rPr>
                <w:rFonts w:hint="eastAsia" w:eastAsia="宋体"/>
                <w:snapToGrid w:val="0"/>
                <w:sz w:val="21"/>
                <w:szCs w:val="21"/>
                <w:highlight w:val="none"/>
                <w:lang w:val="en-US" w:eastAsia="zh-CN"/>
              </w:rPr>
              <w:t>2</w:t>
            </w:r>
            <w:r>
              <w:rPr>
                <w:rFonts w:hint="eastAsia" w:eastAsia="宋体"/>
                <w:snapToGrid w:val="0"/>
                <w:sz w:val="21"/>
                <w:szCs w:val="21"/>
                <w:highlight w:val="none"/>
                <w:lang w:val="zh-CN"/>
              </w:rPr>
              <w:t>5</w:t>
            </w:r>
            <w:r>
              <w:rPr>
                <w:rFonts w:eastAsia="宋体"/>
                <w:snapToGrid w:val="0"/>
                <w:sz w:val="21"/>
                <w:szCs w:val="21"/>
                <w:highlight w:val="none"/>
                <w:lang w:val="zh-CN"/>
              </w:rPr>
              <w:t>dB(A)</w:t>
            </w:r>
          </w:p>
        </w:tc>
        <w:tc>
          <w:tcPr>
            <w:tcW w:w="912" w:type="dxa"/>
            <w:vAlign w:val="center"/>
          </w:tcPr>
          <w:p>
            <w:pPr>
              <w:pStyle w:val="174"/>
              <w:rPr>
                <w:rFonts w:eastAsia="宋体"/>
                <w:sz w:val="21"/>
                <w:szCs w:val="21"/>
                <w:highlight w:val="none"/>
              </w:rPr>
            </w:pPr>
            <w:r>
              <w:rPr>
                <w:rFonts w:hint="eastAsia" w:eastAsia="宋体"/>
                <w:sz w:val="21"/>
                <w:szCs w:val="21"/>
                <w:highlight w:val="none"/>
                <w:lang w:val="en-US" w:eastAsia="zh-CN"/>
              </w:rPr>
              <w:t>7</w:t>
            </w:r>
            <w:r>
              <w:rPr>
                <w:rFonts w:eastAsia="宋体"/>
                <w:sz w:val="21"/>
                <w:szCs w:val="21"/>
                <w:highlight w:val="none"/>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2</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lang w:val="en-US" w:eastAsia="zh-CN"/>
              </w:rPr>
              <w:t>圆锥</w:t>
            </w:r>
            <w:r>
              <w:rPr>
                <w:rFonts w:hint="eastAsia" w:eastAsiaTheme="minorEastAsia"/>
                <w:sz w:val="21"/>
                <w:szCs w:val="21"/>
                <w:highlight w:val="none"/>
              </w:rPr>
              <w:t>破碎</w:t>
            </w:r>
            <w:r>
              <w:rPr>
                <w:rFonts w:eastAsiaTheme="minorEastAsia"/>
                <w:sz w:val="21"/>
                <w:szCs w:val="21"/>
                <w:highlight w:val="none"/>
              </w:rPr>
              <w:t>机</w:t>
            </w:r>
          </w:p>
        </w:tc>
        <w:tc>
          <w:tcPr>
            <w:tcW w:w="934" w:type="dxa"/>
            <w:vAlign w:val="center"/>
          </w:tcPr>
          <w:p>
            <w:pPr>
              <w:pStyle w:val="174"/>
              <w:rPr>
                <w:rFonts w:eastAsia="宋体"/>
                <w:sz w:val="21"/>
                <w:szCs w:val="21"/>
                <w:highlight w:val="none"/>
              </w:rPr>
            </w:pPr>
            <w:r>
              <w:rPr>
                <w:rFonts w:hint="eastAsia" w:eastAsiaTheme="minorEastAsia"/>
                <w:sz w:val="21"/>
                <w:szCs w:val="21"/>
                <w:highlight w:val="none"/>
              </w:rPr>
              <w:t>90</w:t>
            </w:r>
          </w:p>
        </w:tc>
        <w:tc>
          <w:tcPr>
            <w:tcW w:w="777" w:type="dxa"/>
            <w:vAlign w:val="center"/>
          </w:tcPr>
          <w:p>
            <w:pPr>
              <w:pStyle w:val="174"/>
              <w:rPr>
                <w:rFonts w:eastAsia="宋体"/>
                <w:sz w:val="21"/>
                <w:szCs w:val="21"/>
                <w:highlight w:val="none"/>
              </w:rPr>
            </w:pPr>
            <w:r>
              <w:rPr>
                <w:rFonts w:hint="eastAsia" w:eastAsiaTheme="minorEastAsia"/>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3</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rPr>
              <w:t>给料机</w:t>
            </w:r>
          </w:p>
        </w:tc>
        <w:tc>
          <w:tcPr>
            <w:tcW w:w="934" w:type="dxa"/>
            <w:vAlign w:val="center"/>
          </w:tcPr>
          <w:p>
            <w:pPr>
              <w:pStyle w:val="174"/>
              <w:rPr>
                <w:rFonts w:eastAsiaTheme="minorEastAsia"/>
                <w:sz w:val="21"/>
                <w:szCs w:val="21"/>
                <w:highlight w:val="none"/>
              </w:rPr>
            </w:pPr>
            <w:r>
              <w:rPr>
                <w:rFonts w:hint="eastAsia" w:eastAsiaTheme="minorEastAsia"/>
                <w:sz w:val="21"/>
                <w:szCs w:val="21"/>
                <w:highlight w:val="none"/>
              </w:rPr>
              <w:t>80</w:t>
            </w:r>
          </w:p>
        </w:tc>
        <w:tc>
          <w:tcPr>
            <w:tcW w:w="777" w:type="dxa"/>
            <w:vAlign w:val="center"/>
          </w:tcPr>
          <w:p>
            <w:pPr>
              <w:pStyle w:val="174"/>
              <w:rPr>
                <w:rFonts w:hint="eastAsia" w:eastAsia="宋体"/>
                <w:sz w:val="21"/>
                <w:szCs w:val="21"/>
                <w:highlight w:val="none"/>
                <w:lang w:eastAsia="zh-CN"/>
              </w:rPr>
            </w:pPr>
            <w:r>
              <w:rPr>
                <w:rFonts w:hint="eastAsia" w:eastAsiaTheme="minorEastAsia"/>
                <w:sz w:val="21"/>
                <w:szCs w:val="21"/>
                <w:highlight w:val="none"/>
                <w:lang w:val="en-US" w:eastAsia="zh-CN"/>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4</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振动筛</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85</w:t>
            </w:r>
          </w:p>
        </w:tc>
        <w:tc>
          <w:tcPr>
            <w:tcW w:w="777" w:type="dxa"/>
            <w:vAlign w:val="center"/>
          </w:tcPr>
          <w:p>
            <w:pPr>
              <w:pStyle w:val="174"/>
              <w:rPr>
                <w:rFonts w:hint="eastAsia" w:eastAsia="宋体"/>
                <w:sz w:val="21"/>
                <w:szCs w:val="21"/>
                <w:highlight w:val="none"/>
                <w:lang w:eastAsia="zh-CN"/>
              </w:rPr>
            </w:pPr>
            <w:r>
              <w:rPr>
                <w:rFonts w:hint="eastAsia" w:eastAsia="宋体"/>
                <w:sz w:val="21"/>
                <w:szCs w:val="21"/>
                <w:highlight w:val="none"/>
                <w:lang w:val="en-US" w:eastAsia="zh-CN"/>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lang w:val="en-US" w:eastAsia="zh-CN"/>
              </w:rPr>
              <w:t>6</w:t>
            </w:r>
            <w:r>
              <w:rPr>
                <w:rFonts w:hint="eastAsia" w:eastAsia="宋体"/>
                <w:sz w:val="21"/>
                <w:szCs w:val="21"/>
                <w:highlight w:val="none"/>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5</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皮带输送机</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hint="eastAsia" w:eastAsia="宋体"/>
                <w:sz w:val="21"/>
                <w:szCs w:val="21"/>
                <w:highlight w:val="none"/>
                <w:lang w:eastAsia="zh-CN"/>
              </w:rPr>
            </w:pPr>
            <w:r>
              <w:rPr>
                <w:rFonts w:hint="eastAsia" w:eastAsia="宋体"/>
                <w:sz w:val="21"/>
                <w:szCs w:val="21"/>
                <w:highlight w:val="none"/>
                <w:lang w:val="en-US" w:eastAsia="zh-CN"/>
              </w:rPr>
              <w:t>6</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6</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磁选机</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hint="eastAsia" w:eastAsia="宋体"/>
                <w:sz w:val="21"/>
                <w:szCs w:val="21"/>
                <w:highlight w:val="none"/>
                <w:lang w:eastAsia="zh-CN"/>
              </w:rPr>
            </w:pPr>
            <w:r>
              <w:rPr>
                <w:rFonts w:hint="eastAsia" w:eastAsia="宋体"/>
                <w:sz w:val="21"/>
                <w:szCs w:val="21"/>
                <w:highlight w:val="none"/>
                <w:lang w:val="en-US" w:eastAsia="zh-CN"/>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7</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934"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8</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水泵</w:t>
            </w:r>
          </w:p>
        </w:tc>
        <w:tc>
          <w:tcPr>
            <w:tcW w:w="934"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80</w:t>
            </w:r>
          </w:p>
        </w:tc>
        <w:tc>
          <w:tcPr>
            <w:tcW w:w="777" w:type="dxa"/>
            <w:vAlign w:val="center"/>
          </w:tcPr>
          <w:p>
            <w:pPr>
              <w:pStyle w:val="174"/>
              <w:rPr>
                <w:rFonts w:hint="eastAsia" w:eastAsia="宋体"/>
                <w:sz w:val="21"/>
                <w:szCs w:val="21"/>
                <w:highlight w:val="none"/>
                <w:lang w:eastAsia="zh-CN"/>
              </w:rPr>
            </w:pPr>
            <w:r>
              <w:rPr>
                <w:rFonts w:hint="eastAsia" w:eastAsia="宋体"/>
                <w:sz w:val="21"/>
                <w:szCs w:val="21"/>
                <w:highlight w:val="none"/>
                <w:lang w:val="en-US" w:eastAsia="zh-CN"/>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lang w:val="en-US" w:eastAsia="zh-CN"/>
              </w:rPr>
              <w:t>6</w:t>
            </w:r>
            <w:r>
              <w:rPr>
                <w:rFonts w:eastAsia="宋体"/>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9</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洗沙船</w:t>
            </w:r>
          </w:p>
        </w:tc>
        <w:tc>
          <w:tcPr>
            <w:tcW w:w="934" w:type="dxa"/>
            <w:vAlign w:val="center"/>
          </w:tcPr>
          <w:p>
            <w:pPr>
              <w:spacing w:line="240" w:lineRule="auto"/>
              <w:ind w:firstLine="0" w:firstLineChars="0"/>
              <w:jc w:val="center"/>
              <w:rPr>
                <w:sz w:val="21"/>
                <w:szCs w:val="21"/>
                <w:highlight w:val="none"/>
              </w:rPr>
            </w:pPr>
            <w:r>
              <w:rPr>
                <w:sz w:val="21"/>
                <w:szCs w:val="21"/>
                <w:highlight w:val="none"/>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lang w:val="en-US" w:eastAsia="zh-CN"/>
              </w:rPr>
              <w:t>6</w:t>
            </w:r>
            <w:r>
              <w:rPr>
                <w:rFonts w:hint="eastAsia" w:eastAsia="宋体"/>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23</w:t>
            </w:r>
          </w:p>
        </w:tc>
        <w:tc>
          <w:tcPr>
            <w:tcW w:w="1231" w:type="dxa"/>
            <w:gridSpan w:val="2"/>
            <w:vMerge w:val="restart"/>
            <w:vAlign w:val="center"/>
          </w:tcPr>
          <w:p>
            <w:pPr>
              <w:spacing w:line="240" w:lineRule="auto"/>
              <w:ind w:firstLine="0" w:firstLineChars="0"/>
              <w:jc w:val="center"/>
              <w:rPr>
                <w:sz w:val="21"/>
                <w:szCs w:val="21"/>
                <w:highlight w:val="none"/>
              </w:rPr>
            </w:pPr>
            <w:r>
              <w:rPr>
                <w:rFonts w:hint="eastAsia"/>
                <w:sz w:val="21"/>
                <w:szCs w:val="21"/>
                <w:highlight w:val="none"/>
              </w:rPr>
              <w:t>除尘器</w:t>
            </w: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风机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90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restart"/>
            <w:vAlign w:val="center"/>
          </w:tcPr>
          <w:p>
            <w:pPr>
              <w:pStyle w:val="174"/>
              <w:rPr>
                <w:rFonts w:eastAsia="宋体"/>
                <w:sz w:val="21"/>
                <w:szCs w:val="21"/>
                <w:highlight w:val="none"/>
              </w:rPr>
            </w:pPr>
            <w:r>
              <w:rPr>
                <w:rFonts w:hint="eastAsia" w:eastAsia="宋体"/>
                <w:sz w:val="21"/>
                <w:szCs w:val="21"/>
                <w:highlight w:val="none"/>
              </w:rPr>
              <w:t>安装消声器，</w:t>
            </w:r>
            <w:r>
              <w:rPr>
                <w:rFonts w:eastAsia="宋体"/>
                <w:snapToGrid w:val="0"/>
                <w:sz w:val="21"/>
                <w:szCs w:val="21"/>
                <w:highlight w:val="none"/>
                <w:lang w:val="zh-CN"/>
              </w:rPr>
              <w:t>降噪</w:t>
            </w:r>
            <w:r>
              <w:rPr>
                <w:rFonts w:hint="eastAsia" w:eastAsia="宋体"/>
                <w:snapToGrid w:val="0"/>
                <w:sz w:val="21"/>
                <w:szCs w:val="21"/>
                <w:highlight w:val="none"/>
                <w:lang w:val="zh-CN"/>
              </w:rPr>
              <w:t>30</w:t>
            </w:r>
            <w:r>
              <w:rPr>
                <w:rFonts w:eastAsia="宋体"/>
                <w:snapToGrid w:val="0"/>
                <w:sz w:val="21"/>
                <w:szCs w:val="21"/>
                <w:highlight w:val="none"/>
                <w:lang w:val="zh-CN"/>
              </w:rPr>
              <w:t xml:space="preserve"> dB(A)</w:t>
            </w: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24</w:t>
            </w:r>
          </w:p>
        </w:tc>
        <w:tc>
          <w:tcPr>
            <w:tcW w:w="1231" w:type="dxa"/>
            <w:gridSpan w:val="2"/>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空压机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100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hint="eastAsia" w:eastAsia="宋体"/>
                <w:sz w:val="21"/>
                <w:szCs w:val="21"/>
                <w:highlight w:val="none"/>
              </w:rPr>
              <w:t>间断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hint="default" w:eastAsia="宋体"/>
                <w:sz w:val="21"/>
                <w:szCs w:val="21"/>
                <w:highlight w:val="none"/>
                <w:lang w:val="en-US" w:eastAsia="zh-CN"/>
              </w:rPr>
            </w:pPr>
            <w:r>
              <w:rPr>
                <w:rFonts w:hint="eastAsia" w:eastAsia="宋体"/>
                <w:sz w:val="21"/>
                <w:szCs w:val="21"/>
                <w:highlight w:val="none"/>
                <w:lang w:val="en-US" w:eastAsia="zh-CN"/>
              </w:rPr>
              <w:t>70</w:t>
            </w:r>
          </w:p>
        </w:tc>
      </w:tr>
    </w:tbl>
    <w:p>
      <w:pPr>
        <w:pStyle w:val="3"/>
        <w:numPr>
          <w:ilvl w:val="3"/>
          <w:numId w:val="1"/>
        </w:numPr>
        <w:ind w:left="709" w:hanging="709"/>
        <w:rPr>
          <w:rFonts w:eastAsia="宋体"/>
          <w:b/>
          <w:highlight w:val="none"/>
        </w:rPr>
      </w:pPr>
      <w:r>
        <w:rPr>
          <w:rFonts w:eastAsia="宋体"/>
          <w:b/>
          <w:highlight w:val="none"/>
        </w:rPr>
        <w:t>噪声预测模式</w:t>
      </w:r>
    </w:p>
    <w:p>
      <w:pPr>
        <w:spacing w:beforeLines="0" w:afterLines="0"/>
        <w:ind w:firstLine="480" w:firstLineChars="200"/>
        <w:jc w:val="left"/>
        <w:rPr>
          <w:rFonts w:hint="eastAsia" w:ascii="宋体" w:hAnsi="宋体" w:eastAsia="宋体"/>
          <w:sz w:val="24"/>
          <w:szCs w:val="24"/>
          <w:highlight w:val="none"/>
        </w:rPr>
      </w:pPr>
      <w:r>
        <w:rPr>
          <w:rFonts w:hint="eastAsia" w:ascii="宋体" w:hAnsi="宋体" w:eastAsia="宋体"/>
          <w:sz w:val="24"/>
          <w:szCs w:val="24"/>
          <w:highlight w:val="none"/>
        </w:rPr>
        <w:t>根据本工程对噪声源所采取的隔声、消声等措施及效果，按照《环境影响评价技术导则声环境》（</w:t>
      </w:r>
      <w:r>
        <w:rPr>
          <w:rFonts w:hint="eastAsia" w:ascii="TimesNewRomanPSMT" w:hAnsi="TimesNewRomanPSMT" w:eastAsia="TimesNewRomanPSMT"/>
          <w:sz w:val="24"/>
          <w:szCs w:val="24"/>
          <w:highlight w:val="none"/>
        </w:rPr>
        <w:t>HJ2.4-2021</w:t>
      </w:r>
      <w:r>
        <w:rPr>
          <w:rFonts w:hint="eastAsia" w:ascii="宋体" w:hAnsi="宋体" w:eastAsia="宋体"/>
          <w:sz w:val="24"/>
          <w:szCs w:val="24"/>
          <w:highlight w:val="none"/>
        </w:rPr>
        <w:t>）中的模式预测噪声源对各预测点的影响值并进行影响评价。</w:t>
      </w:r>
    </w:p>
    <w:p>
      <w:pPr>
        <w:spacing w:beforeLines="0" w:afterLines="0"/>
        <w:ind w:firstLine="480" w:firstLineChars="200"/>
        <w:jc w:val="left"/>
        <w:rPr>
          <w:rFonts w:hint="eastAsia" w:ascii="宋体" w:hAnsi="宋体" w:eastAsia="宋体"/>
          <w:sz w:val="24"/>
          <w:szCs w:val="24"/>
          <w:highlight w:val="none"/>
        </w:rPr>
      </w:pPr>
      <w:r>
        <w:rPr>
          <w:rFonts w:hint="eastAsia" w:ascii="宋体" w:hAnsi="宋体" w:eastAsia="宋体"/>
          <w:sz w:val="24"/>
          <w:szCs w:val="24"/>
          <w:highlight w:val="none"/>
        </w:rPr>
        <w:t>（</w:t>
      </w:r>
      <w:r>
        <w:rPr>
          <w:rFonts w:hint="eastAsia" w:ascii="TimesNewRomanPSMT" w:hAnsi="TimesNewRomanPSMT" w:eastAsia="TimesNewRomanPSMT"/>
          <w:sz w:val="24"/>
          <w:szCs w:val="24"/>
          <w:highlight w:val="none"/>
        </w:rPr>
        <w:t>1</w:t>
      </w:r>
      <w:r>
        <w:rPr>
          <w:rFonts w:hint="eastAsia" w:ascii="宋体" w:hAnsi="宋体" w:eastAsia="宋体"/>
          <w:sz w:val="24"/>
          <w:szCs w:val="24"/>
          <w:highlight w:val="none"/>
        </w:rPr>
        <w:t>）室外点声源对厂界噪声预测点贡献值预测模式</w:t>
      </w:r>
    </w:p>
    <w:p>
      <w:pPr>
        <w:spacing w:beforeLines="0" w:afterLines="0"/>
        <w:ind w:firstLine="480" w:firstLineChars="200"/>
        <w:jc w:val="left"/>
        <w:rPr>
          <w:rFonts w:hint="eastAsia" w:ascii="宋体" w:hAnsi="宋体" w:eastAsia="宋体"/>
          <w:sz w:val="24"/>
          <w:szCs w:val="24"/>
          <w:highlight w:val="none"/>
        </w:rPr>
      </w:pPr>
      <w:r>
        <w:rPr>
          <w:rFonts w:hint="eastAsia" w:ascii="宋体" w:hAnsi="宋体" w:eastAsia="宋体"/>
          <w:sz w:val="24"/>
          <w:szCs w:val="24"/>
          <w:highlight w:val="none"/>
        </w:rPr>
        <w:t>各声源对预测点的贡献值按下式计算：</w:t>
      </w:r>
    </w:p>
    <w:p>
      <w:pPr>
        <w:keepNext w:val="0"/>
        <w:keepLines w:val="0"/>
        <w:pageBreakBefore w:val="0"/>
        <w:kinsoku/>
        <w:wordWrap/>
        <w:overflowPunct/>
        <w:topLinePunct w:val="0"/>
        <w:autoSpaceDE/>
        <w:autoSpaceDN/>
        <w:bidi w:val="0"/>
        <w:adjustRightInd/>
        <w:snapToGrid/>
        <w:spacing w:beforeLines="0" w:afterLines="0"/>
        <w:ind w:firstLine="560" w:firstLineChars="200"/>
        <w:jc w:val="left"/>
        <w:textAlignment w:val="auto"/>
        <w:rPr>
          <w:rFonts w:hint="eastAsia" w:ascii="宋体" w:hAnsi="宋体" w:eastAsia="宋体"/>
          <w:sz w:val="28"/>
          <w:szCs w:val="24"/>
          <w:highlight w:val="none"/>
        </w:rPr>
      </w:pPr>
      <w:r>
        <w:rPr>
          <w:rFonts w:hint="eastAsia" w:ascii="TimesNewRomanPSMT" w:hAnsi="TimesNewRomanPSMT" w:eastAsia="TimesNewRomanPSMT"/>
          <w:sz w:val="28"/>
          <w:szCs w:val="24"/>
          <w:highlight w:val="none"/>
        </w:rPr>
        <w:t>Lp</w:t>
      </w:r>
      <w:r>
        <w:rPr>
          <w:rFonts w:hint="eastAsia" w:ascii="宋体" w:hAnsi="宋体" w:eastAsia="宋体"/>
          <w:sz w:val="28"/>
          <w:szCs w:val="24"/>
          <w:highlight w:val="none"/>
        </w:rPr>
        <w:t>（</w:t>
      </w:r>
      <w:r>
        <w:rPr>
          <w:rFonts w:hint="eastAsia" w:ascii="TimesNewRomanPSMT" w:hAnsi="TimesNewRomanPSMT" w:eastAsia="TimesNewRomanPSMT"/>
          <w:sz w:val="28"/>
          <w:szCs w:val="24"/>
          <w:highlight w:val="none"/>
        </w:rPr>
        <w:t>r</w:t>
      </w:r>
      <w:r>
        <w:rPr>
          <w:rFonts w:hint="eastAsia" w:ascii="宋体" w:hAnsi="宋体" w:eastAsia="宋体"/>
          <w:sz w:val="28"/>
          <w:szCs w:val="24"/>
          <w:highlight w:val="none"/>
        </w:rPr>
        <w:t>）</w:t>
      </w:r>
      <w:r>
        <w:rPr>
          <w:rFonts w:hint="eastAsia" w:ascii="TimesNewRomanPSMT" w:hAnsi="TimesNewRomanPSMT" w:eastAsia="TimesNewRomanPSMT"/>
          <w:sz w:val="28"/>
          <w:szCs w:val="24"/>
          <w:highlight w:val="none"/>
        </w:rPr>
        <w:t>=Lw+Dc-</w:t>
      </w:r>
      <w:r>
        <w:rPr>
          <w:rFonts w:hint="eastAsia" w:ascii="宋体" w:hAnsi="宋体" w:eastAsia="宋体"/>
          <w:sz w:val="28"/>
          <w:szCs w:val="24"/>
          <w:highlight w:val="none"/>
        </w:rPr>
        <w:t>（</w:t>
      </w:r>
      <w:r>
        <w:rPr>
          <w:rFonts w:hint="eastAsia" w:ascii="TimesNewRomanPSMT" w:hAnsi="TimesNewRomanPSMT" w:eastAsia="TimesNewRomanPSMT"/>
          <w:sz w:val="28"/>
          <w:szCs w:val="24"/>
          <w:highlight w:val="none"/>
        </w:rPr>
        <w:t>A</w:t>
      </w:r>
      <w:r>
        <w:rPr>
          <w:rFonts w:hint="eastAsia" w:ascii="TimesNewRomanPSMT" w:hAnsi="TimesNewRomanPSMT" w:eastAsia="TimesNewRomanPSMT"/>
          <w:sz w:val="18"/>
          <w:szCs w:val="24"/>
          <w:highlight w:val="none"/>
        </w:rPr>
        <w:t>div</w:t>
      </w:r>
      <w:r>
        <w:rPr>
          <w:rFonts w:hint="eastAsia" w:ascii="TimesNewRomanPSMT" w:hAnsi="TimesNewRomanPSMT" w:eastAsia="TimesNewRomanPSMT"/>
          <w:sz w:val="28"/>
          <w:szCs w:val="24"/>
          <w:highlight w:val="none"/>
        </w:rPr>
        <w:t>+A</w:t>
      </w:r>
      <w:r>
        <w:rPr>
          <w:rFonts w:hint="eastAsia" w:ascii="TimesNewRomanPSMT" w:hAnsi="TimesNewRomanPSMT" w:eastAsia="TimesNewRomanPSMT"/>
          <w:sz w:val="18"/>
          <w:szCs w:val="24"/>
          <w:highlight w:val="none"/>
        </w:rPr>
        <w:t>atm</w:t>
      </w:r>
      <w:r>
        <w:rPr>
          <w:rFonts w:hint="eastAsia" w:ascii="TimesNewRomanPSMT" w:hAnsi="TimesNewRomanPSMT" w:eastAsia="TimesNewRomanPSMT"/>
          <w:sz w:val="28"/>
          <w:szCs w:val="24"/>
          <w:highlight w:val="none"/>
        </w:rPr>
        <w:t>+A</w:t>
      </w:r>
      <w:r>
        <w:rPr>
          <w:rFonts w:hint="eastAsia" w:ascii="TimesNewRomanPSMT" w:hAnsi="TimesNewRomanPSMT" w:eastAsia="TimesNewRomanPSMT"/>
          <w:sz w:val="18"/>
          <w:szCs w:val="24"/>
          <w:highlight w:val="none"/>
        </w:rPr>
        <w:t>gr</w:t>
      </w:r>
      <w:r>
        <w:rPr>
          <w:rFonts w:hint="eastAsia" w:ascii="TimesNewRomanPSMT" w:hAnsi="TimesNewRomanPSMT" w:eastAsia="TimesNewRomanPSMT"/>
          <w:sz w:val="28"/>
          <w:szCs w:val="24"/>
          <w:highlight w:val="none"/>
        </w:rPr>
        <w:t>+A</w:t>
      </w:r>
      <w:r>
        <w:rPr>
          <w:rFonts w:hint="eastAsia" w:ascii="TimesNewRomanPSMT" w:hAnsi="TimesNewRomanPSMT" w:eastAsia="TimesNewRomanPSMT"/>
          <w:sz w:val="18"/>
          <w:szCs w:val="24"/>
          <w:highlight w:val="none"/>
        </w:rPr>
        <w:t>bar</w:t>
      </w:r>
      <w:r>
        <w:rPr>
          <w:rFonts w:hint="eastAsia" w:ascii="TimesNewRomanPSMT" w:hAnsi="TimesNewRomanPSMT" w:eastAsia="TimesNewRomanPSMT"/>
          <w:sz w:val="28"/>
          <w:szCs w:val="24"/>
          <w:highlight w:val="none"/>
        </w:rPr>
        <w:t>+A</w:t>
      </w:r>
      <w:r>
        <w:rPr>
          <w:rFonts w:hint="eastAsia" w:ascii="TimesNewRomanPSMT" w:hAnsi="TimesNewRomanPSMT" w:eastAsia="TimesNewRomanPSMT"/>
          <w:sz w:val="18"/>
          <w:szCs w:val="24"/>
          <w:highlight w:val="none"/>
        </w:rPr>
        <w:t>misc</w:t>
      </w:r>
      <w:r>
        <w:rPr>
          <w:rFonts w:hint="eastAsia" w:ascii="宋体" w:hAnsi="宋体" w:eastAsia="宋体"/>
          <w:sz w:val="28"/>
          <w:szCs w:val="24"/>
          <w:highlight w:val="none"/>
        </w:rPr>
        <w:t>）</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宋体" w:hAnsi="宋体" w:eastAsia="宋体"/>
          <w:sz w:val="24"/>
          <w:szCs w:val="24"/>
          <w:highlight w:val="none"/>
        </w:rPr>
        <w:t>式中：</w:t>
      </w:r>
      <w:r>
        <w:rPr>
          <w:rFonts w:hint="eastAsia" w:ascii="TimesNewRomanPSMT" w:hAnsi="TimesNewRomanPSMT" w:eastAsia="TimesNewRomanPSMT"/>
          <w:sz w:val="24"/>
          <w:szCs w:val="24"/>
          <w:highlight w:val="none"/>
        </w:rPr>
        <w:t>L</w:t>
      </w:r>
      <w:r>
        <w:rPr>
          <w:rFonts w:hint="eastAsia" w:ascii="宋体" w:hAnsi="宋体" w:eastAsia="宋体"/>
          <w:sz w:val="24"/>
          <w:szCs w:val="24"/>
          <w:highlight w:val="none"/>
        </w:rPr>
        <w:t>（</w:t>
      </w:r>
      <w:r>
        <w:rPr>
          <w:rFonts w:hint="eastAsia" w:ascii="TimesNewRomanPSMT" w:hAnsi="TimesNewRomanPSMT" w:eastAsia="TimesNewRomanPSMT"/>
          <w:sz w:val="24"/>
          <w:szCs w:val="24"/>
          <w:highlight w:val="none"/>
        </w:rPr>
        <w:t>r</w:t>
      </w:r>
      <w:r>
        <w:rPr>
          <w:rFonts w:hint="eastAsia" w:ascii="宋体" w:hAnsi="宋体" w:eastAsia="宋体"/>
          <w:sz w:val="24"/>
          <w:szCs w:val="24"/>
          <w:highlight w:val="none"/>
        </w:rPr>
        <w:t>）</w:t>
      </w:r>
      <w:r>
        <w:rPr>
          <w:rFonts w:hint="eastAsia" w:ascii="TimesNewRomanPSMT" w:hAnsi="TimesNewRomanPSMT" w:eastAsia="TimesNewRomanPSMT"/>
          <w:sz w:val="24"/>
          <w:szCs w:val="24"/>
          <w:highlight w:val="none"/>
        </w:rPr>
        <w:t>p——</w:t>
      </w:r>
      <w:r>
        <w:rPr>
          <w:rFonts w:hint="eastAsia" w:ascii="宋体" w:hAnsi="宋体" w:eastAsia="宋体"/>
          <w:sz w:val="24"/>
          <w:szCs w:val="24"/>
          <w:highlight w:val="none"/>
        </w:rPr>
        <w:t>预测点处声压级，</w:t>
      </w:r>
      <w:r>
        <w:rPr>
          <w:rFonts w:hint="eastAsia" w:ascii="TimesNewRomanPSMT" w:hAnsi="TimesNewRomanPSMT" w:eastAsia="TimesNewRomanPSMT"/>
          <w:sz w:val="24"/>
          <w:szCs w:val="24"/>
          <w:highlight w:val="none"/>
        </w:rPr>
        <w:t>dB</w:t>
      </w:r>
      <w:r>
        <w:rPr>
          <w:rFonts w:hint="eastAsia" w:ascii="宋体" w:hAnsi="宋体" w:eastAsia="宋体"/>
          <w:sz w:val="24"/>
          <w:szCs w:val="24"/>
          <w:highlight w:val="none"/>
        </w:rPr>
        <w:t>；</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Lw——</w:t>
      </w:r>
      <w:r>
        <w:rPr>
          <w:rFonts w:hint="eastAsia" w:ascii="宋体" w:hAnsi="宋体" w:eastAsia="宋体"/>
          <w:sz w:val="24"/>
          <w:szCs w:val="24"/>
          <w:highlight w:val="none"/>
        </w:rPr>
        <w:t>由点声源产生的声功率级（</w:t>
      </w:r>
      <w:r>
        <w:rPr>
          <w:rFonts w:hint="eastAsia" w:ascii="TimesNewRomanPSMT" w:hAnsi="TimesNewRomanPSMT" w:eastAsia="TimesNewRomanPSMT"/>
          <w:sz w:val="24"/>
          <w:szCs w:val="24"/>
          <w:highlight w:val="none"/>
        </w:rPr>
        <w:t xml:space="preserve">A </w:t>
      </w:r>
      <w:r>
        <w:rPr>
          <w:rFonts w:hint="eastAsia" w:ascii="宋体" w:hAnsi="宋体" w:eastAsia="宋体"/>
          <w:sz w:val="24"/>
          <w:szCs w:val="24"/>
          <w:highlight w:val="none"/>
        </w:rPr>
        <w:t>计权或倍频带），</w:t>
      </w:r>
      <w:r>
        <w:rPr>
          <w:rFonts w:hint="eastAsia" w:ascii="TimesNewRomanPSMT" w:hAnsi="TimesNewRomanPSMT" w:eastAsia="TimesNewRomanPSMT"/>
          <w:sz w:val="24"/>
          <w:szCs w:val="24"/>
          <w:highlight w:val="none"/>
        </w:rPr>
        <w:t>dB</w:t>
      </w:r>
      <w:r>
        <w:rPr>
          <w:rFonts w:hint="eastAsia" w:ascii="宋体" w:hAnsi="宋体" w:eastAsia="宋体"/>
          <w:sz w:val="24"/>
          <w:szCs w:val="24"/>
          <w:highlight w:val="none"/>
        </w:rPr>
        <w:t>；</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Dc——</w:t>
      </w:r>
      <w:r>
        <w:rPr>
          <w:rFonts w:hint="eastAsia" w:ascii="宋体" w:hAnsi="宋体" w:eastAsia="宋体"/>
          <w:sz w:val="24"/>
          <w:szCs w:val="24"/>
          <w:highlight w:val="none"/>
        </w:rPr>
        <w:t>指向性校正，</w:t>
      </w:r>
      <w:r>
        <w:rPr>
          <w:rFonts w:hint="eastAsia" w:ascii="TimesNewRomanPSMT" w:hAnsi="TimesNewRomanPSMT" w:eastAsia="TimesNewRomanPSMT"/>
          <w:sz w:val="24"/>
          <w:szCs w:val="24"/>
          <w:highlight w:val="none"/>
        </w:rPr>
        <w:t>dB</w:t>
      </w:r>
      <w:r>
        <w:rPr>
          <w:rFonts w:hint="eastAsia" w:ascii="宋体" w:hAnsi="宋体" w:eastAsia="宋体"/>
          <w:sz w:val="24"/>
          <w:szCs w:val="24"/>
          <w:highlight w:val="none"/>
        </w:rPr>
        <w:t>；</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Adiv—</w:t>
      </w:r>
      <w:r>
        <w:rPr>
          <w:rFonts w:hint="eastAsia" w:ascii="宋体" w:hAnsi="宋体" w:eastAsia="宋体"/>
          <w:sz w:val="24"/>
          <w:szCs w:val="24"/>
          <w:highlight w:val="none"/>
        </w:rPr>
        <w:t>几何发散引起的倍频带衰减；</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Abar—</w:t>
      </w:r>
      <w:r>
        <w:rPr>
          <w:rFonts w:hint="eastAsia" w:ascii="宋体" w:hAnsi="宋体" w:eastAsia="宋体"/>
          <w:sz w:val="24"/>
          <w:szCs w:val="24"/>
          <w:highlight w:val="none"/>
        </w:rPr>
        <w:t>声屏障引起的倍频带衰减；</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Aatm—</w:t>
      </w:r>
      <w:r>
        <w:rPr>
          <w:rFonts w:hint="eastAsia" w:ascii="宋体" w:hAnsi="宋体" w:eastAsia="宋体"/>
          <w:sz w:val="24"/>
          <w:szCs w:val="24"/>
          <w:highlight w:val="none"/>
        </w:rPr>
        <w:t>大气吸收引起的倍频带衰减；</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Agr—</w:t>
      </w:r>
      <w:r>
        <w:rPr>
          <w:rFonts w:hint="eastAsia" w:ascii="宋体" w:hAnsi="宋体" w:eastAsia="宋体"/>
          <w:sz w:val="24"/>
          <w:szCs w:val="24"/>
          <w:highlight w:val="none"/>
        </w:rPr>
        <w:t>地面效应引起的倍频带衰减；</w:t>
      </w:r>
    </w:p>
    <w:p>
      <w:pPr>
        <w:pStyle w:val="2"/>
        <w:keepNext w:val="0"/>
        <w:keepLines w:val="0"/>
        <w:pageBreakBefore w:val="0"/>
        <w:kinsoku/>
        <w:wordWrap/>
        <w:overflowPunct/>
        <w:topLinePunct w:val="0"/>
        <w:autoSpaceDE/>
        <w:autoSpaceDN/>
        <w:bidi w:val="0"/>
        <w:adjustRightInd/>
        <w:snapToGrid/>
        <w:ind w:firstLine="480" w:firstLineChars="200"/>
        <w:textAlignment w:val="auto"/>
        <w:rPr>
          <w:rFonts w:hint="default"/>
          <w:highlight w:val="none"/>
        </w:rPr>
      </w:pPr>
      <w:r>
        <w:rPr>
          <w:rFonts w:hint="eastAsia" w:ascii="TimesNewRomanPSMT" w:hAnsi="TimesNewRomanPSMT" w:eastAsia="TimesNewRomanPSMT"/>
          <w:sz w:val="24"/>
          <w:szCs w:val="24"/>
          <w:highlight w:val="none"/>
        </w:rPr>
        <w:t>Amisc—</w:t>
      </w:r>
      <w:r>
        <w:rPr>
          <w:rFonts w:hint="eastAsia" w:ascii="宋体" w:hAnsi="宋体" w:eastAsia="宋体"/>
          <w:sz w:val="24"/>
          <w:szCs w:val="24"/>
          <w:highlight w:val="none"/>
        </w:rPr>
        <w:t>其他多方面效应引起的倍频带衰减。</w:t>
      </w:r>
    </w:p>
    <w:p>
      <w:pPr>
        <w:pStyle w:val="252"/>
        <w:spacing w:before="60" w:after="60" w:line="480" w:lineRule="exact"/>
        <w:rPr>
          <w:rFonts w:hint="eastAsia" w:ascii="Times New Roman" w:hAnsi="Times New Roman" w:cs="Times New Roman"/>
          <w:kern w:val="24"/>
          <w:highlight w:val="none"/>
          <w:lang w:val="en-US" w:eastAsia="zh-CN"/>
        </w:rPr>
      </w:pPr>
      <w:r>
        <w:rPr>
          <w:rFonts w:hint="eastAsia" w:ascii="Times New Roman" w:hAnsi="Times New Roman" w:cs="Times New Roman"/>
          <w:kern w:val="24"/>
          <w:highlight w:val="none"/>
          <w:lang w:eastAsia="zh-CN"/>
        </w:rPr>
        <w:t>（</w:t>
      </w:r>
      <w:r>
        <w:rPr>
          <w:rFonts w:hint="eastAsia" w:ascii="Times New Roman" w:hAnsi="Times New Roman" w:cs="Times New Roman"/>
          <w:kern w:val="24"/>
          <w:highlight w:val="none"/>
          <w:lang w:val="en-US" w:eastAsia="zh-CN"/>
        </w:rPr>
        <w:t>2</w:t>
      </w:r>
      <w:r>
        <w:rPr>
          <w:rFonts w:hint="eastAsia" w:ascii="Times New Roman" w:hAnsi="Times New Roman" w:cs="Times New Roman"/>
          <w:kern w:val="24"/>
          <w:highlight w:val="none"/>
          <w:lang w:eastAsia="zh-CN"/>
        </w:rPr>
        <w:t>）</w:t>
      </w:r>
      <w:r>
        <w:rPr>
          <w:rFonts w:hint="eastAsia" w:ascii="Times New Roman" w:hAnsi="Times New Roman" w:cs="Times New Roman"/>
          <w:kern w:val="24"/>
          <w:highlight w:val="none"/>
          <w:lang w:val="en-US" w:eastAsia="zh-CN"/>
        </w:rPr>
        <w:t>计算总声压级</w:t>
      </w:r>
    </w:p>
    <w:p>
      <w:pPr>
        <w:spacing w:beforeLines="0" w:afterLines="0"/>
        <w:ind w:firstLine="480" w:firstLineChars="200"/>
        <w:jc w:val="left"/>
        <w:rPr>
          <w:rFonts w:hint="eastAsia" w:ascii="宋体" w:hAnsi="宋体" w:eastAsia="宋体"/>
          <w:sz w:val="24"/>
          <w:szCs w:val="24"/>
          <w:highlight w:val="none"/>
        </w:rPr>
      </w:pPr>
      <w:r>
        <w:rPr>
          <w:rFonts w:hint="eastAsia" w:ascii="宋体" w:hAnsi="宋体" w:eastAsia="宋体"/>
          <w:sz w:val="24"/>
          <w:szCs w:val="24"/>
          <w:highlight w:val="none"/>
        </w:rPr>
        <w:t>将第</w:t>
      </w:r>
      <w:r>
        <w:rPr>
          <w:rFonts w:hint="eastAsia" w:ascii="TimesNewRomanPSMT" w:hAnsi="TimesNewRomanPSMT" w:eastAsia="TimesNewRomanPSMT"/>
          <w:sz w:val="24"/>
          <w:szCs w:val="24"/>
          <w:highlight w:val="none"/>
        </w:rPr>
        <w:t xml:space="preserve">i </w:t>
      </w:r>
      <w:r>
        <w:rPr>
          <w:rFonts w:hint="eastAsia" w:ascii="宋体" w:hAnsi="宋体" w:eastAsia="宋体"/>
          <w:sz w:val="24"/>
          <w:szCs w:val="24"/>
          <w:highlight w:val="none"/>
        </w:rPr>
        <w:t>个等效室外声源在预测点产生的</w:t>
      </w:r>
      <w:r>
        <w:rPr>
          <w:rFonts w:hint="eastAsia" w:ascii="TimesNewRomanPSMT" w:hAnsi="TimesNewRomanPSMT" w:eastAsia="TimesNewRomanPSMT"/>
          <w:sz w:val="24"/>
          <w:szCs w:val="24"/>
          <w:highlight w:val="none"/>
        </w:rPr>
        <w:t xml:space="preserve">A </w:t>
      </w:r>
      <w:r>
        <w:rPr>
          <w:rFonts w:hint="eastAsia" w:ascii="宋体" w:hAnsi="宋体" w:eastAsia="宋体"/>
          <w:sz w:val="24"/>
          <w:szCs w:val="24"/>
          <w:highlight w:val="none"/>
        </w:rPr>
        <w:t>声级为</w:t>
      </w:r>
      <w:r>
        <w:rPr>
          <w:rFonts w:hint="eastAsia" w:ascii="TimesNewRomanPSMT" w:hAnsi="TimesNewRomanPSMT" w:eastAsia="TimesNewRomanPSMT"/>
          <w:sz w:val="24"/>
          <w:szCs w:val="24"/>
          <w:highlight w:val="none"/>
        </w:rPr>
        <w:t>LAi</w:t>
      </w:r>
      <w:r>
        <w:rPr>
          <w:rFonts w:hint="eastAsia" w:ascii="宋体" w:hAnsi="宋体" w:eastAsia="宋体"/>
          <w:sz w:val="24"/>
          <w:szCs w:val="24"/>
          <w:highlight w:val="none"/>
        </w:rPr>
        <w:t>，在</w:t>
      </w:r>
      <w:r>
        <w:rPr>
          <w:rFonts w:hint="eastAsia" w:ascii="TimesNewRomanPSMT" w:hAnsi="TimesNewRomanPSMT" w:eastAsia="TimesNewRomanPSMT"/>
          <w:sz w:val="24"/>
          <w:szCs w:val="24"/>
          <w:highlight w:val="none"/>
        </w:rPr>
        <w:t xml:space="preserve">T </w:t>
      </w:r>
      <w:r>
        <w:rPr>
          <w:rFonts w:hint="eastAsia" w:ascii="宋体" w:hAnsi="宋体" w:eastAsia="宋体"/>
          <w:sz w:val="24"/>
          <w:szCs w:val="24"/>
          <w:highlight w:val="none"/>
        </w:rPr>
        <w:t>时间内该声源工作时间为</w:t>
      </w:r>
      <w:r>
        <w:rPr>
          <w:rFonts w:hint="eastAsia" w:ascii="TimesNewRomanPSMT" w:hAnsi="TimesNewRomanPSMT" w:eastAsia="TimesNewRomanPSMT"/>
          <w:sz w:val="24"/>
          <w:szCs w:val="24"/>
          <w:highlight w:val="none"/>
        </w:rPr>
        <w:t>t i</w:t>
      </w:r>
      <w:r>
        <w:rPr>
          <w:rFonts w:hint="eastAsia" w:ascii="宋体" w:hAnsi="宋体" w:eastAsia="宋体"/>
          <w:sz w:val="24"/>
          <w:szCs w:val="24"/>
          <w:highlight w:val="none"/>
        </w:rPr>
        <w:t>，第</w:t>
      </w:r>
      <w:r>
        <w:rPr>
          <w:rFonts w:hint="eastAsia" w:ascii="TimesNewRomanPSMT" w:hAnsi="TimesNewRomanPSMT" w:eastAsia="TimesNewRomanPSMT"/>
          <w:sz w:val="24"/>
          <w:szCs w:val="24"/>
          <w:highlight w:val="none"/>
        </w:rPr>
        <w:t xml:space="preserve">j </w:t>
      </w:r>
      <w:r>
        <w:rPr>
          <w:rFonts w:hint="eastAsia" w:ascii="宋体" w:hAnsi="宋体" w:eastAsia="宋体"/>
          <w:sz w:val="24"/>
          <w:szCs w:val="24"/>
          <w:highlight w:val="none"/>
        </w:rPr>
        <w:t>个等效室外声源在预测点产生的</w:t>
      </w:r>
      <w:r>
        <w:rPr>
          <w:rFonts w:hint="eastAsia" w:ascii="TimesNewRomanPSMT" w:hAnsi="TimesNewRomanPSMT" w:eastAsia="TimesNewRomanPSMT"/>
          <w:sz w:val="24"/>
          <w:szCs w:val="24"/>
          <w:highlight w:val="none"/>
        </w:rPr>
        <w:t xml:space="preserve">A </w:t>
      </w:r>
      <w:r>
        <w:rPr>
          <w:rFonts w:hint="eastAsia" w:ascii="宋体" w:hAnsi="宋体" w:eastAsia="宋体"/>
          <w:sz w:val="24"/>
          <w:szCs w:val="24"/>
          <w:highlight w:val="none"/>
        </w:rPr>
        <w:t>声级为</w:t>
      </w:r>
      <w:r>
        <w:rPr>
          <w:rFonts w:hint="eastAsia" w:ascii="TimesNewRomanPSMT" w:hAnsi="TimesNewRomanPSMT" w:eastAsia="TimesNewRomanPSMT"/>
          <w:sz w:val="24"/>
          <w:szCs w:val="24"/>
          <w:highlight w:val="none"/>
        </w:rPr>
        <w:t>LAj</w:t>
      </w:r>
      <w:r>
        <w:rPr>
          <w:rFonts w:hint="eastAsia" w:ascii="宋体" w:hAnsi="宋体" w:eastAsia="宋体"/>
          <w:sz w:val="24"/>
          <w:szCs w:val="24"/>
          <w:highlight w:val="none"/>
        </w:rPr>
        <w:t>，在</w:t>
      </w:r>
      <w:r>
        <w:rPr>
          <w:rFonts w:hint="eastAsia" w:ascii="TimesNewRomanPSMT" w:hAnsi="TimesNewRomanPSMT" w:eastAsia="TimesNewRomanPSMT"/>
          <w:sz w:val="24"/>
          <w:szCs w:val="24"/>
          <w:highlight w:val="none"/>
        </w:rPr>
        <w:t xml:space="preserve">T </w:t>
      </w:r>
      <w:r>
        <w:rPr>
          <w:rFonts w:hint="eastAsia" w:ascii="宋体" w:hAnsi="宋体" w:eastAsia="宋体"/>
          <w:sz w:val="24"/>
          <w:szCs w:val="24"/>
          <w:highlight w:val="none"/>
        </w:rPr>
        <w:t>时间内该声源工作时间为</w:t>
      </w:r>
      <w:r>
        <w:rPr>
          <w:rFonts w:hint="eastAsia" w:ascii="TimesNewRomanPSMT" w:hAnsi="TimesNewRomanPSMT" w:eastAsia="TimesNewRomanPSMT"/>
          <w:sz w:val="24"/>
          <w:szCs w:val="24"/>
          <w:highlight w:val="none"/>
        </w:rPr>
        <w:t>t j</w:t>
      </w:r>
      <w:r>
        <w:rPr>
          <w:rFonts w:hint="eastAsia" w:ascii="宋体" w:hAnsi="宋体" w:eastAsia="宋体"/>
          <w:sz w:val="24"/>
          <w:szCs w:val="24"/>
          <w:highlight w:val="none"/>
        </w:rPr>
        <w:t>，则建设工程声源对预测点产生的贡献值（</w:t>
      </w:r>
      <w:r>
        <w:rPr>
          <w:rFonts w:hint="eastAsia" w:ascii="TimesNewRomanPSMT" w:hAnsi="TimesNewRomanPSMT" w:eastAsia="TimesNewRomanPSMT"/>
          <w:sz w:val="24"/>
          <w:szCs w:val="24"/>
          <w:highlight w:val="none"/>
        </w:rPr>
        <w:t>Leqg</w:t>
      </w:r>
      <w:r>
        <w:rPr>
          <w:rFonts w:hint="eastAsia" w:ascii="宋体" w:hAnsi="宋体" w:eastAsia="宋体"/>
          <w:sz w:val="24"/>
          <w:szCs w:val="24"/>
          <w:highlight w:val="none"/>
        </w:rPr>
        <w:t>）为：</w:t>
      </w:r>
    </w:p>
    <w:p>
      <w:pPr>
        <w:spacing w:beforeLines="0" w:afterLines="0"/>
        <w:ind w:firstLine="560" w:firstLineChars="200"/>
        <w:jc w:val="left"/>
        <w:rPr>
          <w:rFonts w:hint="eastAsia" w:ascii="宋体" w:hAnsi="宋体" w:eastAsia="宋体"/>
          <w:sz w:val="24"/>
          <w:szCs w:val="24"/>
          <w:highlight w:val="none"/>
        </w:rPr>
      </w:pPr>
      <w:r>
        <w:rPr>
          <w:highlight w:val="none"/>
        </w:rPr>
        <w:drawing>
          <wp:anchor distT="0" distB="0" distL="114300" distR="114300" simplePos="0" relativeHeight="251715584" behindDoc="0" locked="0" layoutInCell="1" allowOverlap="1">
            <wp:simplePos x="0" y="0"/>
            <wp:positionH relativeFrom="column">
              <wp:posOffset>875665</wp:posOffset>
            </wp:positionH>
            <wp:positionV relativeFrom="paragraph">
              <wp:posOffset>30480</wp:posOffset>
            </wp:positionV>
            <wp:extent cx="2762250" cy="561975"/>
            <wp:effectExtent l="0" t="0" r="0" b="9525"/>
            <wp:wrapNone/>
            <wp:docPr id="24"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16"/>
                    <pic:cNvPicPr>
                      <a:picLocks noChangeAspect="1"/>
                    </pic:cNvPicPr>
                  </pic:nvPicPr>
                  <pic:blipFill>
                    <a:blip r:embed="rId98"/>
                    <a:stretch>
                      <a:fillRect/>
                    </a:stretch>
                  </pic:blipFill>
                  <pic:spPr>
                    <a:xfrm>
                      <a:off x="0" y="0"/>
                      <a:ext cx="2762250" cy="561975"/>
                    </a:xfrm>
                    <a:prstGeom prst="rect">
                      <a:avLst/>
                    </a:prstGeom>
                    <a:noFill/>
                    <a:ln>
                      <a:noFill/>
                    </a:ln>
                  </pic:spPr>
                </pic:pic>
              </a:graphicData>
            </a:graphic>
          </wp:anchor>
        </w:drawing>
      </w:r>
    </w:p>
    <w:p>
      <w:pPr>
        <w:spacing w:beforeLines="0" w:afterLines="0"/>
        <w:ind w:firstLine="480" w:firstLineChars="200"/>
        <w:jc w:val="left"/>
        <w:rPr>
          <w:rFonts w:hint="eastAsia" w:ascii="宋体" w:hAnsi="宋体" w:eastAsia="宋体"/>
          <w:sz w:val="24"/>
          <w:szCs w:val="24"/>
          <w:highlight w:val="none"/>
        </w:rPr>
      </w:pP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宋体" w:hAnsi="宋体" w:eastAsia="宋体"/>
          <w:sz w:val="24"/>
          <w:szCs w:val="24"/>
          <w:highlight w:val="none"/>
        </w:rPr>
        <w:t xml:space="preserve">式中： </w:t>
      </w:r>
      <w:r>
        <w:rPr>
          <w:rFonts w:hint="eastAsia" w:ascii="TimesNewRomanPSMT" w:hAnsi="TimesNewRomanPSMT" w:eastAsia="TimesNewRomanPSMT"/>
          <w:sz w:val="24"/>
          <w:szCs w:val="24"/>
          <w:highlight w:val="none"/>
        </w:rPr>
        <w:t>L</w:t>
      </w:r>
      <w:r>
        <w:rPr>
          <w:rFonts w:hint="eastAsia" w:ascii="TimesNewRomanPSMT" w:hAnsi="TimesNewRomanPSMT" w:eastAsia="TimesNewRomanPSMT"/>
          <w:sz w:val="16"/>
          <w:szCs w:val="24"/>
          <w:highlight w:val="none"/>
        </w:rPr>
        <w:t>eqg</w:t>
      </w:r>
      <w:r>
        <w:rPr>
          <w:rFonts w:hint="eastAsia" w:ascii="TimesNewRomanPSMT" w:hAnsi="TimesNewRomanPSMT" w:eastAsia="TimesNewRomanPSMT"/>
          <w:sz w:val="24"/>
          <w:szCs w:val="24"/>
          <w:highlight w:val="none"/>
        </w:rPr>
        <w:t>——</w:t>
      </w:r>
      <w:r>
        <w:rPr>
          <w:rFonts w:hint="eastAsia" w:ascii="宋体" w:hAnsi="宋体" w:eastAsia="宋体"/>
          <w:sz w:val="24"/>
          <w:szCs w:val="24"/>
          <w:highlight w:val="none"/>
        </w:rPr>
        <w:t>建设项目声源在预测点的噪声贡献值，</w:t>
      </w:r>
      <w:r>
        <w:rPr>
          <w:rFonts w:hint="eastAsia" w:ascii="TimesNewRomanPSMT" w:hAnsi="TimesNewRomanPSMT" w:eastAsia="TimesNewRomanPSMT"/>
          <w:sz w:val="24"/>
          <w:szCs w:val="24"/>
          <w:highlight w:val="none"/>
        </w:rPr>
        <w:t>dB</w:t>
      </w:r>
      <w:r>
        <w:rPr>
          <w:rFonts w:hint="eastAsia" w:ascii="宋体" w:hAnsi="宋体" w:eastAsia="宋体"/>
          <w:sz w:val="24"/>
          <w:szCs w:val="24"/>
          <w:highlight w:val="none"/>
        </w:rPr>
        <w:t>；</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T——</w:t>
      </w:r>
      <w:r>
        <w:rPr>
          <w:rFonts w:hint="eastAsia" w:ascii="宋体" w:hAnsi="宋体" w:eastAsia="宋体"/>
          <w:sz w:val="24"/>
          <w:szCs w:val="24"/>
          <w:highlight w:val="none"/>
        </w:rPr>
        <w:t>用于计算等效声级的时间，</w:t>
      </w:r>
      <w:r>
        <w:rPr>
          <w:rFonts w:hint="eastAsia" w:ascii="TimesNewRomanPSMT" w:hAnsi="TimesNewRomanPSMT" w:eastAsia="TimesNewRomanPSMT"/>
          <w:sz w:val="24"/>
          <w:szCs w:val="24"/>
          <w:highlight w:val="none"/>
        </w:rPr>
        <w:t>s</w:t>
      </w:r>
      <w:r>
        <w:rPr>
          <w:rFonts w:hint="eastAsia" w:ascii="宋体" w:hAnsi="宋体" w:eastAsia="宋体"/>
          <w:sz w:val="24"/>
          <w:szCs w:val="24"/>
          <w:highlight w:val="none"/>
        </w:rPr>
        <w:t>；</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N——</w:t>
      </w:r>
      <w:r>
        <w:rPr>
          <w:rFonts w:hint="eastAsia" w:ascii="宋体" w:hAnsi="宋体" w:eastAsia="宋体"/>
          <w:sz w:val="24"/>
          <w:szCs w:val="24"/>
          <w:highlight w:val="none"/>
        </w:rPr>
        <w:t>室外声源个数；</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ti——</w:t>
      </w:r>
      <w:r>
        <w:rPr>
          <w:rFonts w:hint="eastAsia" w:ascii="宋体" w:hAnsi="宋体" w:eastAsia="宋体"/>
          <w:sz w:val="24"/>
          <w:szCs w:val="24"/>
          <w:highlight w:val="none"/>
        </w:rPr>
        <w:t>在</w:t>
      </w:r>
      <w:r>
        <w:rPr>
          <w:rFonts w:hint="eastAsia" w:ascii="TimesNewRomanPSMT" w:hAnsi="TimesNewRomanPSMT" w:eastAsia="TimesNewRomanPSMT"/>
          <w:sz w:val="24"/>
          <w:szCs w:val="24"/>
          <w:highlight w:val="none"/>
        </w:rPr>
        <w:t xml:space="preserve">T </w:t>
      </w:r>
      <w:r>
        <w:rPr>
          <w:rFonts w:hint="eastAsia" w:ascii="宋体" w:hAnsi="宋体" w:eastAsia="宋体"/>
          <w:sz w:val="24"/>
          <w:szCs w:val="24"/>
          <w:highlight w:val="none"/>
        </w:rPr>
        <w:t>时间内</w:t>
      </w:r>
      <w:r>
        <w:rPr>
          <w:rFonts w:hint="eastAsia" w:ascii="TimesNewRomanPSMT" w:hAnsi="TimesNewRomanPSMT" w:eastAsia="TimesNewRomanPSMT"/>
          <w:sz w:val="24"/>
          <w:szCs w:val="24"/>
          <w:highlight w:val="none"/>
        </w:rPr>
        <w:t xml:space="preserve">i </w:t>
      </w:r>
      <w:r>
        <w:rPr>
          <w:rFonts w:hint="eastAsia" w:ascii="宋体" w:hAnsi="宋体" w:eastAsia="宋体"/>
          <w:sz w:val="24"/>
          <w:szCs w:val="24"/>
          <w:highlight w:val="none"/>
        </w:rPr>
        <w:t>声源工作时间，</w:t>
      </w:r>
      <w:r>
        <w:rPr>
          <w:rFonts w:hint="eastAsia" w:ascii="TimesNewRomanPSMT" w:hAnsi="TimesNewRomanPSMT" w:eastAsia="TimesNewRomanPSMT"/>
          <w:sz w:val="24"/>
          <w:szCs w:val="24"/>
          <w:highlight w:val="none"/>
        </w:rPr>
        <w:t>s</w:t>
      </w:r>
      <w:r>
        <w:rPr>
          <w:rFonts w:hint="eastAsia" w:ascii="宋体" w:hAnsi="宋体" w:eastAsia="宋体"/>
          <w:sz w:val="24"/>
          <w:szCs w:val="24"/>
          <w:highlight w:val="none"/>
        </w:rPr>
        <w:t>；</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M——</w:t>
      </w:r>
      <w:r>
        <w:rPr>
          <w:rFonts w:hint="eastAsia" w:ascii="宋体" w:hAnsi="宋体" w:eastAsia="宋体"/>
          <w:sz w:val="24"/>
          <w:szCs w:val="24"/>
          <w:highlight w:val="none"/>
        </w:rPr>
        <w:t>等效室外声源个数；</w:t>
      </w:r>
    </w:p>
    <w:p>
      <w:pPr>
        <w:pStyle w:val="252"/>
        <w:keepNext w:val="0"/>
        <w:keepLines w:val="0"/>
        <w:pageBreakBefore w:val="0"/>
        <w:kinsoku/>
        <w:wordWrap/>
        <w:overflowPunct/>
        <w:topLinePunct w:val="0"/>
        <w:autoSpaceDE/>
        <w:autoSpaceDN/>
        <w:bidi w:val="0"/>
        <w:adjustRightInd/>
        <w:snapToGrid/>
        <w:spacing w:before="60" w:after="60" w:line="480" w:lineRule="exact"/>
        <w:ind w:firstLine="456" w:firstLineChars="200"/>
        <w:textAlignment w:val="auto"/>
        <w:rPr>
          <w:rFonts w:hint="eastAsia" w:ascii="TimesNewRomanPSMT" w:hAnsi="TimesNewRomanPSMT" w:eastAsia="TimesNewRomanPSMT"/>
          <w:sz w:val="24"/>
          <w:szCs w:val="24"/>
          <w:highlight w:val="none"/>
        </w:rPr>
      </w:pPr>
      <w:r>
        <w:rPr>
          <w:rFonts w:hint="eastAsia" w:ascii="TimesNewRomanPSMT" w:hAnsi="TimesNewRomanPSMT" w:eastAsia="TimesNewRomanPSMT"/>
          <w:sz w:val="24"/>
          <w:szCs w:val="24"/>
          <w:highlight w:val="none"/>
        </w:rPr>
        <w:t>tj——</w:t>
      </w:r>
      <w:r>
        <w:rPr>
          <w:rFonts w:hint="eastAsia" w:ascii="宋体" w:hAnsi="宋体" w:eastAsia="宋体"/>
          <w:sz w:val="24"/>
          <w:szCs w:val="24"/>
          <w:highlight w:val="none"/>
        </w:rPr>
        <w:t>在</w:t>
      </w:r>
      <w:r>
        <w:rPr>
          <w:rFonts w:hint="eastAsia" w:ascii="TimesNewRomanPSMT" w:hAnsi="TimesNewRomanPSMT" w:eastAsia="TimesNewRomanPSMT"/>
          <w:sz w:val="24"/>
          <w:szCs w:val="24"/>
          <w:highlight w:val="none"/>
        </w:rPr>
        <w:t xml:space="preserve">T </w:t>
      </w:r>
      <w:r>
        <w:rPr>
          <w:rFonts w:hint="eastAsia" w:ascii="宋体" w:hAnsi="宋体" w:eastAsia="宋体"/>
          <w:sz w:val="24"/>
          <w:szCs w:val="24"/>
          <w:highlight w:val="none"/>
        </w:rPr>
        <w:t>时间内</w:t>
      </w:r>
      <w:r>
        <w:rPr>
          <w:rFonts w:hint="eastAsia" w:ascii="TimesNewRomanPSMT" w:hAnsi="TimesNewRomanPSMT" w:eastAsia="TimesNewRomanPSMT"/>
          <w:sz w:val="24"/>
          <w:szCs w:val="24"/>
          <w:highlight w:val="none"/>
        </w:rPr>
        <w:t xml:space="preserve">j </w:t>
      </w:r>
      <w:r>
        <w:rPr>
          <w:rFonts w:hint="eastAsia" w:ascii="宋体" w:hAnsi="宋体" w:eastAsia="宋体"/>
          <w:sz w:val="24"/>
          <w:szCs w:val="24"/>
          <w:highlight w:val="none"/>
        </w:rPr>
        <w:t>声源工作时间，</w:t>
      </w:r>
      <w:r>
        <w:rPr>
          <w:rFonts w:hint="eastAsia" w:ascii="TimesNewRomanPSMT" w:hAnsi="TimesNewRomanPSMT" w:eastAsia="TimesNewRomanPSMT"/>
          <w:sz w:val="24"/>
          <w:szCs w:val="24"/>
          <w:highlight w:val="none"/>
        </w:rPr>
        <w:t>s</w:t>
      </w:r>
    </w:p>
    <w:p>
      <w:pPr>
        <w:pStyle w:val="252"/>
        <w:numPr>
          <w:ilvl w:val="0"/>
          <w:numId w:val="3"/>
        </w:numPr>
        <w:spacing w:before="60" w:after="60" w:line="480" w:lineRule="exact"/>
        <w:ind w:left="0" w:leftChars="0" w:firstLine="456" w:firstLineChars="200"/>
        <w:rPr>
          <w:rFonts w:hint="eastAsia" w:ascii="宋体" w:hAnsi="宋体" w:eastAsia="宋体"/>
          <w:sz w:val="24"/>
          <w:szCs w:val="24"/>
          <w:highlight w:val="none"/>
          <w:lang w:val="en-US" w:eastAsia="zh-CN"/>
        </w:rPr>
      </w:pPr>
      <w:r>
        <w:rPr>
          <w:rFonts w:hint="eastAsia" w:ascii="宋体" w:hAnsi="宋体" w:eastAsia="宋体"/>
          <w:sz w:val="24"/>
          <w:szCs w:val="24"/>
          <w:highlight w:val="none"/>
        </w:rPr>
        <w:t>预测点的噪声预测值</w:t>
      </w:r>
    </w:p>
    <w:p>
      <w:pPr>
        <w:pStyle w:val="252"/>
        <w:numPr>
          <w:ilvl w:val="0"/>
          <w:numId w:val="0"/>
        </w:numPr>
        <w:spacing w:before="60" w:after="60" w:line="480" w:lineRule="exact"/>
        <w:ind w:leftChars="200"/>
        <w:rPr>
          <w:rFonts w:hint="eastAsia" w:ascii="宋体" w:hAnsi="宋体" w:eastAsia="宋体"/>
          <w:sz w:val="24"/>
          <w:szCs w:val="24"/>
          <w:highlight w:val="none"/>
          <w:lang w:val="en-US" w:eastAsia="zh-CN"/>
        </w:rPr>
      </w:pPr>
      <w:r>
        <w:rPr>
          <w:rFonts w:hint="eastAsia" w:ascii="宋体" w:hAnsi="宋体" w:eastAsia="宋体"/>
          <w:sz w:val="24"/>
          <w:szCs w:val="24"/>
          <w:highlight w:val="none"/>
          <w:lang w:val="en-US" w:eastAsia="zh-CN"/>
        </w:rPr>
        <w:drawing>
          <wp:anchor distT="0" distB="0" distL="114300" distR="114300" simplePos="0" relativeHeight="251716608" behindDoc="0" locked="0" layoutInCell="1" allowOverlap="1">
            <wp:simplePos x="0" y="0"/>
            <wp:positionH relativeFrom="column">
              <wp:posOffset>601345</wp:posOffset>
            </wp:positionH>
            <wp:positionV relativeFrom="paragraph">
              <wp:posOffset>9525</wp:posOffset>
            </wp:positionV>
            <wp:extent cx="2667000" cy="552450"/>
            <wp:effectExtent l="0" t="0" r="0" b="0"/>
            <wp:wrapNone/>
            <wp:docPr id="23" name="图片 1017" descr="168508230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17" descr="1685082308307"/>
                    <pic:cNvPicPr>
                      <a:picLocks noChangeAspect="1"/>
                    </pic:cNvPicPr>
                  </pic:nvPicPr>
                  <pic:blipFill>
                    <a:blip r:embed="rId99"/>
                    <a:stretch>
                      <a:fillRect/>
                    </a:stretch>
                  </pic:blipFill>
                  <pic:spPr>
                    <a:xfrm>
                      <a:off x="0" y="0"/>
                      <a:ext cx="2667000" cy="552450"/>
                    </a:xfrm>
                    <a:prstGeom prst="rect">
                      <a:avLst/>
                    </a:prstGeom>
                    <a:noFill/>
                    <a:ln>
                      <a:noFill/>
                    </a:ln>
                  </pic:spPr>
                </pic:pic>
              </a:graphicData>
            </a:graphic>
          </wp:anchor>
        </w:drawing>
      </w:r>
    </w:p>
    <w:p>
      <w:pPr>
        <w:pStyle w:val="252"/>
        <w:numPr>
          <w:ilvl w:val="0"/>
          <w:numId w:val="0"/>
        </w:numPr>
        <w:spacing w:before="60" w:after="60" w:line="480" w:lineRule="exact"/>
        <w:ind w:leftChars="200"/>
        <w:rPr>
          <w:rFonts w:hint="eastAsia" w:ascii="宋体" w:hAnsi="宋体" w:eastAsia="宋体"/>
          <w:sz w:val="24"/>
          <w:szCs w:val="24"/>
          <w:highlight w:val="none"/>
          <w:lang w:val="en-US" w:eastAsia="zh-CN"/>
        </w:rPr>
      </w:pP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宋体" w:hAnsi="宋体" w:eastAsia="宋体"/>
          <w:sz w:val="24"/>
          <w:szCs w:val="24"/>
          <w:highlight w:val="none"/>
        </w:rPr>
        <w:t>式中：</w:t>
      </w:r>
      <w:r>
        <w:rPr>
          <w:rFonts w:hint="eastAsia" w:ascii="TimesNewRomanPSMT" w:hAnsi="TimesNewRomanPSMT" w:eastAsia="TimesNewRomanPSMT"/>
          <w:sz w:val="24"/>
          <w:szCs w:val="24"/>
          <w:highlight w:val="none"/>
        </w:rPr>
        <w:t>Leq——</w:t>
      </w:r>
      <w:r>
        <w:rPr>
          <w:rFonts w:hint="eastAsia" w:ascii="宋体" w:hAnsi="宋体" w:eastAsia="宋体"/>
          <w:sz w:val="24"/>
          <w:szCs w:val="24"/>
          <w:highlight w:val="none"/>
        </w:rPr>
        <w:t>预测点的噪声预测值，</w:t>
      </w:r>
      <w:r>
        <w:rPr>
          <w:rFonts w:hint="eastAsia" w:ascii="TimesNewRomanPSMT" w:hAnsi="TimesNewRomanPSMT" w:eastAsia="TimesNewRomanPSMT"/>
          <w:sz w:val="24"/>
          <w:szCs w:val="24"/>
          <w:highlight w:val="none"/>
        </w:rPr>
        <w:t>dB</w:t>
      </w:r>
      <w:r>
        <w:rPr>
          <w:rFonts w:hint="eastAsia" w:ascii="宋体" w:hAnsi="宋体" w:eastAsia="宋体"/>
          <w:sz w:val="24"/>
          <w:szCs w:val="24"/>
          <w:highlight w:val="none"/>
        </w:rPr>
        <w:t>；</w:t>
      </w:r>
    </w:p>
    <w:p>
      <w:pPr>
        <w:keepNext w:val="0"/>
        <w:keepLines w:val="0"/>
        <w:pageBreakBefore w:val="0"/>
        <w:kinsoku/>
        <w:wordWrap/>
        <w:overflowPunct/>
        <w:topLinePunct w:val="0"/>
        <w:autoSpaceDE/>
        <w:autoSpaceDN/>
        <w:bidi w:val="0"/>
        <w:adjustRightInd/>
        <w:snapToGrid/>
        <w:spacing w:beforeLines="0" w:afterLines="0"/>
        <w:ind w:firstLine="480" w:firstLineChars="200"/>
        <w:jc w:val="left"/>
        <w:textAlignment w:val="auto"/>
        <w:rPr>
          <w:rFonts w:hint="eastAsia" w:ascii="宋体" w:hAnsi="宋体" w:eastAsia="宋体"/>
          <w:sz w:val="24"/>
          <w:szCs w:val="24"/>
          <w:highlight w:val="none"/>
        </w:rPr>
      </w:pPr>
      <w:r>
        <w:rPr>
          <w:rFonts w:hint="eastAsia" w:ascii="TimesNewRomanPSMT" w:hAnsi="TimesNewRomanPSMT" w:eastAsia="TimesNewRomanPSMT"/>
          <w:sz w:val="24"/>
          <w:szCs w:val="24"/>
          <w:highlight w:val="none"/>
        </w:rPr>
        <w:t>Leqg ——</w:t>
      </w:r>
      <w:r>
        <w:rPr>
          <w:rFonts w:hint="eastAsia" w:ascii="宋体" w:hAnsi="宋体" w:eastAsia="宋体"/>
          <w:sz w:val="24"/>
          <w:szCs w:val="24"/>
          <w:highlight w:val="none"/>
        </w:rPr>
        <w:t>建设项目声源在预测点的噪声贡献值，</w:t>
      </w:r>
      <w:r>
        <w:rPr>
          <w:rFonts w:hint="eastAsia" w:ascii="TimesNewRomanPSMT" w:hAnsi="TimesNewRomanPSMT" w:eastAsia="TimesNewRomanPSMT"/>
          <w:sz w:val="24"/>
          <w:szCs w:val="24"/>
          <w:highlight w:val="none"/>
        </w:rPr>
        <w:t>dB</w:t>
      </w:r>
      <w:r>
        <w:rPr>
          <w:rFonts w:hint="eastAsia" w:ascii="宋体" w:hAnsi="宋体" w:eastAsia="宋体"/>
          <w:sz w:val="24"/>
          <w:szCs w:val="24"/>
          <w:highlight w:val="none"/>
        </w:rPr>
        <w:t>；</w:t>
      </w:r>
    </w:p>
    <w:p>
      <w:pPr>
        <w:pStyle w:val="252"/>
        <w:keepNext w:val="0"/>
        <w:keepLines w:val="0"/>
        <w:pageBreakBefore w:val="0"/>
        <w:numPr>
          <w:ilvl w:val="0"/>
          <w:numId w:val="0"/>
        </w:numPr>
        <w:kinsoku/>
        <w:wordWrap/>
        <w:overflowPunct/>
        <w:topLinePunct w:val="0"/>
        <w:autoSpaceDE/>
        <w:autoSpaceDN/>
        <w:bidi w:val="0"/>
        <w:adjustRightInd/>
        <w:snapToGrid/>
        <w:spacing w:before="60" w:after="60" w:line="480" w:lineRule="exact"/>
        <w:ind w:firstLine="456" w:firstLineChars="200"/>
        <w:textAlignment w:val="auto"/>
        <w:rPr>
          <w:rFonts w:hint="eastAsia" w:ascii="宋体" w:hAnsi="宋体" w:eastAsia="宋体"/>
          <w:sz w:val="24"/>
          <w:szCs w:val="24"/>
          <w:highlight w:val="none"/>
          <w:lang w:val="en-US" w:eastAsia="zh-CN"/>
        </w:rPr>
      </w:pPr>
      <w:r>
        <w:rPr>
          <w:rFonts w:hint="eastAsia" w:ascii="TimesNewRomanPSMT" w:hAnsi="TimesNewRomanPSMT" w:eastAsia="TimesNewRomanPSMT"/>
          <w:sz w:val="24"/>
          <w:szCs w:val="24"/>
          <w:highlight w:val="none"/>
        </w:rPr>
        <w:t>Leqb ——</w:t>
      </w:r>
      <w:r>
        <w:rPr>
          <w:rFonts w:hint="eastAsia" w:ascii="宋体" w:hAnsi="宋体" w:eastAsia="宋体"/>
          <w:sz w:val="24"/>
          <w:szCs w:val="24"/>
          <w:highlight w:val="none"/>
        </w:rPr>
        <w:t>预测点的背景噪声值，</w:t>
      </w:r>
      <w:r>
        <w:rPr>
          <w:rFonts w:hint="eastAsia" w:ascii="TimesNewRomanPSMT" w:hAnsi="TimesNewRomanPSMT" w:eastAsia="TimesNewRomanPSMT"/>
          <w:sz w:val="24"/>
          <w:szCs w:val="24"/>
          <w:highlight w:val="none"/>
        </w:rPr>
        <w:t>dB</w:t>
      </w:r>
      <w:r>
        <w:rPr>
          <w:rFonts w:hint="eastAsia" w:ascii="宋体" w:hAnsi="宋体" w:eastAsia="宋体"/>
          <w:sz w:val="24"/>
          <w:szCs w:val="24"/>
          <w:highlight w:val="none"/>
        </w:rPr>
        <w:t>。</w:t>
      </w:r>
    </w:p>
    <w:p>
      <w:pPr>
        <w:pStyle w:val="3"/>
        <w:numPr>
          <w:ilvl w:val="3"/>
          <w:numId w:val="1"/>
        </w:numPr>
        <w:ind w:left="709" w:hanging="709"/>
        <w:rPr>
          <w:rFonts w:eastAsia="宋体"/>
          <w:b/>
          <w:highlight w:val="none"/>
        </w:rPr>
      </w:pPr>
      <w:bookmarkStart w:id="497" w:name="_Toc430288863"/>
      <w:bookmarkStart w:id="498" w:name="_Toc395710450"/>
      <w:r>
        <w:rPr>
          <w:rFonts w:eastAsia="宋体"/>
          <w:b/>
          <w:highlight w:val="none"/>
        </w:rPr>
        <w:t>预测范围和内容</w:t>
      </w:r>
      <w:bookmarkEnd w:id="497"/>
      <w:bookmarkEnd w:id="498"/>
    </w:p>
    <w:p>
      <w:pPr>
        <w:autoSpaceDE w:val="0"/>
        <w:autoSpaceDN w:val="0"/>
        <w:ind w:firstLine="480"/>
        <w:textAlignment w:val="auto"/>
        <w:rPr>
          <w:sz w:val="24"/>
          <w:highlight w:val="none"/>
        </w:rPr>
      </w:pPr>
      <w:r>
        <w:rPr>
          <w:sz w:val="24"/>
          <w:highlight w:val="none"/>
        </w:rPr>
        <w:t>本项目预测分析在考虑生产车间及建筑物墙体及其它控制措施等对主要设备声源排放噪声的削减作用情况下，主要噪声源同时运行的厂界噪声值。</w:t>
      </w:r>
    </w:p>
    <w:p>
      <w:pPr>
        <w:autoSpaceDE w:val="0"/>
        <w:autoSpaceDN w:val="0"/>
        <w:ind w:firstLine="480"/>
        <w:textAlignment w:val="auto"/>
        <w:rPr>
          <w:sz w:val="24"/>
          <w:highlight w:val="none"/>
        </w:rPr>
      </w:pPr>
      <w:r>
        <w:rPr>
          <w:sz w:val="24"/>
          <w:highlight w:val="none"/>
        </w:rPr>
        <w:t>本次预测在四侧厂界外1m处设置预测断面，预测厂界最大噪声贡献值，分析其达标性。</w:t>
      </w:r>
    </w:p>
    <w:p>
      <w:pPr>
        <w:pStyle w:val="3"/>
        <w:numPr>
          <w:ilvl w:val="3"/>
          <w:numId w:val="1"/>
        </w:numPr>
        <w:ind w:left="709" w:hanging="709"/>
        <w:rPr>
          <w:rFonts w:eastAsia="宋体"/>
          <w:b/>
          <w:highlight w:val="green"/>
        </w:rPr>
      </w:pPr>
      <w:r>
        <w:rPr>
          <w:rFonts w:eastAsia="宋体"/>
          <w:b/>
          <w:highlight w:val="green"/>
        </w:rPr>
        <w:t>预测结果及分析</w:t>
      </w:r>
    </w:p>
    <w:p>
      <w:pPr>
        <w:autoSpaceDE w:val="0"/>
        <w:autoSpaceDN w:val="0"/>
        <w:ind w:firstLine="480"/>
        <w:textAlignment w:val="auto"/>
        <w:rPr>
          <w:sz w:val="24"/>
          <w:highlight w:val="green"/>
        </w:rPr>
      </w:pPr>
      <w:bookmarkStart w:id="499" w:name="_Hlk522132841"/>
      <w:r>
        <w:rPr>
          <w:sz w:val="24"/>
          <w:highlight w:val="green"/>
        </w:rPr>
        <w:t>根据以上预测模型，结合本项目平面布置图和噪声源，考虑到项目多种设备噪声的叠加影响，厂界处噪声预测结果见表5.2-2</w:t>
      </w:r>
      <w:r>
        <w:rPr>
          <w:rFonts w:hint="eastAsia"/>
          <w:sz w:val="24"/>
          <w:highlight w:val="green"/>
        </w:rPr>
        <w:t>9</w:t>
      </w:r>
      <w:r>
        <w:rPr>
          <w:sz w:val="24"/>
          <w:highlight w:val="green"/>
        </w:rPr>
        <w:t>。</w:t>
      </w:r>
    </w:p>
    <w:p>
      <w:pPr>
        <w:autoSpaceDE w:val="0"/>
        <w:autoSpaceDN w:val="0"/>
        <w:ind w:firstLine="480"/>
        <w:textAlignment w:val="auto"/>
        <w:rPr>
          <w:sz w:val="24"/>
          <w:highlight w:val="green"/>
        </w:rPr>
      </w:pPr>
      <w:r>
        <w:rPr>
          <w:sz w:val="24"/>
          <w:highlight w:val="green"/>
        </w:rPr>
        <w:t>本项目为24h连续运行，因此设备噪声在昼间和夜间贡献值相同。</w:t>
      </w:r>
      <w:bookmarkEnd w:id="499"/>
    </w:p>
    <w:p>
      <w:pPr>
        <w:autoSpaceDE w:val="0"/>
        <w:autoSpaceDN w:val="0"/>
        <w:spacing w:line="240" w:lineRule="auto"/>
        <w:ind w:firstLine="0" w:firstLineChars="0"/>
        <w:jc w:val="center"/>
        <w:textAlignment w:val="auto"/>
        <w:rPr>
          <w:rFonts w:eastAsia="黑体"/>
          <w:kern w:val="2"/>
          <w:sz w:val="21"/>
          <w:szCs w:val="21"/>
          <w:highlight w:val="green"/>
        </w:rPr>
      </w:pPr>
      <w:r>
        <w:rPr>
          <w:rFonts w:eastAsia="黑体"/>
          <w:kern w:val="2"/>
          <w:sz w:val="21"/>
          <w:szCs w:val="21"/>
          <w:highlight w:val="green"/>
        </w:rPr>
        <w:t>表5.2-2</w:t>
      </w:r>
      <w:r>
        <w:rPr>
          <w:rFonts w:hint="eastAsia" w:eastAsia="黑体"/>
          <w:kern w:val="2"/>
          <w:sz w:val="21"/>
          <w:szCs w:val="21"/>
          <w:highlight w:val="green"/>
        </w:rPr>
        <w:t>9</w:t>
      </w:r>
      <w:r>
        <w:rPr>
          <w:rFonts w:eastAsia="黑体"/>
          <w:kern w:val="2"/>
          <w:sz w:val="21"/>
          <w:szCs w:val="21"/>
          <w:highlight w:val="green"/>
        </w:rPr>
        <w:t>项目厂界噪声预测结果单位：dB(A)</w:t>
      </w:r>
    </w:p>
    <w:tbl>
      <w:tblPr>
        <w:tblStyle w:val="48"/>
        <w:tblW w:w="50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400"/>
        <w:gridCol w:w="783"/>
        <w:gridCol w:w="800"/>
        <w:gridCol w:w="750"/>
        <w:gridCol w:w="750"/>
        <w:gridCol w:w="717"/>
        <w:gridCol w:w="783"/>
        <w:gridCol w:w="783"/>
        <w:gridCol w:w="567"/>
        <w:gridCol w:w="517"/>
        <w:gridCol w:w="550"/>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Merge w:val="restart"/>
            <w:vAlign w:val="center"/>
          </w:tcPr>
          <w:p>
            <w:pPr>
              <w:spacing w:line="240" w:lineRule="auto"/>
              <w:ind w:firstLine="0" w:firstLineChars="0"/>
              <w:jc w:val="center"/>
              <w:rPr>
                <w:bCs/>
                <w:sz w:val="21"/>
                <w:szCs w:val="21"/>
                <w:highlight w:val="green"/>
              </w:rPr>
            </w:pPr>
            <w:r>
              <w:rPr>
                <w:rFonts w:hint="eastAsia"/>
                <w:bCs/>
                <w:sz w:val="21"/>
                <w:szCs w:val="21"/>
                <w:highlight w:val="green"/>
              </w:rPr>
              <w:t>序号</w:t>
            </w:r>
          </w:p>
        </w:tc>
        <w:tc>
          <w:tcPr>
            <w:tcW w:w="689" w:type="pct"/>
            <w:gridSpan w:val="2"/>
            <w:vMerge w:val="restart"/>
            <w:noWrap/>
            <w:vAlign w:val="center"/>
          </w:tcPr>
          <w:p>
            <w:pPr>
              <w:spacing w:line="240" w:lineRule="auto"/>
              <w:ind w:left="-70" w:leftChars="-25" w:right="-70" w:rightChars="-25" w:firstLine="0" w:firstLineChars="0"/>
              <w:jc w:val="center"/>
              <w:rPr>
                <w:sz w:val="21"/>
                <w:szCs w:val="21"/>
                <w:highlight w:val="green"/>
              </w:rPr>
            </w:pPr>
            <w:r>
              <w:rPr>
                <w:rFonts w:hint="eastAsia"/>
                <w:sz w:val="21"/>
                <w:szCs w:val="21"/>
                <w:highlight w:val="green"/>
              </w:rPr>
              <w:t>预测点</w:t>
            </w:r>
          </w:p>
        </w:tc>
        <w:tc>
          <w:tcPr>
            <w:tcW w:w="2214" w:type="pct"/>
            <w:gridSpan w:val="5"/>
            <w:noWrap/>
            <w:vAlign w:val="center"/>
          </w:tcPr>
          <w:p>
            <w:pPr>
              <w:spacing w:line="240" w:lineRule="auto"/>
              <w:ind w:left="-70" w:leftChars="-25" w:right="-70" w:rightChars="-25" w:firstLine="0" w:firstLineChars="0"/>
              <w:jc w:val="center"/>
              <w:rPr>
                <w:sz w:val="21"/>
                <w:szCs w:val="21"/>
                <w:highlight w:val="green"/>
              </w:rPr>
            </w:pPr>
            <w:r>
              <w:rPr>
                <w:rFonts w:hint="eastAsia"/>
                <w:sz w:val="21"/>
                <w:szCs w:val="21"/>
                <w:highlight w:val="green"/>
              </w:rPr>
              <w:t>昼间</w:t>
            </w:r>
          </w:p>
        </w:tc>
        <w:tc>
          <w:tcPr>
            <w:tcW w:w="1810" w:type="pct"/>
            <w:gridSpan w:val="5"/>
            <w:noWrap/>
            <w:vAlign w:val="center"/>
          </w:tcPr>
          <w:p>
            <w:pPr>
              <w:spacing w:line="240" w:lineRule="auto"/>
              <w:ind w:left="-70" w:leftChars="-25" w:right="-70" w:rightChars="-25" w:firstLine="0" w:firstLineChars="0"/>
              <w:jc w:val="center"/>
              <w:rPr>
                <w:sz w:val="21"/>
                <w:szCs w:val="21"/>
                <w:highlight w:val="green"/>
              </w:rPr>
            </w:pPr>
            <w:r>
              <w:rPr>
                <w:rFonts w:hint="eastAsia"/>
                <w:sz w:val="21"/>
                <w:szCs w:val="21"/>
                <w:highlight w:val="gree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Merge w:val="continue"/>
            <w:vAlign w:val="center"/>
          </w:tcPr>
          <w:p>
            <w:pPr>
              <w:spacing w:line="240" w:lineRule="auto"/>
              <w:ind w:firstLine="0" w:firstLineChars="0"/>
              <w:jc w:val="center"/>
              <w:rPr>
                <w:bCs/>
                <w:sz w:val="21"/>
                <w:szCs w:val="21"/>
                <w:highlight w:val="green"/>
              </w:rPr>
            </w:pPr>
          </w:p>
        </w:tc>
        <w:tc>
          <w:tcPr>
            <w:tcW w:w="689" w:type="pct"/>
            <w:gridSpan w:val="2"/>
            <w:vMerge w:val="continue"/>
            <w:noWrap/>
            <w:vAlign w:val="center"/>
          </w:tcPr>
          <w:p>
            <w:pPr>
              <w:spacing w:line="240" w:lineRule="auto"/>
              <w:ind w:left="-70" w:leftChars="-25" w:right="-70" w:rightChars="-25" w:firstLine="0" w:firstLineChars="0"/>
              <w:jc w:val="center"/>
              <w:rPr>
                <w:sz w:val="21"/>
                <w:szCs w:val="21"/>
                <w:highlight w:val="green"/>
              </w:rPr>
            </w:pPr>
          </w:p>
        </w:tc>
        <w:tc>
          <w:tcPr>
            <w:tcW w:w="46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贡献值</w:t>
            </w:r>
          </w:p>
        </w:tc>
        <w:tc>
          <w:tcPr>
            <w:tcW w:w="437" w:type="pct"/>
            <w:noWrap/>
            <w:vAlign w:val="center"/>
          </w:tcPr>
          <w:p>
            <w:pPr>
              <w:spacing w:line="240" w:lineRule="auto"/>
              <w:ind w:left="-70" w:leftChars="-25" w:right="-70" w:rightChars="-25" w:firstLine="0" w:firstLineChars="0"/>
              <w:jc w:val="center"/>
              <w:rPr>
                <w:rFonts w:hint="default"/>
                <w:sz w:val="21"/>
                <w:szCs w:val="21"/>
                <w:highlight w:val="green"/>
                <w:lang w:val="en-US" w:eastAsia="zh-CN"/>
              </w:rPr>
            </w:pPr>
            <w:r>
              <w:rPr>
                <w:rFonts w:hint="eastAsia"/>
                <w:sz w:val="21"/>
                <w:szCs w:val="21"/>
                <w:highlight w:val="green"/>
                <w:lang w:val="en-US" w:eastAsia="zh-CN"/>
              </w:rPr>
              <w:t>现状值</w:t>
            </w:r>
          </w:p>
        </w:tc>
        <w:tc>
          <w:tcPr>
            <w:tcW w:w="437" w:type="pct"/>
            <w:noWrap/>
            <w:vAlign w:val="center"/>
          </w:tcPr>
          <w:p>
            <w:pPr>
              <w:spacing w:line="240" w:lineRule="auto"/>
              <w:ind w:left="-70" w:leftChars="-25" w:right="-70" w:rightChars="-25" w:firstLine="0" w:firstLineChars="0"/>
              <w:jc w:val="center"/>
              <w:rPr>
                <w:rFonts w:hint="eastAsia"/>
                <w:sz w:val="21"/>
                <w:szCs w:val="21"/>
                <w:highlight w:val="green"/>
                <w:lang w:val="en-US" w:eastAsia="zh-CN"/>
              </w:rPr>
            </w:pPr>
            <w:r>
              <w:rPr>
                <w:rFonts w:hint="eastAsia"/>
                <w:sz w:val="21"/>
                <w:szCs w:val="21"/>
                <w:highlight w:val="green"/>
                <w:lang w:val="en-US" w:eastAsia="zh-CN"/>
              </w:rPr>
              <w:t>预测值</w:t>
            </w:r>
          </w:p>
        </w:tc>
        <w:tc>
          <w:tcPr>
            <w:tcW w:w="417"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标准值</w:t>
            </w:r>
          </w:p>
        </w:tc>
        <w:tc>
          <w:tcPr>
            <w:tcW w:w="456"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情况</w:t>
            </w:r>
          </w:p>
        </w:tc>
        <w:tc>
          <w:tcPr>
            <w:tcW w:w="45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贡献值</w:t>
            </w:r>
          </w:p>
        </w:tc>
        <w:tc>
          <w:tcPr>
            <w:tcW w:w="330"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lang w:val="en-US" w:eastAsia="zh-CN"/>
              </w:rPr>
              <w:t>现状值</w:t>
            </w:r>
          </w:p>
        </w:tc>
        <w:tc>
          <w:tcPr>
            <w:tcW w:w="301"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lang w:val="en-US" w:eastAsia="zh-CN"/>
              </w:rPr>
              <w:t>预测值</w:t>
            </w:r>
          </w:p>
        </w:tc>
        <w:tc>
          <w:tcPr>
            <w:tcW w:w="320"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标准值</w:t>
            </w:r>
          </w:p>
        </w:tc>
        <w:tc>
          <w:tcPr>
            <w:tcW w:w="401"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Align w:val="center"/>
          </w:tcPr>
          <w:p>
            <w:pPr>
              <w:spacing w:line="240" w:lineRule="auto"/>
              <w:ind w:firstLine="0" w:firstLineChars="0"/>
              <w:jc w:val="center"/>
              <w:rPr>
                <w:bCs/>
                <w:sz w:val="21"/>
                <w:szCs w:val="21"/>
                <w:highlight w:val="green"/>
              </w:rPr>
            </w:pPr>
            <w:r>
              <w:rPr>
                <w:rFonts w:hint="eastAsia"/>
                <w:bCs/>
                <w:sz w:val="21"/>
                <w:szCs w:val="21"/>
                <w:highlight w:val="green"/>
              </w:rPr>
              <w:t>1#</w:t>
            </w:r>
          </w:p>
        </w:tc>
        <w:tc>
          <w:tcPr>
            <w:tcW w:w="233" w:type="pct"/>
            <w:vMerge w:val="restart"/>
            <w:noWrap/>
            <w:vAlign w:val="center"/>
          </w:tcPr>
          <w:p>
            <w:pPr>
              <w:spacing w:line="240" w:lineRule="auto"/>
              <w:ind w:left="-70" w:leftChars="-25" w:right="-70" w:rightChars="-25" w:firstLine="0" w:firstLineChars="0"/>
              <w:jc w:val="center"/>
              <w:rPr>
                <w:sz w:val="21"/>
                <w:szCs w:val="21"/>
                <w:highlight w:val="green"/>
              </w:rPr>
            </w:pPr>
            <w:r>
              <w:rPr>
                <w:rFonts w:hint="eastAsia"/>
                <w:sz w:val="21"/>
                <w:szCs w:val="21"/>
                <w:highlight w:val="green"/>
                <w:lang w:val="en-US" w:eastAsia="zh-CN"/>
              </w:rPr>
              <w:t>南</w:t>
            </w:r>
            <w:r>
              <w:rPr>
                <w:rFonts w:hint="eastAsia"/>
                <w:sz w:val="21"/>
                <w:szCs w:val="21"/>
                <w:highlight w:val="green"/>
              </w:rPr>
              <w:t>厂区</w:t>
            </w:r>
          </w:p>
        </w:tc>
        <w:tc>
          <w:tcPr>
            <w:tcW w:w="456" w:type="pct"/>
            <w:vAlign w:val="center"/>
          </w:tcPr>
          <w:p>
            <w:pPr>
              <w:spacing w:line="240" w:lineRule="auto"/>
              <w:ind w:left="-70" w:leftChars="-25" w:right="-70" w:rightChars="-25" w:firstLine="0" w:firstLineChars="0"/>
              <w:jc w:val="center"/>
              <w:rPr>
                <w:sz w:val="21"/>
                <w:szCs w:val="21"/>
                <w:highlight w:val="green"/>
              </w:rPr>
            </w:pPr>
            <w:r>
              <w:rPr>
                <w:rFonts w:hint="eastAsia"/>
                <w:sz w:val="21"/>
                <w:szCs w:val="21"/>
                <w:highlight w:val="green"/>
              </w:rPr>
              <w:t>东厂界</w:t>
            </w:r>
          </w:p>
        </w:tc>
        <w:tc>
          <w:tcPr>
            <w:tcW w:w="46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44.0</w:t>
            </w:r>
          </w:p>
        </w:tc>
        <w:tc>
          <w:tcPr>
            <w:tcW w:w="437"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437"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417"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60</w:t>
            </w:r>
          </w:p>
        </w:tc>
        <w:tc>
          <w:tcPr>
            <w:tcW w:w="456"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tc>
        <w:tc>
          <w:tcPr>
            <w:tcW w:w="45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44.0</w:t>
            </w:r>
          </w:p>
        </w:tc>
        <w:tc>
          <w:tcPr>
            <w:tcW w:w="330"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301"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320"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50</w:t>
            </w:r>
          </w:p>
        </w:tc>
        <w:tc>
          <w:tcPr>
            <w:tcW w:w="401"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Align w:val="center"/>
          </w:tcPr>
          <w:p>
            <w:pPr>
              <w:spacing w:line="240" w:lineRule="auto"/>
              <w:ind w:firstLine="0" w:firstLineChars="0"/>
              <w:jc w:val="center"/>
              <w:rPr>
                <w:bCs/>
                <w:sz w:val="21"/>
                <w:szCs w:val="21"/>
                <w:highlight w:val="green"/>
              </w:rPr>
            </w:pPr>
            <w:r>
              <w:rPr>
                <w:rFonts w:hint="eastAsia"/>
                <w:bCs/>
                <w:sz w:val="21"/>
                <w:szCs w:val="21"/>
                <w:highlight w:val="green"/>
              </w:rPr>
              <w:t>2#</w:t>
            </w:r>
          </w:p>
        </w:tc>
        <w:tc>
          <w:tcPr>
            <w:tcW w:w="233" w:type="pct"/>
            <w:vMerge w:val="continue"/>
            <w:noWrap/>
            <w:vAlign w:val="center"/>
          </w:tcPr>
          <w:p>
            <w:pPr>
              <w:spacing w:line="240" w:lineRule="auto"/>
              <w:ind w:left="-70" w:leftChars="-25" w:right="-70" w:rightChars="-25" w:firstLine="0" w:firstLineChars="0"/>
              <w:jc w:val="center"/>
              <w:rPr>
                <w:sz w:val="21"/>
                <w:szCs w:val="21"/>
                <w:highlight w:val="green"/>
              </w:rPr>
            </w:pPr>
          </w:p>
        </w:tc>
        <w:tc>
          <w:tcPr>
            <w:tcW w:w="456" w:type="pct"/>
            <w:vAlign w:val="center"/>
          </w:tcPr>
          <w:p>
            <w:pPr>
              <w:spacing w:line="240" w:lineRule="auto"/>
              <w:ind w:left="-70" w:leftChars="-25" w:right="-70" w:rightChars="-25" w:firstLine="0" w:firstLineChars="0"/>
              <w:jc w:val="center"/>
              <w:rPr>
                <w:sz w:val="21"/>
                <w:szCs w:val="21"/>
                <w:highlight w:val="green"/>
              </w:rPr>
            </w:pPr>
            <w:r>
              <w:rPr>
                <w:rFonts w:hint="eastAsia"/>
                <w:sz w:val="21"/>
                <w:szCs w:val="21"/>
                <w:highlight w:val="green"/>
              </w:rPr>
              <w:t>南厂界</w:t>
            </w:r>
          </w:p>
        </w:tc>
        <w:tc>
          <w:tcPr>
            <w:tcW w:w="46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37.8</w:t>
            </w:r>
          </w:p>
        </w:tc>
        <w:tc>
          <w:tcPr>
            <w:tcW w:w="437"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437"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417"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60</w:t>
            </w:r>
          </w:p>
        </w:tc>
        <w:tc>
          <w:tcPr>
            <w:tcW w:w="456"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tc>
        <w:tc>
          <w:tcPr>
            <w:tcW w:w="45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37.8</w:t>
            </w:r>
          </w:p>
        </w:tc>
        <w:tc>
          <w:tcPr>
            <w:tcW w:w="330"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301"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320"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50</w:t>
            </w:r>
          </w:p>
        </w:tc>
        <w:tc>
          <w:tcPr>
            <w:tcW w:w="401"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Align w:val="center"/>
          </w:tcPr>
          <w:p>
            <w:pPr>
              <w:spacing w:line="240" w:lineRule="auto"/>
              <w:ind w:firstLine="0" w:firstLineChars="0"/>
              <w:jc w:val="center"/>
              <w:rPr>
                <w:bCs/>
                <w:sz w:val="21"/>
                <w:szCs w:val="21"/>
                <w:highlight w:val="green"/>
              </w:rPr>
            </w:pPr>
            <w:r>
              <w:rPr>
                <w:rFonts w:hint="eastAsia"/>
                <w:bCs/>
                <w:sz w:val="21"/>
                <w:szCs w:val="21"/>
                <w:highlight w:val="green"/>
              </w:rPr>
              <w:t>3#</w:t>
            </w:r>
          </w:p>
        </w:tc>
        <w:tc>
          <w:tcPr>
            <w:tcW w:w="233" w:type="pct"/>
            <w:vMerge w:val="continue"/>
            <w:noWrap/>
            <w:vAlign w:val="center"/>
          </w:tcPr>
          <w:p>
            <w:pPr>
              <w:spacing w:line="240" w:lineRule="auto"/>
              <w:ind w:left="-70" w:leftChars="-25" w:right="-70" w:rightChars="-25" w:firstLine="0" w:firstLineChars="0"/>
              <w:jc w:val="center"/>
              <w:rPr>
                <w:sz w:val="21"/>
                <w:szCs w:val="21"/>
                <w:highlight w:val="green"/>
              </w:rPr>
            </w:pPr>
          </w:p>
        </w:tc>
        <w:tc>
          <w:tcPr>
            <w:tcW w:w="456" w:type="pct"/>
            <w:vAlign w:val="center"/>
          </w:tcPr>
          <w:p>
            <w:pPr>
              <w:spacing w:line="240" w:lineRule="auto"/>
              <w:ind w:left="-70" w:leftChars="-25" w:right="-70" w:rightChars="-25" w:firstLine="0" w:firstLineChars="0"/>
              <w:jc w:val="center"/>
              <w:rPr>
                <w:sz w:val="21"/>
                <w:szCs w:val="21"/>
                <w:highlight w:val="green"/>
              </w:rPr>
            </w:pPr>
            <w:r>
              <w:rPr>
                <w:rFonts w:hint="eastAsia"/>
                <w:sz w:val="21"/>
                <w:szCs w:val="21"/>
                <w:highlight w:val="green"/>
              </w:rPr>
              <w:t>西厂界</w:t>
            </w:r>
          </w:p>
        </w:tc>
        <w:tc>
          <w:tcPr>
            <w:tcW w:w="46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20.2</w:t>
            </w:r>
          </w:p>
        </w:tc>
        <w:tc>
          <w:tcPr>
            <w:tcW w:w="437"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437"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417"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60</w:t>
            </w:r>
          </w:p>
        </w:tc>
        <w:tc>
          <w:tcPr>
            <w:tcW w:w="456"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tc>
        <w:tc>
          <w:tcPr>
            <w:tcW w:w="45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20.2</w:t>
            </w:r>
          </w:p>
        </w:tc>
        <w:tc>
          <w:tcPr>
            <w:tcW w:w="330"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301"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320"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50</w:t>
            </w:r>
          </w:p>
        </w:tc>
        <w:tc>
          <w:tcPr>
            <w:tcW w:w="401"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Align w:val="center"/>
          </w:tcPr>
          <w:p>
            <w:pPr>
              <w:spacing w:line="240" w:lineRule="auto"/>
              <w:ind w:firstLine="0" w:firstLineChars="0"/>
              <w:jc w:val="center"/>
              <w:rPr>
                <w:bCs/>
                <w:sz w:val="21"/>
                <w:szCs w:val="21"/>
                <w:highlight w:val="green"/>
              </w:rPr>
            </w:pPr>
            <w:r>
              <w:rPr>
                <w:rFonts w:hint="eastAsia"/>
                <w:bCs/>
                <w:sz w:val="21"/>
                <w:szCs w:val="21"/>
                <w:highlight w:val="green"/>
              </w:rPr>
              <w:t>4#</w:t>
            </w:r>
          </w:p>
        </w:tc>
        <w:tc>
          <w:tcPr>
            <w:tcW w:w="233" w:type="pct"/>
            <w:vMerge w:val="continue"/>
            <w:noWrap/>
            <w:vAlign w:val="center"/>
          </w:tcPr>
          <w:p>
            <w:pPr>
              <w:spacing w:line="240" w:lineRule="auto"/>
              <w:ind w:left="-70" w:leftChars="-25" w:right="-70" w:rightChars="-25" w:firstLine="0" w:firstLineChars="0"/>
              <w:jc w:val="center"/>
              <w:rPr>
                <w:sz w:val="21"/>
                <w:szCs w:val="21"/>
                <w:highlight w:val="green"/>
              </w:rPr>
            </w:pPr>
          </w:p>
        </w:tc>
        <w:tc>
          <w:tcPr>
            <w:tcW w:w="456" w:type="pct"/>
            <w:vAlign w:val="center"/>
          </w:tcPr>
          <w:p>
            <w:pPr>
              <w:spacing w:line="240" w:lineRule="auto"/>
              <w:ind w:left="-70" w:leftChars="-25" w:right="-70" w:rightChars="-25" w:firstLine="0" w:firstLineChars="0"/>
              <w:jc w:val="center"/>
              <w:rPr>
                <w:sz w:val="21"/>
                <w:szCs w:val="21"/>
                <w:highlight w:val="green"/>
              </w:rPr>
            </w:pPr>
            <w:r>
              <w:rPr>
                <w:rFonts w:hint="eastAsia"/>
                <w:sz w:val="21"/>
                <w:szCs w:val="21"/>
                <w:highlight w:val="green"/>
              </w:rPr>
              <w:t>北厂界</w:t>
            </w:r>
          </w:p>
        </w:tc>
        <w:tc>
          <w:tcPr>
            <w:tcW w:w="46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37.1</w:t>
            </w:r>
          </w:p>
        </w:tc>
        <w:tc>
          <w:tcPr>
            <w:tcW w:w="437"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437"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417"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60</w:t>
            </w:r>
          </w:p>
        </w:tc>
        <w:tc>
          <w:tcPr>
            <w:tcW w:w="456"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tc>
        <w:tc>
          <w:tcPr>
            <w:tcW w:w="456" w:type="pct"/>
            <w:noWrap/>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37.1</w:t>
            </w:r>
          </w:p>
        </w:tc>
        <w:tc>
          <w:tcPr>
            <w:tcW w:w="330"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301" w:type="pct"/>
            <w:noWrap/>
            <w:vAlign w:val="center"/>
          </w:tcPr>
          <w:p>
            <w:pPr>
              <w:spacing w:line="240" w:lineRule="auto"/>
              <w:ind w:left="-70" w:leftChars="-25" w:right="-70" w:rightChars="-25" w:firstLine="0" w:firstLineChars="0"/>
              <w:jc w:val="center"/>
              <w:rPr>
                <w:rFonts w:hint="eastAsia"/>
                <w:sz w:val="21"/>
                <w:szCs w:val="21"/>
                <w:highlight w:val="green"/>
              </w:rPr>
            </w:pPr>
          </w:p>
        </w:tc>
        <w:tc>
          <w:tcPr>
            <w:tcW w:w="320"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50</w:t>
            </w:r>
          </w:p>
        </w:tc>
        <w:tc>
          <w:tcPr>
            <w:tcW w:w="401" w:type="pct"/>
            <w:vAlign w:val="center"/>
          </w:tcPr>
          <w:p>
            <w:pPr>
              <w:spacing w:line="240" w:lineRule="auto"/>
              <w:ind w:left="-70" w:leftChars="-25" w:right="-70" w:rightChars="-25" w:firstLine="0" w:firstLineChars="0"/>
              <w:jc w:val="center"/>
              <w:rPr>
                <w:rFonts w:hint="eastAsia"/>
                <w:sz w:val="21"/>
                <w:szCs w:val="21"/>
                <w:highlight w:val="green"/>
              </w:rPr>
            </w:pPr>
            <w:r>
              <w:rPr>
                <w:rFonts w:hint="eastAsia"/>
                <w:sz w:val="21"/>
                <w:szCs w:val="21"/>
                <w:highlight w:val="green"/>
              </w:rPr>
              <w:t>达标</w:t>
            </w:r>
          </w:p>
        </w:tc>
      </w:tr>
    </w:tbl>
    <w:p>
      <w:pPr>
        <w:autoSpaceDE w:val="0"/>
        <w:autoSpaceDN w:val="0"/>
        <w:spacing w:line="240" w:lineRule="auto"/>
        <w:ind w:firstLine="0" w:firstLineChars="0"/>
        <w:jc w:val="center"/>
        <w:textAlignment w:val="auto"/>
        <w:rPr>
          <w:rFonts w:eastAsia="黑体"/>
          <w:bCs/>
          <w:kern w:val="2"/>
          <w:sz w:val="21"/>
          <w:szCs w:val="21"/>
          <w:highlight w:val="green"/>
        </w:rPr>
      </w:pPr>
      <w:r>
        <w:rPr>
          <w:rFonts w:eastAsia="黑体"/>
          <w:bCs/>
          <w:kern w:val="2"/>
          <w:sz w:val="21"/>
          <w:szCs w:val="21"/>
          <w:highlight w:val="green"/>
        </w:rPr>
        <w:pict>
          <v:shape id="_x0000_s1191" o:spid="_x0000_s1191" o:spt="202" type="#_x0000_t202" style="position:absolute;left:0pt;margin-left:129.15pt;margin-top:517.15pt;height:34.1pt;width:207pt;z-index:251665408;mso-width-relative:page;mso-height-relative:page;" filled="f" stroked="f" coordsize="21600,21600">
            <v:path/>
            <v:fill on="f" focussize="0,0"/>
            <v:stroke on="f" joinstyle="miter"/>
            <v:imagedata o:title=""/>
            <o:lock v:ext="edit"/>
            <v:textbox>
              <w:txbxContent>
                <w:p>
                  <w:pPr>
                    <w:spacing w:line="240" w:lineRule="auto"/>
                    <w:ind w:firstLine="0" w:firstLineChars="0"/>
                    <w:jc w:val="center"/>
                    <w:textAlignment w:val="auto"/>
                    <w:rPr>
                      <w:rFonts w:ascii="黑体" w:hAnsi="黑体" w:eastAsia="黑体"/>
                      <w:kern w:val="2"/>
                      <w:sz w:val="21"/>
                      <w:szCs w:val="21"/>
                    </w:rPr>
                  </w:pPr>
                </w:p>
              </w:txbxContent>
            </v:textbox>
          </v:shape>
        </w:pict>
      </w:r>
    </w:p>
    <w:p>
      <w:pPr>
        <w:spacing w:before="120" w:beforeLines="50"/>
        <w:ind w:firstLine="480"/>
        <w:rPr>
          <w:sz w:val="24"/>
          <w:szCs w:val="24"/>
          <w:highlight w:val="green"/>
        </w:rPr>
      </w:pPr>
      <w:r>
        <w:rPr>
          <w:sz w:val="24"/>
          <w:szCs w:val="24"/>
          <w:highlight w:val="green"/>
        </w:rPr>
        <w:t>由以上预测分析知：项目主要噪声源经采取基础减振、吸声材料等降噪措施，并经一定距离衰减后，噪声贡献值较小，项目各厂界噪声均能够满足《工业企业厂界环境噪声排放标准》（GB12348-2008）2类标准要求。距离本项目的最近敏感点为厂界东侧的西新店子村，最近距离约为</w:t>
      </w:r>
      <w:r>
        <w:rPr>
          <w:rFonts w:hint="eastAsia"/>
          <w:sz w:val="24"/>
          <w:szCs w:val="24"/>
          <w:highlight w:val="green"/>
        </w:rPr>
        <w:t>6</w:t>
      </w:r>
      <w:r>
        <w:rPr>
          <w:sz w:val="24"/>
          <w:szCs w:val="24"/>
          <w:highlight w:val="green"/>
        </w:rPr>
        <w:t>20m，本项目排放的噪声不会</w:t>
      </w:r>
      <w:r>
        <w:rPr>
          <w:rFonts w:hint="eastAsia"/>
          <w:sz w:val="24"/>
          <w:szCs w:val="24"/>
          <w:highlight w:val="green"/>
        </w:rPr>
        <w:t>改变</w:t>
      </w:r>
      <w:r>
        <w:rPr>
          <w:sz w:val="24"/>
          <w:szCs w:val="24"/>
          <w:highlight w:val="green"/>
        </w:rPr>
        <w:t>其声环境现状。</w:t>
      </w:r>
    </w:p>
    <w:p>
      <w:pPr>
        <w:pStyle w:val="3"/>
        <w:numPr>
          <w:ilvl w:val="3"/>
          <w:numId w:val="1"/>
        </w:numPr>
        <w:ind w:left="709" w:hanging="709"/>
        <w:rPr>
          <w:rFonts w:eastAsia="宋体"/>
          <w:b/>
          <w:highlight w:val="none"/>
        </w:rPr>
      </w:pPr>
      <w:r>
        <w:rPr>
          <w:rFonts w:eastAsia="宋体"/>
          <w:b/>
          <w:highlight w:val="none"/>
        </w:rPr>
        <w:t>声环境影响评价结论</w:t>
      </w:r>
    </w:p>
    <w:p>
      <w:pPr>
        <w:ind w:firstLine="480"/>
        <w:rPr>
          <w:sz w:val="24"/>
          <w:szCs w:val="24"/>
          <w:highlight w:val="none"/>
        </w:rPr>
      </w:pPr>
      <w:bookmarkStart w:id="500" w:name="_Hlk522133038"/>
      <w:r>
        <w:rPr>
          <w:sz w:val="24"/>
          <w:szCs w:val="24"/>
          <w:highlight w:val="none"/>
        </w:rPr>
        <w:t>本项目噪声源主要来自生产过程中各种设备运行噪声，在采取本报告提出的噪声防治措施，再经墙体阻隔、距离衰减后，项目各种设备运转噪声对厂界处的噪声贡献值不大，经预测，项目厂界四周噪声贡献值均能达到《工业企业厂界环境噪声排放标准》（GB12348-2008）中的2类标准限值。本项目周边200m范围内无敏感点。因此，本项目的建设对项目所在地声环境影响较小。</w:t>
      </w:r>
      <w:bookmarkEnd w:id="500"/>
    </w:p>
    <w:p>
      <w:pPr>
        <w:pStyle w:val="6"/>
        <w:numPr>
          <w:ilvl w:val="2"/>
          <w:numId w:val="1"/>
        </w:numPr>
        <w:spacing w:before="0" w:after="0"/>
        <w:ind w:left="567"/>
        <w:rPr>
          <w:szCs w:val="28"/>
          <w:highlight w:val="none"/>
        </w:rPr>
      </w:pPr>
      <w:bookmarkStart w:id="501" w:name="_Toc521591801"/>
      <w:bookmarkStart w:id="502" w:name="_Toc29381"/>
      <w:r>
        <w:rPr>
          <w:szCs w:val="28"/>
          <w:highlight w:val="none"/>
        </w:rPr>
        <w:t>固体废物环境的影响分析</w:t>
      </w:r>
      <w:bookmarkEnd w:id="501"/>
      <w:bookmarkEnd w:id="502"/>
    </w:p>
    <w:p>
      <w:pPr>
        <w:pStyle w:val="3"/>
        <w:numPr>
          <w:ilvl w:val="3"/>
          <w:numId w:val="1"/>
        </w:numPr>
        <w:ind w:left="709" w:hanging="709"/>
        <w:rPr>
          <w:rFonts w:eastAsia="宋体"/>
          <w:b/>
          <w:highlight w:val="none"/>
        </w:rPr>
      </w:pPr>
      <w:r>
        <w:rPr>
          <w:rFonts w:eastAsia="宋体"/>
          <w:b/>
          <w:highlight w:val="none"/>
        </w:rPr>
        <w:t>固体废物产排情况</w:t>
      </w:r>
    </w:p>
    <w:p>
      <w:pPr>
        <w:autoSpaceDE w:val="0"/>
        <w:autoSpaceDN w:val="0"/>
        <w:ind w:firstLine="480"/>
        <w:jc w:val="both"/>
        <w:textAlignment w:val="auto"/>
        <w:rPr>
          <w:sz w:val="24"/>
          <w:highlight w:val="none"/>
        </w:rPr>
      </w:pPr>
      <w:r>
        <w:rPr>
          <w:sz w:val="24"/>
          <w:highlight w:val="none"/>
        </w:rPr>
        <w:t>根据工程分析可知，本项目产生一般固体废物主要为生产过程中产生的</w:t>
      </w:r>
      <w:bookmarkStart w:id="503" w:name="_Hlk522135292"/>
      <w:r>
        <w:rPr>
          <w:sz w:val="24"/>
          <w:highlight w:val="none"/>
        </w:rPr>
        <w:t>尾矿砂、除尘器收集的粉尘、废钢球</w:t>
      </w:r>
      <w:bookmarkEnd w:id="503"/>
      <w:r>
        <w:rPr>
          <w:sz w:val="24"/>
          <w:highlight w:val="none"/>
        </w:rPr>
        <w:t>，危险废物主要是</w:t>
      </w:r>
      <w:r>
        <w:rPr>
          <w:rFonts w:hint="eastAsia"/>
          <w:sz w:val="24"/>
          <w:highlight w:val="none"/>
        </w:rPr>
        <w:t>废矿物油</w:t>
      </w:r>
      <w:r>
        <w:rPr>
          <w:sz w:val="24"/>
          <w:highlight w:val="none"/>
        </w:rPr>
        <w:t>、废油桶，及少量生活垃圾。项目营运期固体废物产生情况及处置措施见表5.2-</w:t>
      </w:r>
      <w:r>
        <w:rPr>
          <w:rFonts w:hint="eastAsia"/>
          <w:sz w:val="24"/>
          <w:highlight w:val="none"/>
        </w:rPr>
        <w:t>30</w:t>
      </w:r>
      <w:r>
        <w:rPr>
          <w:sz w:val="24"/>
          <w:highlight w:val="none"/>
        </w:rPr>
        <w:t>。</w:t>
      </w:r>
    </w:p>
    <w:p>
      <w:pPr>
        <w:autoSpaceDE w:val="0"/>
        <w:autoSpaceDN w:val="0"/>
        <w:spacing w:line="240" w:lineRule="auto"/>
        <w:ind w:firstLine="0" w:firstLineChars="0"/>
        <w:jc w:val="center"/>
        <w:textAlignment w:val="auto"/>
        <w:rPr>
          <w:rFonts w:eastAsia="黑体"/>
          <w:bCs/>
          <w:kern w:val="2"/>
          <w:sz w:val="21"/>
          <w:szCs w:val="21"/>
          <w:highlight w:val="none"/>
        </w:rPr>
      </w:pPr>
      <w:r>
        <w:rPr>
          <w:rFonts w:eastAsia="黑体"/>
          <w:bCs/>
          <w:kern w:val="2"/>
          <w:sz w:val="21"/>
          <w:szCs w:val="21"/>
          <w:highlight w:val="none"/>
        </w:rPr>
        <w:t>表5.2-</w:t>
      </w:r>
      <w:r>
        <w:rPr>
          <w:rFonts w:hint="eastAsia" w:eastAsia="黑体"/>
          <w:bCs/>
          <w:kern w:val="2"/>
          <w:sz w:val="21"/>
          <w:szCs w:val="21"/>
          <w:highlight w:val="none"/>
        </w:rPr>
        <w:t>30</w:t>
      </w:r>
      <w:r>
        <w:rPr>
          <w:rFonts w:eastAsia="黑体"/>
          <w:bCs/>
          <w:kern w:val="2"/>
          <w:sz w:val="21"/>
          <w:szCs w:val="21"/>
          <w:highlight w:val="none"/>
        </w:rPr>
        <w:t>固体废物产生情况及处置措施一览表</w:t>
      </w:r>
    </w:p>
    <w:tbl>
      <w:tblPr>
        <w:tblStyle w:val="48"/>
        <w:tblW w:w="8429"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517"/>
        <w:gridCol w:w="1948"/>
        <w:gridCol w:w="1019"/>
        <w:gridCol w:w="2996"/>
        <w:gridCol w:w="949"/>
      </w:tblGrid>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tblHeader/>
        </w:trPr>
        <w:tc>
          <w:tcPr>
            <w:tcW w:w="1517" w:type="dxa"/>
            <w:vAlign w:val="center"/>
          </w:tcPr>
          <w:p>
            <w:pPr>
              <w:spacing w:line="240" w:lineRule="auto"/>
              <w:ind w:firstLine="0" w:firstLineChars="0"/>
              <w:jc w:val="center"/>
              <w:rPr>
                <w:sz w:val="21"/>
                <w:szCs w:val="21"/>
                <w:highlight w:val="none"/>
              </w:rPr>
            </w:pPr>
            <w:r>
              <w:rPr>
                <w:sz w:val="21"/>
                <w:szCs w:val="21"/>
                <w:highlight w:val="none"/>
              </w:rPr>
              <w:t>产生环节</w:t>
            </w:r>
          </w:p>
        </w:tc>
        <w:tc>
          <w:tcPr>
            <w:tcW w:w="1948" w:type="dxa"/>
            <w:vAlign w:val="center"/>
          </w:tcPr>
          <w:p>
            <w:pPr>
              <w:spacing w:line="240" w:lineRule="auto"/>
              <w:ind w:firstLine="0" w:firstLineChars="0"/>
              <w:jc w:val="center"/>
              <w:rPr>
                <w:sz w:val="21"/>
                <w:szCs w:val="21"/>
                <w:highlight w:val="none"/>
              </w:rPr>
            </w:pPr>
            <w:r>
              <w:rPr>
                <w:sz w:val="21"/>
                <w:szCs w:val="21"/>
                <w:highlight w:val="none"/>
              </w:rPr>
              <w:t>名称</w:t>
            </w:r>
          </w:p>
        </w:tc>
        <w:tc>
          <w:tcPr>
            <w:tcW w:w="1019" w:type="dxa"/>
            <w:vAlign w:val="center"/>
          </w:tcPr>
          <w:p>
            <w:pPr>
              <w:spacing w:line="240" w:lineRule="auto"/>
              <w:ind w:firstLine="0" w:firstLineChars="0"/>
              <w:jc w:val="center"/>
              <w:rPr>
                <w:sz w:val="21"/>
                <w:szCs w:val="21"/>
                <w:highlight w:val="none"/>
              </w:rPr>
            </w:pPr>
            <w:r>
              <w:rPr>
                <w:sz w:val="21"/>
                <w:szCs w:val="21"/>
                <w:highlight w:val="none"/>
              </w:rPr>
              <w:t>产生量</w:t>
            </w:r>
          </w:p>
          <w:p>
            <w:pPr>
              <w:spacing w:line="240" w:lineRule="auto"/>
              <w:ind w:firstLine="0" w:firstLineChars="0"/>
              <w:jc w:val="center"/>
              <w:rPr>
                <w:sz w:val="21"/>
                <w:szCs w:val="21"/>
                <w:highlight w:val="none"/>
              </w:rPr>
            </w:pPr>
            <w:r>
              <w:rPr>
                <w:sz w:val="21"/>
                <w:szCs w:val="21"/>
                <w:highlight w:val="none"/>
              </w:rPr>
              <w:t>（t/a）</w:t>
            </w:r>
          </w:p>
        </w:tc>
        <w:tc>
          <w:tcPr>
            <w:tcW w:w="2996" w:type="dxa"/>
            <w:vAlign w:val="center"/>
          </w:tcPr>
          <w:p>
            <w:pPr>
              <w:spacing w:line="240" w:lineRule="auto"/>
              <w:ind w:firstLine="0" w:firstLineChars="0"/>
              <w:jc w:val="center"/>
              <w:rPr>
                <w:sz w:val="21"/>
                <w:szCs w:val="21"/>
                <w:highlight w:val="none"/>
              </w:rPr>
            </w:pPr>
            <w:r>
              <w:rPr>
                <w:sz w:val="21"/>
                <w:szCs w:val="21"/>
                <w:highlight w:val="none"/>
              </w:rPr>
              <w:t>处置措施</w:t>
            </w:r>
          </w:p>
        </w:tc>
        <w:tc>
          <w:tcPr>
            <w:tcW w:w="949" w:type="dxa"/>
            <w:vAlign w:val="center"/>
          </w:tcPr>
          <w:p>
            <w:pPr>
              <w:spacing w:line="240" w:lineRule="auto"/>
              <w:ind w:firstLine="0" w:firstLineChars="0"/>
              <w:jc w:val="center"/>
              <w:rPr>
                <w:sz w:val="21"/>
                <w:szCs w:val="21"/>
                <w:highlight w:val="none"/>
              </w:rPr>
            </w:pPr>
            <w:r>
              <w:rPr>
                <w:sz w:val="21"/>
                <w:szCs w:val="21"/>
                <w:highlight w:val="none"/>
              </w:rPr>
              <w:t>排放量（t/a）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452" w:hRule="atLeast"/>
        </w:trPr>
        <w:tc>
          <w:tcPr>
            <w:tcW w:w="1517" w:type="dxa"/>
            <w:vMerge w:val="restart"/>
            <w:vAlign w:val="center"/>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破碎分选</w:t>
            </w:r>
          </w:p>
        </w:tc>
        <w:tc>
          <w:tcPr>
            <w:tcW w:w="1948" w:type="dxa"/>
            <w:vAlign w:val="center"/>
          </w:tcPr>
          <w:p>
            <w:pPr>
              <w:ind w:firstLine="420"/>
              <w:rPr>
                <w:rFonts w:hint="eastAsia" w:eastAsia="宋体"/>
                <w:bCs/>
                <w:sz w:val="21"/>
                <w:szCs w:val="21"/>
                <w:highlight w:val="none"/>
                <w:lang w:eastAsia="zh-CN"/>
              </w:rPr>
            </w:pPr>
            <w:r>
              <w:rPr>
                <w:rFonts w:hint="eastAsia"/>
                <w:bCs/>
                <w:sz w:val="21"/>
                <w:szCs w:val="21"/>
                <w:highlight w:val="none"/>
                <w:lang w:val="en-US" w:eastAsia="zh-CN"/>
              </w:rPr>
              <w:t>砂石料</w:t>
            </w:r>
          </w:p>
        </w:tc>
        <w:tc>
          <w:tcPr>
            <w:tcW w:w="1019"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113125</w:t>
            </w:r>
          </w:p>
        </w:tc>
        <w:tc>
          <w:tcPr>
            <w:tcW w:w="2996" w:type="dxa"/>
            <w:vAlign w:val="center"/>
          </w:tcPr>
          <w:p>
            <w:pPr>
              <w:spacing w:line="240" w:lineRule="auto"/>
              <w:ind w:firstLine="0" w:firstLineChars="0"/>
              <w:jc w:val="center"/>
              <w:rPr>
                <w:bCs/>
                <w:sz w:val="21"/>
                <w:szCs w:val="21"/>
                <w:highlight w:val="none"/>
              </w:rPr>
            </w:pPr>
            <w:r>
              <w:rPr>
                <w:bCs/>
                <w:sz w:val="21"/>
                <w:szCs w:val="21"/>
                <w:highlight w:val="none"/>
              </w:rPr>
              <w:t>作为建筑材料外售</w:t>
            </w:r>
          </w:p>
        </w:tc>
        <w:tc>
          <w:tcPr>
            <w:tcW w:w="949"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452" w:hRule="atLeast"/>
        </w:trPr>
        <w:tc>
          <w:tcPr>
            <w:tcW w:w="1517" w:type="dxa"/>
            <w:vMerge w:val="continue"/>
            <w:vAlign w:val="center"/>
          </w:tcPr>
          <w:p>
            <w:pPr>
              <w:spacing w:line="240" w:lineRule="auto"/>
              <w:ind w:firstLine="0" w:firstLineChars="0"/>
              <w:jc w:val="center"/>
              <w:rPr>
                <w:rFonts w:hint="eastAsia"/>
                <w:bCs/>
                <w:sz w:val="21"/>
                <w:szCs w:val="21"/>
                <w:highlight w:val="none"/>
                <w:lang w:val="en-US" w:eastAsia="zh-CN"/>
              </w:rPr>
            </w:pPr>
          </w:p>
        </w:tc>
        <w:tc>
          <w:tcPr>
            <w:tcW w:w="1948" w:type="dxa"/>
            <w:vAlign w:val="center"/>
          </w:tcPr>
          <w:p>
            <w:pPr>
              <w:ind w:firstLine="420"/>
              <w:rPr>
                <w:rFonts w:hint="default"/>
                <w:bCs/>
                <w:sz w:val="21"/>
                <w:szCs w:val="21"/>
                <w:highlight w:val="none"/>
                <w:lang w:val="en-US" w:eastAsia="zh-CN"/>
              </w:rPr>
            </w:pPr>
            <w:r>
              <w:rPr>
                <w:rFonts w:hint="eastAsia"/>
                <w:bCs/>
                <w:sz w:val="21"/>
                <w:szCs w:val="21"/>
                <w:highlight w:val="none"/>
                <w:lang w:val="en-US" w:eastAsia="zh-CN"/>
              </w:rPr>
              <w:t>废钢球</w:t>
            </w:r>
          </w:p>
        </w:tc>
        <w:tc>
          <w:tcPr>
            <w:tcW w:w="1019" w:type="dxa"/>
            <w:vAlign w:val="center"/>
          </w:tcPr>
          <w:p>
            <w:pPr>
              <w:spacing w:line="240" w:lineRule="auto"/>
              <w:ind w:firstLine="0" w:firstLineChars="0"/>
              <w:jc w:val="center"/>
              <w:rPr>
                <w:rFonts w:hint="default"/>
                <w:sz w:val="21"/>
                <w:szCs w:val="21"/>
                <w:highlight w:val="none"/>
                <w:lang w:val="en-US" w:eastAsia="zh-CN"/>
              </w:rPr>
            </w:pPr>
            <w:r>
              <w:rPr>
                <w:rFonts w:hint="eastAsia"/>
                <w:sz w:val="21"/>
                <w:szCs w:val="21"/>
                <w:highlight w:val="none"/>
                <w:lang w:val="en-US" w:eastAsia="zh-CN"/>
              </w:rPr>
              <w:t>10.5</w:t>
            </w:r>
          </w:p>
        </w:tc>
        <w:tc>
          <w:tcPr>
            <w:tcW w:w="2996" w:type="dxa"/>
            <w:vAlign w:val="center"/>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由厂家回收利用</w:t>
            </w:r>
          </w:p>
        </w:tc>
        <w:tc>
          <w:tcPr>
            <w:tcW w:w="949" w:type="dxa"/>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70" w:hRule="atLeast"/>
        </w:trPr>
        <w:tc>
          <w:tcPr>
            <w:tcW w:w="1517" w:type="dxa"/>
            <w:vMerge w:val="continue"/>
            <w:vAlign w:val="center"/>
          </w:tcPr>
          <w:p>
            <w:pPr>
              <w:spacing w:line="240" w:lineRule="auto"/>
              <w:ind w:firstLine="0" w:firstLineChars="0"/>
              <w:jc w:val="center"/>
              <w:rPr>
                <w:bCs/>
                <w:sz w:val="21"/>
                <w:szCs w:val="21"/>
                <w:highlight w:val="none"/>
              </w:rPr>
            </w:pPr>
          </w:p>
        </w:tc>
        <w:tc>
          <w:tcPr>
            <w:tcW w:w="1948" w:type="dxa"/>
            <w:vAlign w:val="center"/>
          </w:tcPr>
          <w:p>
            <w:pPr>
              <w:spacing w:line="240" w:lineRule="auto"/>
              <w:ind w:firstLine="0" w:firstLineChars="0"/>
              <w:jc w:val="center"/>
              <w:rPr>
                <w:bCs/>
                <w:sz w:val="21"/>
                <w:szCs w:val="21"/>
                <w:highlight w:val="none"/>
              </w:rPr>
            </w:pPr>
            <w:r>
              <w:rPr>
                <w:rFonts w:hint="eastAsia"/>
                <w:bCs/>
                <w:sz w:val="21"/>
                <w:szCs w:val="21"/>
                <w:highlight w:val="none"/>
              </w:rPr>
              <w:t>除尘器收集的粉尘</w:t>
            </w:r>
          </w:p>
        </w:tc>
        <w:tc>
          <w:tcPr>
            <w:tcW w:w="1019" w:type="dxa"/>
            <w:vAlign w:val="center"/>
          </w:tcPr>
          <w:p>
            <w:pPr>
              <w:spacing w:line="240" w:lineRule="auto"/>
              <w:ind w:firstLine="0" w:firstLineChars="0"/>
              <w:jc w:val="center"/>
              <w:rPr>
                <w:sz w:val="21"/>
                <w:szCs w:val="21"/>
                <w:highlight w:val="none"/>
              </w:rPr>
            </w:pPr>
            <w:r>
              <w:rPr>
                <w:rFonts w:hint="eastAsia"/>
                <w:sz w:val="21"/>
                <w:szCs w:val="21"/>
                <w:highlight w:val="none"/>
              </w:rPr>
              <w:t>259.6</w:t>
            </w:r>
          </w:p>
        </w:tc>
        <w:tc>
          <w:tcPr>
            <w:tcW w:w="2996" w:type="dxa"/>
            <w:vAlign w:val="center"/>
          </w:tcPr>
          <w:p>
            <w:pPr>
              <w:spacing w:line="240" w:lineRule="auto"/>
              <w:ind w:firstLine="0" w:firstLineChars="0"/>
              <w:jc w:val="center"/>
              <w:rPr>
                <w:bCs/>
                <w:sz w:val="21"/>
                <w:szCs w:val="21"/>
                <w:highlight w:val="none"/>
              </w:rPr>
            </w:pPr>
            <w:r>
              <w:rPr>
                <w:rFonts w:hint="eastAsia"/>
                <w:bCs/>
                <w:sz w:val="21"/>
                <w:szCs w:val="21"/>
                <w:highlight w:val="none"/>
              </w:rPr>
              <w:t>进行球磨工序，回用于生产</w:t>
            </w:r>
          </w:p>
        </w:tc>
        <w:tc>
          <w:tcPr>
            <w:tcW w:w="949" w:type="dxa"/>
            <w:vAlign w:val="center"/>
          </w:tcPr>
          <w:p>
            <w:pPr>
              <w:spacing w:line="240" w:lineRule="auto"/>
              <w:ind w:firstLine="0" w:firstLineChars="0"/>
              <w:jc w:val="center"/>
              <w:rPr>
                <w:sz w:val="21"/>
                <w:szCs w:val="21"/>
                <w:highlight w:val="none"/>
              </w:rPr>
            </w:pPr>
            <w:r>
              <w:rPr>
                <w:rFonts w:hint="eastAsia"/>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70" w:hRule="atLeast"/>
        </w:trPr>
        <w:tc>
          <w:tcPr>
            <w:tcW w:w="1517" w:type="dxa"/>
            <w:vAlign w:val="center"/>
          </w:tcPr>
          <w:p>
            <w:pPr>
              <w:spacing w:line="240" w:lineRule="auto"/>
              <w:ind w:firstLine="0" w:firstLineChars="0"/>
              <w:jc w:val="center"/>
              <w:rPr>
                <w:sz w:val="21"/>
                <w:szCs w:val="21"/>
                <w:highlight w:val="none"/>
              </w:rPr>
            </w:pPr>
            <w:r>
              <w:rPr>
                <w:sz w:val="21"/>
                <w:szCs w:val="21"/>
                <w:highlight w:val="none"/>
              </w:rPr>
              <w:t>设备维护保养</w:t>
            </w:r>
          </w:p>
        </w:tc>
        <w:tc>
          <w:tcPr>
            <w:tcW w:w="1948" w:type="dxa"/>
            <w:vAlign w:val="center"/>
          </w:tcPr>
          <w:p>
            <w:pPr>
              <w:spacing w:line="240" w:lineRule="auto"/>
              <w:ind w:left="-70" w:leftChars="-25" w:right="-70" w:rightChars="-25" w:firstLine="0" w:firstLineChars="0"/>
              <w:jc w:val="center"/>
              <w:rPr>
                <w:sz w:val="21"/>
                <w:szCs w:val="21"/>
                <w:highlight w:val="none"/>
              </w:rPr>
            </w:pPr>
            <w:r>
              <w:rPr>
                <w:sz w:val="21"/>
                <w:szCs w:val="21"/>
                <w:highlight w:val="none"/>
              </w:rPr>
              <w:t>废</w:t>
            </w:r>
            <w:r>
              <w:rPr>
                <w:rFonts w:hint="eastAsia"/>
                <w:sz w:val="21"/>
                <w:szCs w:val="21"/>
                <w:highlight w:val="none"/>
              </w:rPr>
              <w:t>矿物油、</w:t>
            </w:r>
            <w:r>
              <w:rPr>
                <w:sz w:val="21"/>
                <w:szCs w:val="21"/>
                <w:highlight w:val="none"/>
              </w:rPr>
              <w:t>废油桶</w:t>
            </w:r>
          </w:p>
        </w:tc>
        <w:tc>
          <w:tcPr>
            <w:tcW w:w="1019" w:type="dxa"/>
            <w:vAlign w:val="center"/>
          </w:tcPr>
          <w:p>
            <w:pPr>
              <w:spacing w:line="240" w:lineRule="auto"/>
              <w:ind w:firstLine="0" w:firstLineChars="0"/>
              <w:jc w:val="center"/>
              <w:rPr>
                <w:bCs/>
                <w:sz w:val="21"/>
                <w:szCs w:val="21"/>
                <w:highlight w:val="none"/>
              </w:rPr>
            </w:pPr>
            <w:r>
              <w:rPr>
                <w:rFonts w:hint="eastAsia"/>
                <w:bCs/>
                <w:sz w:val="21"/>
                <w:szCs w:val="21"/>
                <w:highlight w:val="none"/>
              </w:rPr>
              <w:t>0.3</w:t>
            </w:r>
          </w:p>
        </w:tc>
        <w:tc>
          <w:tcPr>
            <w:tcW w:w="2996" w:type="dxa"/>
            <w:vAlign w:val="center"/>
          </w:tcPr>
          <w:p>
            <w:pPr>
              <w:spacing w:line="240" w:lineRule="auto"/>
              <w:ind w:firstLine="0" w:firstLineChars="0"/>
              <w:jc w:val="center"/>
              <w:rPr>
                <w:bCs/>
                <w:sz w:val="21"/>
                <w:szCs w:val="21"/>
                <w:highlight w:val="none"/>
              </w:rPr>
            </w:pPr>
            <w:r>
              <w:rPr>
                <w:bCs/>
                <w:sz w:val="21"/>
                <w:szCs w:val="21"/>
                <w:highlight w:val="none"/>
              </w:rPr>
              <w:t>收集于危废暂存间后，交由有资质的单位进行处理</w:t>
            </w:r>
          </w:p>
        </w:tc>
        <w:tc>
          <w:tcPr>
            <w:tcW w:w="949" w:type="dxa"/>
            <w:vAlign w:val="center"/>
          </w:tcPr>
          <w:p>
            <w:pPr>
              <w:spacing w:line="240" w:lineRule="auto"/>
              <w:ind w:firstLine="0" w:firstLineChars="0"/>
              <w:jc w:val="center"/>
              <w:rPr>
                <w:sz w:val="21"/>
                <w:szCs w:val="21"/>
                <w:highlight w:val="none"/>
              </w:rPr>
            </w:pPr>
            <w:r>
              <w:rPr>
                <w:sz w:val="21"/>
                <w:szCs w:val="21"/>
                <w:highlight w:val="none"/>
              </w:rPr>
              <w:t>0</w:t>
            </w:r>
          </w:p>
        </w:tc>
      </w:tr>
    </w:tbl>
    <w:p>
      <w:pPr>
        <w:pStyle w:val="3"/>
        <w:numPr>
          <w:ilvl w:val="3"/>
          <w:numId w:val="1"/>
        </w:numPr>
        <w:ind w:left="709" w:hanging="709"/>
        <w:rPr>
          <w:rFonts w:hint="default" w:eastAsia="宋体"/>
          <w:b/>
          <w:highlight w:val="none"/>
          <w:lang w:val="en-US"/>
        </w:rPr>
      </w:pPr>
      <w:r>
        <w:rPr>
          <w:rFonts w:eastAsia="宋体"/>
          <w:b/>
          <w:highlight w:val="none"/>
        </w:rPr>
        <w:t>固体废物</w:t>
      </w:r>
      <w:r>
        <w:rPr>
          <w:rFonts w:hint="eastAsia" w:eastAsia="宋体"/>
          <w:b/>
          <w:highlight w:val="none"/>
          <w:lang w:val="en-US" w:eastAsia="zh-CN"/>
        </w:rPr>
        <w:t>处置措施</w:t>
      </w:r>
    </w:p>
    <w:p>
      <w:pPr>
        <w:ind w:firstLine="480"/>
        <w:jc w:val="both"/>
        <w:textAlignment w:val="auto"/>
        <w:rPr>
          <w:rFonts w:hint="eastAsia" w:eastAsia="宋体"/>
          <w:sz w:val="24"/>
          <w:szCs w:val="24"/>
          <w:highlight w:val="none"/>
          <w:lang w:eastAsia="zh-CN"/>
        </w:rPr>
      </w:pPr>
      <w:r>
        <w:rPr>
          <w:sz w:val="24"/>
          <w:szCs w:val="24"/>
          <w:highlight w:val="none"/>
        </w:rPr>
        <w:t>（1）</w:t>
      </w:r>
      <w:r>
        <w:rPr>
          <w:rFonts w:hint="eastAsia"/>
          <w:sz w:val="24"/>
          <w:szCs w:val="24"/>
          <w:highlight w:val="none"/>
          <w:lang w:val="en-US" w:eastAsia="zh-CN"/>
        </w:rPr>
        <w:t>砂石料</w:t>
      </w:r>
    </w:p>
    <w:p>
      <w:pPr>
        <w:ind w:firstLine="480"/>
        <w:jc w:val="both"/>
        <w:rPr>
          <w:sz w:val="24"/>
          <w:highlight w:val="none"/>
        </w:rPr>
      </w:pPr>
      <w:r>
        <w:rPr>
          <w:sz w:val="24"/>
          <w:highlight w:val="none"/>
        </w:rPr>
        <w:t>本项目</w:t>
      </w:r>
      <w:r>
        <w:rPr>
          <w:rFonts w:hint="eastAsia"/>
          <w:sz w:val="24"/>
          <w:highlight w:val="none"/>
          <w:lang w:val="en-US" w:eastAsia="zh-CN"/>
        </w:rPr>
        <w:t>砂石料暂存于成品库，作为建筑材料外售</w:t>
      </w:r>
      <w:r>
        <w:rPr>
          <w:sz w:val="24"/>
          <w:highlight w:val="none"/>
        </w:rPr>
        <w:t>。</w:t>
      </w:r>
    </w:p>
    <w:p>
      <w:pPr>
        <w:numPr>
          <w:ilvl w:val="0"/>
          <w:numId w:val="4"/>
        </w:numPr>
        <w:ind w:firstLine="480"/>
        <w:rPr>
          <w:rFonts w:hint="eastAsia"/>
          <w:sz w:val="24"/>
          <w:szCs w:val="24"/>
          <w:highlight w:val="none"/>
          <w:lang w:val="en-US" w:eastAsia="zh-CN"/>
        </w:rPr>
      </w:pPr>
      <w:r>
        <w:rPr>
          <w:rFonts w:hint="eastAsia"/>
          <w:sz w:val="24"/>
          <w:szCs w:val="24"/>
          <w:highlight w:val="none"/>
          <w:lang w:val="en-US" w:eastAsia="zh-CN"/>
        </w:rPr>
        <w:t>除尘灰</w:t>
      </w:r>
    </w:p>
    <w:p>
      <w:pPr>
        <w:ind w:firstLine="480"/>
        <w:jc w:val="both"/>
        <w:rPr>
          <w:rFonts w:hint="eastAsia" w:ascii="Times New Roman" w:hAnsi="Times New Roman" w:eastAsia="宋体" w:cs="Times New Roman"/>
          <w:spacing w:val="29"/>
          <w:sz w:val="23"/>
          <w:szCs w:val="23"/>
          <w:lang w:val="en-US" w:eastAsia="zh-CN"/>
        </w:rPr>
      </w:pPr>
      <w:r>
        <w:rPr>
          <w:bCs/>
          <w:sz w:val="24"/>
          <w:szCs w:val="24"/>
          <w:highlight w:val="none"/>
        </w:rPr>
        <w:t>高效除尘器收集的粉尘量，</w:t>
      </w:r>
      <w:r>
        <w:rPr>
          <w:rFonts w:hint="eastAsia" w:ascii="Times New Roman" w:hAnsi="Times New Roman" w:eastAsia="宋体" w:cs="Times New Roman"/>
          <w:spacing w:val="8"/>
          <w:sz w:val="23"/>
          <w:szCs w:val="23"/>
          <w:lang w:val="en-US" w:eastAsia="zh-CN"/>
        </w:rPr>
        <w:t>灰仓底部设水箱，卸灰至水</w:t>
      </w:r>
      <w:r>
        <w:rPr>
          <w:rFonts w:hint="eastAsia" w:ascii="Times New Roman" w:hAnsi="Times New Roman" w:eastAsia="宋体" w:cs="Times New Roman"/>
          <w:spacing w:val="29"/>
          <w:sz w:val="23"/>
          <w:szCs w:val="23"/>
          <w:lang w:val="en-US" w:eastAsia="zh-CN"/>
        </w:rPr>
        <w:t>箱内，由渣浆泵打入球磨机回用于生产</w:t>
      </w:r>
      <w:r>
        <w:rPr>
          <w:rFonts w:hint="eastAsia" w:cs="Times New Roman"/>
          <w:spacing w:val="29"/>
          <w:sz w:val="23"/>
          <w:szCs w:val="23"/>
          <w:lang w:val="en-US" w:eastAsia="zh-CN"/>
        </w:rPr>
        <w:t>。</w:t>
      </w:r>
    </w:p>
    <w:p>
      <w:pPr>
        <w:ind w:firstLine="480"/>
        <w:jc w:val="both"/>
        <w:rPr>
          <w:bCs/>
          <w:sz w:val="24"/>
          <w:szCs w:val="24"/>
        </w:rPr>
      </w:pPr>
      <w:r>
        <w:rPr>
          <w:bCs/>
          <w:sz w:val="24"/>
          <w:szCs w:val="24"/>
        </w:rPr>
        <w:t>（</w:t>
      </w:r>
      <w:r>
        <w:rPr>
          <w:rFonts w:hint="eastAsia"/>
          <w:bCs/>
          <w:sz w:val="24"/>
          <w:szCs w:val="24"/>
          <w:lang w:val="en-US" w:eastAsia="zh-CN"/>
        </w:rPr>
        <w:t>3</w:t>
      </w:r>
      <w:r>
        <w:rPr>
          <w:bCs/>
          <w:sz w:val="24"/>
          <w:szCs w:val="24"/>
        </w:rPr>
        <w:t>）废钢球</w:t>
      </w:r>
    </w:p>
    <w:p>
      <w:pPr>
        <w:ind w:firstLine="480"/>
        <w:jc w:val="both"/>
        <w:rPr>
          <w:bCs/>
          <w:sz w:val="24"/>
          <w:szCs w:val="24"/>
        </w:rPr>
      </w:pPr>
      <w:r>
        <w:rPr>
          <w:bCs/>
          <w:sz w:val="24"/>
          <w:szCs w:val="24"/>
        </w:rPr>
        <w:t>球磨机使用的球磨钢球，随着钢球磨损而废弃。废钢球产生量约为10.5t/a，由厂家回收处理。</w:t>
      </w:r>
    </w:p>
    <w:p>
      <w:pPr>
        <w:ind w:firstLine="480"/>
        <w:jc w:val="both"/>
        <w:textAlignment w:val="auto"/>
        <w:rPr>
          <w:kern w:val="2"/>
          <w:sz w:val="24"/>
          <w:szCs w:val="24"/>
          <w:highlight w:val="none"/>
        </w:rPr>
      </w:pPr>
      <w:r>
        <w:rPr>
          <w:kern w:val="2"/>
          <w:sz w:val="24"/>
          <w:szCs w:val="24"/>
          <w:highlight w:val="none"/>
        </w:rPr>
        <w:t>（</w:t>
      </w:r>
      <w:r>
        <w:rPr>
          <w:rFonts w:hint="eastAsia"/>
          <w:kern w:val="2"/>
          <w:sz w:val="24"/>
          <w:szCs w:val="24"/>
          <w:highlight w:val="none"/>
          <w:lang w:val="en-US" w:eastAsia="zh-CN"/>
        </w:rPr>
        <w:t>4</w:t>
      </w:r>
      <w:r>
        <w:rPr>
          <w:kern w:val="2"/>
          <w:sz w:val="24"/>
          <w:szCs w:val="24"/>
          <w:highlight w:val="none"/>
        </w:rPr>
        <w:t>）危险废物</w:t>
      </w:r>
    </w:p>
    <w:p>
      <w:pPr>
        <w:ind w:firstLine="480"/>
        <w:jc w:val="both"/>
        <w:textAlignment w:val="auto"/>
        <w:rPr>
          <w:kern w:val="2"/>
          <w:sz w:val="24"/>
          <w:szCs w:val="24"/>
          <w:highlight w:val="none"/>
        </w:rPr>
      </w:pPr>
      <w:r>
        <w:rPr>
          <w:kern w:val="2"/>
          <w:sz w:val="24"/>
          <w:szCs w:val="24"/>
          <w:highlight w:val="none"/>
        </w:rPr>
        <w:t>本项目所产危险废物主要为设备维护、检修过程中产生的</w:t>
      </w:r>
      <w:r>
        <w:rPr>
          <w:rFonts w:hint="eastAsia"/>
          <w:kern w:val="2"/>
          <w:sz w:val="24"/>
          <w:szCs w:val="24"/>
          <w:highlight w:val="none"/>
        </w:rPr>
        <w:t>废矿物油</w:t>
      </w:r>
      <w:r>
        <w:rPr>
          <w:kern w:val="2"/>
          <w:sz w:val="24"/>
          <w:szCs w:val="24"/>
          <w:highlight w:val="none"/>
        </w:rPr>
        <w:t>、废油桶，其分析结果见下表5.2-3</w:t>
      </w:r>
      <w:r>
        <w:rPr>
          <w:rFonts w:hint="eastAsia"/>
          <w:kern w:val="2"/>
          <w:sz w:val="24"/>
          <w:szCs w:val="24"/>
          <w:highlight w:val="none"/>
          <w:lang w:val="en-US" w:eastAsia="zh-CN"/>
        </w:rPr>
        <w:t>1</w:t>
      </w:r>
      <w:r>
        <w:rPr>
          <w:kern w:val="2"/>
          <w:sz w:val="24"/>
          <w:szCs w:val="24"/>
          <w:highlight w:val="none"/>
        </w:rPr>
        <w:t>。</w:t>
      </w:r>
    </w:p>
    <w:p>
      <w:pPr>
        <w:autoSpaceDE w:val="0"/>
        <w:autoSpaceDN w:val="0"/>
        <w:spacing w:line="240" w:lineRule="auto"/>
        <w:ind w:firstLine="0" w:firstLineChars="0"/>
        <w:jc w:val="center"/>
        <w:textAlignment w:val="auto"/>
        <w:rPr>
          <w:rFonts w:eastAsia="黑体"/>
          <w:bCs/>
          <w:kern w:val="2"/>
          <w:sz w:val="21"/>
          <w:szCs w:val="21"/>
          <w:highlight w:val="none"/>
        </w:rPr>
      </w:pPr>
      <w:r>
        <w:rPr>
          <w:rFonts w:eastAsia="黑体"/>
          <w:bCs/>
          <w:kern w:val="2"/>
          <w:sz w:val="21"/>
          <w:szCs w:val="21"/>
          <w:highlight w:val="none"/>
        </w:rPr>
        <w:t>表5.2-3</w:t>
      </w:r>
      <w:r>
        <w:rPr>
          <w:rFonts w:hint="eastAsia" w:eastAsia="黑体"/>
          <w:bCs/>
          <w:kern w:val="2"/>
          <w:sz w:val="21"/>
          <w:szCs w:val="21"/>
          <w:highlight w:val="none"/>
          <w:lang w:val="en-US" w:eastAsia="zh-CN"/>
        </w:rPr>
        <w:t>1</w:t>
      </w:r>
      <w:r>
        <w:rPr>
          <w:rFonts w:eastAsia="黑体"/>
          <w:bCs/>
          <w:kern w:val="2"/>
          <w:sz w:val="21"/>
          <w:szCs w:val="21"/>
          <w:highlight w:val="none"/>
        </w:rPr>
        <w:t>本项目危险废物分析结果一览表</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2"/>
        <w:gridCol w:w="1244"/>
        <w:gridCol w:w="741"/>
        <w:gridCol w:w="1038"/>
        <w:gridCol w:w="536"/>
        <w:gridCol w:w="1179"/>
        <w:gridCol w:w="676"/>
        <w:gridCol w:w="775"/>
        <w:gridCol w:w="929"/>
        <w:gridCol w:w="98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0" w:hRule="atLeast"/>
          <w:tblHeader/>
          <w:jc w:val="center"/>
        </w:trPr>
        <w:tc>
          <w:tcPr>
            <w:tcW w:w="422" w:type="dxa"/>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1244" w:type="dxa"/>
            <w:vAlign w:val="center"/>
          </w:tcPr>
          <w:p>
            <w:pPr>
              <w:widowControl/>
              <w:spacing w:line="240" w:lineRule="auto"/>
              <w:ind w:firstLine="0" w:firstLineChars="0"/>
              <w:jc w:val="center"/>
              <w:rPr>
                <w:sz w:val="21"/>
                <w:szCs w:val="21"/>
                <w:highlight w:val="none"/>
              </w:rPr>
            </w:pPr>
            <w:r>
              <w:rPr>
                <w:sz w:val="21"/>
                <w:szCs w:val="21"/>
                <w:highlight w:val="none"/>
              </w:rPr>
              <w:t>固废名称</w:t>
            </w:r>
          </w:p>
        </w:tc>
        <w:tc>
          <w:tcPr>
            <w:tcW w:w="741" w:type="dxa"/>
            <w:vAlign w:val="center"/>
          </w:tcPr>
          <w:p>
            <w:pPr>
              <w:widowControl/>
              <w:spacing w:line="240" w:lineRule="auto"/>
              <w:ind w:firstLine="0" w:firstLineChars="0"/>
              <w:jc w:val="center"/>
              <w:rPr>
                <w:sz w:val="21"/>
                <w:szCs w:val="21"/>
                <w:highlight w:val="none"/>
              </w:rPr>
            </w:pPr>
            <w:r>
              <w:rPr>
                <w:sz w:val="21"/>
                <w:szCs w:val="21"/>
                <w:highlight w:val="none"/>
              </w:rPr>
              <w:t>属性</w:t>
            </w:r>
          </w:p>
        </w:tc>
        <w:tc>
          <w:tcPr>
            <w:tcW w:w="1038" w:type="dxa"/>
            <w:vAlign w:val="center"/>
          </w:tcPr>
          <w:p>
            <w:pPr>
              <w:widowControl/>
              <w:spacing w:line="240" w:lineRule="auto"/>
              <w:ind w:firstLine="0" w:firstLineChars="0"/>
              <w:jc w:val="center"/>
              <w:rPr>
                <w:sz w:val="21"/>
                <w:szCs w:val="21"/>
                <w:highlight w:val="none"/>
              </w:rPr>
            </w:pPr>
            <w:r>
              <w:rPr>
                <w:sz w:val="21"/>
                <w:szCs w:val="21"/>
                <w:highlight w:val="none"/>
              </w:rPr>
              <w:t>产生</w:t>
            </w:r>
          </w:p>
          <w:p>
            <w:pPr>
              <w:widowControl/>
              <w:spacing w:line="240" w:lineRule="auto"/>
              <w:ind w:firstLine="0" w:firstLineChars="0"/>
              <w:jc w:val="center"/>
              <w:rPr>
                <w:sz w:val="21"/>
                <w:szCs w:val="21"/>
                <w:highlight w:val="none"/>
              </w:rPr>
            </w:pPr>
            <w:r>
              <w:rPr>
                <w:sz w:val="21"/>
                <w:szCs w:val="21"/>
                <w:highlight w:val="none"/>
              </w:rPr>
              <w:t>工序</w:t>
            </w:r>
          </w:p>
        </w:tc>
        <w:tc>
          <w:tcPr>
            <w:tcW w:w="536" w:type="dxa"/>
            <w:vAlign w:val="center"/>
          </w:tcPr>
          <w:p>
            <w:pPr>
              <w:widowControl/>
              <w:spacing w:line="240" w:lineRule="auto"/>
              <w:ind w:firstLine="0" w:firstLineChars="0"/>
              <w:jc w:val="center"/>
              <w:rPr>
                <w:sz w:val="21"/>
                <w:szCs w:val="21"/>
                <w:highlight w:val="none"/>
              </w:rPr>
            </w:pPr>
            <w:r>
              <w:rPr>
                <w:sz w:val="21"/>
                <w:szCs w:val="21"/>
                <w:highlight w:val="none"/>
              </w:rPr>
              <w:t>形</w:t>
            </w:r>
          </w:p>
          <w:p>
            <w:pPr>
              <w:widowControl/>
              <w:spacing w:line="240" w:lineRule="auto"/>
              <w:ind w:firstLine="0" w:firstLineChars="0"/>
              <w:jc w:val="center"/>
              <w:rPr>
                <w:sz w:val="21"/>
                <w:szCs w:val="21"/>
                <w:highlight w:val="none"/>
              </w:rPr>
            </w:pPr>
            <w:r>
              <w:rPr>
                <w:sz w:val="21"/>
                <w:szCs w:val="21"/>
                <w:highlight w:val="none"/>
              </w:rPr>
              <w:t>态</w:t>
            </w:r>
          </w:p>
        </w:tc>
        <w:tc>
          <w:tcPr>
            <w:tcW w:w="1179" w:type="dxa"/>
            <w:vAlign w:val="center"/>
          </w:tcPr>
          <w:p>
            <w:pPr>
              <w:widowControl/>
              <w:spacing w:line="240" w:lineRule="auto"/>
              <w:ind w:firstLine="0" w:firstLineChars="0"/>
              <w:jc w:val="center"/>
              <w:rPr>
                <w:sz w:val="21"/>
                <w:szCs w:val="21"/>
                <w:highlight w:val="none"/>
              </w:rPr>
            </w:pPr>
            <w:r>
              <w:rPr>
                <w:sz w:val="21"/>
                <w:szCs w:val="21"/>
                <w:highlight w:val="none"/>
              </w:rPr>
              <w:t>主要成份</w:t>
            </w:r>
          </w:p>
        </w:tc>
        <w:tc>
          <w:tcPr>
            <w:tcW w:w="676" w:type="dxa"/>
            <w:vAlign w:val="center"/>
          </w:tcPr>
          <w:p>
            <w:pPr>
              <w:widowControl/>
              <w:spacing w:line="240" w:lineRule="auto"/>
              <w:ind w:firstLine="0" w:firstLineChars="0"/>
              <w:jc w:val="center"/>
              <w:rPr>
                <w:sz w:val="21"/>
                <w:szCs w:val="21"/>
                <w:highlight w:val="none"/>
              </w:rPr>
            </w:pPr>
            <w:r>
              <w:rPr>
                <w:sz w:val="21"/>
                <w:szCs w:val="21"/>
                <w:highlight w:val="none"/>
              </w:rPr>
              <w:t>危险特性</w:t>
            </w:r>
          </w:p>
        </w:tc>
        <w:tc>
          <w:tcPr>
            <w:tcW w:w="775" w:type="dxa"/>
            <w:vAlign w:val="center"/>
          </w:tcPr>
          <w:p>
            <w:pPr>
              <w:widowControl/>
              <w:spacing w:line="240" w:lineRule="auto"/>
              <w:ind w:firstLine="0" w:firstLineChars="0"/>
              <w:jc w:val="center"/>
              <w:rPr>
                <w:sz w:val="21"/>
                <w:szCs w:val="21"/>
                <w:highlight w:val="none"/>
              </w:rPr>
            </w:pPr>
            <w:r>
              <w:rPr>
                <w:sz w:val="21"/>
                <w:szCs w:val="21"/>
                <w:highlight w:val="none"/>
              </w:rPr>
              <w:t>废物类别</w:t>
            </w:r>
          </w:p>
        </w:tc>
        <w:tc>
          <w:tcPr>
            <w:tcW w:w="929" w:type="dxa"/>
            <w:vAlign w:val="center"/>
          </w:tcPr>
          <w:p>
            <w:pPr>
              <w:widowControl/>
              <w:spacing w:line="240" w:lineRule="auto"/>
              <w:ind w:firstLine="0" w:firstLineChars="0"/>
              <w:jc w:val="center"/>
              <w:rPr>
                <w:sz w:val="21"/>
                <w:szCs w:val="21"/>
                <w:highlight w:val="none"/>
              </w:rPr>
            </w:pPr>
            <w:r>
              <w:rPr>
                <w:sz w:val="21"/>
                <w:szCs w:val="21"/>
                <w:highlight w:val="none"/>
              </w:rPr>
              <w:t>废物</w:t>
            </w:r>
          </w:p>
          <w:p>
            <w:pPr>
              <w:widowControl/>
              <w:spacing w:line="240" w:lineRule="auto"/>
              <w:ind w:firstLine="0" w:firstLineChars="0"/>
              <w:jc w:val="center"/>
              <w:rPr>
                <w:sz w:val="21"/>
                <w:szCs w:val="21"/>
                <w:highlight w:val="none"/>
              </w:rPr>
            </w:pPr>
            <w:r>
              <w:rPr>
                <w:sz w:val="21"/>
                <w:szCs w:val="21"/>
                <w:highlight w:val="none"/>
              </w:rPr>
              <w:t>代码</w:t>
            </w:r>
          </w:p>
        </w:tc>
        <w:tc>
          <w:tcPr>
            <w:tcW w:w="988" w:type="dxa"/>
            <w:vAlign w:val="center"/>
          </w:tcPr>
          <w:p>
            <w:pPr>
              <w:widowControl/>
              <w:spacing w:line="240" w:lineRule="auto"/>
              <w:ind w:firstLine="0" w:firstLineChars="0"/>
              <w:jc w:val="center"/>
              <w:rPr>
                <w:sz w:val="21"/>
                <w:szCs w:val="21"/>
                <w:highlight w:val="none"/>
              </w:rPr>
            </w:pPr>
            <w:r>
              <w:rPr>
                <w:sz w:val="21"/>
                <w:szCs w:val="21"/>
                <w:highlight w:val="none"/>
              </w:rPr>
              <w:t>估算年</w:t>
            </w:r>
          </w:p>
          <w:p>
            <w:pPr>
              <w:widowControl/>
              <w:spacing w:line="240" w:lineRule="auto"/>
              <w:ind w:firstLine="0" w:firstLineChars="0"/>
              <w:jc w:val="center"/>
              <w:rPr>
                <w:sz w:val="21"/>
                <w:szCs w:val="21"/>
                <w:highlight w:val="none"/>
              </w:rPr>
            </w:pPr>
            <w:r>
              <w:rPr>
                <w:sz w:val="21"/>
                <w:szCs w:val="21"/>
                <w:highlight w:val="none"/>
              </w:rPr>
              <w:t>产生量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4" w:hRule="atLeast"/>
          <w:jc w:val="center"/>
        </w:trPr>
        <w:tc>
          <w:tcPr>
            <w:tcW w:w="422" w:type="dxa"/>
            <w:vAlign w:val="center"/>
          </w:tcPr>
          <w:p>
            <w:pPr>
              <w:widowControl/>
              <w:spacing w:line="240" w:lineRule="auto"/>
              <w:ind w:firstLine="0" w:firstLineChars="0"/>
              <w:jc w:val="center"/>
              <w:rPr>
                <w:sz w:val="21"/>
                <w:szCs w:val="21"/>
                <w:highlight w:val="none"/>
              </w:rPr>
            </w:pPr>
            <w:r>
              <w:rPr>
                <w:sz w:val="21"/>
                <w:szCs w:val="21"/>
                <w:highlight w:val="none"/>
              </w:rPr>
              <w:t>1</w:t>
            </w:r>
          </w:p>
        </w:tc>
        <w:tc>
          <w:tcPr>
            <w:tcW w:w="1244" w:type="dxa"/>
            <w:vAlign w:val="center"/>
          </w:tcPr>
          <w:p>
            <w:pPr>
              <w:widowControl/>
              <w:spacing w:line="240" w:lineRule="auto"/>
              <w:ind w:firstLine="0" w:firstLineChars="0"/>
              <w:jc w:val="center"/>
              <w:rPr>
                <w:sz w:val="21"/>
                <w:szCs w:val="21"/>
                <w:highlight w:val="none"/>
              </w:rPr>
            </w:pPr>
            <w:r>
              <w:rPr>
                <w:rFonts w:hint="eastAsia"/>
                <w:sz w:val="21"/>
                <w:szCs w:val="21"/>
                <w:highlight w:val="none"/>
              </w:rPr>
              <w:t>废矿物油</w:t>
            </w:r>
          </w:p>
        </w:tc>
        <w:tc>
          <w:tcPr>
            <w:tcW w:w="741" w:type="dxa"/>
            <w:vAlign w:val="center"/>
          </w:tcPr>
          <w:p>
            <w:pPr>
              <w:widowControl/>
              <w:spacing w:line="240" w:lineRule="auto"/>
              <w:ind w:firstLine="0" w:firstLineChars="0"/>
              <w:jc w:val="center"/>
              <w:rPr>
                <w:sz w:val="21"/>
                <w:szCs w:val="21"/>
                <w:highlight w:val="none"/>
              </w:rPr>
            </w:pPr>
            <w:r>
              <w:rPr>
                <w:sz w:val="21"/>
                <w:szCs w:val="21"/>
                <w:highlight w:val="none"/>
              </w:rPr>
              <w:t>危险废物</w:t>
            </w:r>
          </w:p>
        </w:tc>
        <w:tc>
          <w:tcPr>
            <w:tcW w:w="1038" w:type="dxa"/>
            <w:vAlign w:val="center"/>
          </w:tcPr>
          <w:p>
            <w:pPr>
              <w:widowControl/>
              <w:spacing w:line="240" w:lineRule="auto"/>
              <w:ind w:firstLine="0" w:firstLineChars="0"/>
              <w:jc w:val="center"/>
              <w:rPr>
                <w:sz w:val="21"/>
                <w:szCs w:val="21"/>
                <w:highlight w:val="none"/>
              </w:rPr>
            </w:pPr>
            <w:r>
              <w:rPr>
                <w:sz w:val="21"/>
                <w:szCs w:val="21"/>
                <w:highlight w:val="none"/>
              </w:rPr>
              <w:t>设备检修、维护</w:t>
            </w:r>
          </w:p>
        </w:tc>
        <w:tc>
          <w:tcPr>
            <w:tcW w:w="536" w:type="dxa"/>
            <w:vAlign w:val="center"/>
          </w:tcPr>
          <w:p>
            <w:pPr>
              <w:widowControl/>
              <w:spacing w:line="240" w:lineRule="auto"/>
              <w:ind w:firstLine="0" w:firstLineChars="0"/>
              <w:jc w:val="center"/>
              <w:rPr>
                <w:sz w:val="21"/>
                <w:szCs w:val="21"/>
                <w:highlight w:val="none"/>
              </w:rPr>
            </w:pPr>
            <w:r>
              <w:rPr>
                <w:sz w:val="21"/>
                <w:szCs w:val="21"/>
                <w:highlight w:val="none"/>
              </w:rPr>
              <w:t>液态</w:t>
            </w:r>
          </w:p>
        </w:tc>
        <w:tc>
          <w:tcPr>
            <w:tcW w:w="1179" w:type="dxa"/>
            <w:vAlign w:val="center"/>
          </w:tcPr>
          <w:p>
            <w:pPr>
              <w:widowControl/>
              <w:spacing w:line="240" w:lineRule="auto"/>
              <w:ind w:firstLine="0" w:firstLineChars="0"/>
              <w:jc w:val="center"/>
              <w:rPr>
                <w:sz w:val="21"/>
                <w:szCs w:val="21"/>
                <w:highlight w:val="none"/>
              </w:rPr>
            </w:pPr>
            <w:r>
              <w:rPr>
                <w:sz w:val="21"/>
                <w:szCs w:val="21"/>
                <w:highlight w:val="none"/>
              </w:rPr>
              <w:t>矿物油</w:t>
            </w:r>
          </w:p>
        </w:tc>
        <w:tc>
          <w:tcPr>
            <w:tcW w:w="676" w:type="dxa"/>
            <w:vAlign w:val="center"/>
          </w:tcPr>
          <w:p>
            <w:pPr>
              <w:widowControl/>
              <w:spacing w:line="240" w:lineRule="auto"/>
              <w:ind w:firstLine="0" w:firstLineChars="0"/>
              <w:jc w:val="center"/>
              <w:rPr>
                <w:sz w:val="21"/>
                <w:szCs w:val="21"/>
                <w:highlight w:val="none"/>
              </w:rPr>
            </w:pPr>
            <w:r>
              <w:rPr>
                <w:sz w:val="21"/>
                <w:szCs w:val="21"/>
                <w:highlight w:val="none"/>
              </w:rPr>
              <w:t>T，I</w:t>
            </w:r>
          </w:p>
        </w:tc>
        <w:tc>
          <w:tcPr>
            <w:tcW w:w="775" w:type="dxa"/>
            <w:vAlign w:val="center"/>
          </w:tcPr>
          <w:p>
            <w:pPr>
              <w:widowControl/>
              <w:spacing w:line="240" w:lineRule="auto"/>
              <w:ind w:firstLine="0" w:firstLineChars="0"/>
              <w:jc w:val="center"/>
              <w:rPr>
                <w:sz w:val="21"/>
                <w:szCs w:val="21"/>
                <w:highlight w:val="none"/>
              </w:rPr>
            </w:pPr>
            <w:r>
              <w:rPr>
                <w:sz w:val="21"/>
                <w:szCs w:val="21"/>
                <w:highlight w:val="none"/>
              </w:rPr>
              <w:t>HW</w:t>
            </w:r>
          </w:p>
          <w:p>
            <w:pPr>
              <w:widowControl/>
              <w:spacing w:line="240" w:lineRule="auto"/>
              <w:ind w:firstLine="0" w:firstLineChars="0"/>
              <w:jc w:val="center"/>
              <w:rPr>
                <w:sz w:val="21"/>
                <w:szCs w:val="21"/>
                <w:highlight w:val="none"/>
              </w:rPr>
            </w:pPr>
            <w:r>
              <w:rPr>
                <w:sz w:val="21"/>
                <w:szCs w:val="21"/>
                <w:highlight w:val="none"/>
              </w:rPr>
              <w:t>08</w:t>
            </w:r>
          </w:p>
        </w:tc>
        <w:tc>
          <w:tcPr>
            <w:tcW w:w="929" w:type="dxa"/>
            <w:vAlign w:val="center"/>
          </w:tcPr>
          <w:p>
            <w:pPr>
              <w:widowControl/>
              <w:spacing w:line="240" w:lineRule="auto"/>
              <w:ind w:firstLine="0" w:firstLineChars="0"/>
              <w:jc w:val="center"/>
              <w:rPr>
                <w:sz w:val="21"/>
                <w:szCs w:val="21"/>
                <w:highlight w:val="none"/>
              </w:rPr>
            </w:pPr>
            <w:r>
              <w:rPr>
                <w:sz w:val="21"/>
                <w:szCs w:val="21"/>
                <w:highlight w:val="none"/>
              </w:rPr>
              <w:t>900-2</w:t>
            </w:r>
            <w:r>
              <w:rPr>
                <w:rFonts w:hint="eastAsia"/>
                <w:sz w:val="21"/>
                <w:szCs w:val="21"/>
                <w:highlight w:val="none"/>
                <w:lang w:val="en-US" w:eastAsia="zh-CN"/>
              </w:rPr>
              <w:t>17</w:t>
            </w:r>
            <w:r>
              <w:rPr>
                <w:sz w:val="21"/>
                <w:szCs w:val="21"/>
                <w:highlight w:val="none"/>
              </w:rPr>
              <w:t>-08</w:t>
            </w:r>
          </w:p>
        </w:tc>
        <w:tc>
          <w:tcPr>
            <w:tcW w:w="988" w:type="dxa"/>
            <w:vMerge w:val="restart"/>
            <w:vAlign w:val="center"/>
          </w:tcPr>
          <w:p>
            <w:pPr>
              <w:widowControl/>
              <w:spacing w:line="240" w:lineRule="auto"/>
              <w:ind w:firstLine="0" w:firstLineChars="0"/>
              <w:jc w:val="center"/>
              <w:rPr>
                <w:sz w:val="21"/>
                <w:szCs w:val="21"/>
                <w:highlight w:val="none"/>
              </w:rPr>
            </w:pPr>
            <w:r>
              <w:rPr>
                <w:rFonts w:hint="eastAsia"/>
                <w:sz w:val="21"/>
                <w:szCs w:val="21"/>
                <w:highlight w:val="none"/>
              </w:rPr>
              <w:t>0.3</w:t>
            </w:r>
            <w:r>
              <w:rPr>
                <w:sz w:val="21"/>
                <w:szCs w:val="21"/>
                <w:highlight w:val="none"/>
              </w:rPr>
              <w:t>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4" w:hRule="atLeast"/>
          <w:jc w:val="center"/>
        </w:trPr>
        <w:tc>
          <w:tcPr>
            <w:tcW w:w="422" w:type="dxa"/>
            <w:vAlign w:val="center"/>
          </w:tcPr>
          <w:p>
            <w:pPr>
              <w:widowControl/>
              <w:spacing w:line="240" w:lineRule="auto"/>
              <w:ind w:firstLine="0" w:firstLineChars="0"/>
              <w:jc w:val="center"/>
              <w:rPr>
                <w:sz w:val="21"/>
                <w:szCs w:val="21"/>
                <w:highlight w:val="none"/>
              </w:rPr>
            </w:pPr>
            <w:r>
              <w:rPr>
                <w:sz w:val="21"/>
                <w:szCs w:val="21"/>
                <w:highlight w:val="none"/>
              </w:rPr>
              <w:t>2</w:t>
            </w:r>
          </w:p>
        </w:tc>
        <w:tc>
          <w:tcPr>
            <w:tcW w:w="1244" w:type="dxa"/>
            <w:vAlign w:val="center"/>
          </w:tcPr>
          <w:p>
            <w:pPr>
              <w:widowControl/>
              <w:spacing w:line="240" w:lineRule="auto"/>
              <w:ind w:firstLine="0" w:firstLineChars="0"/>
              <w:jc w:val="center"/>
              <w:rPr>
                <w:sz w:val="21"/>
                <w:szCs w:val="21"/>
                <w:highlight w:val="none"/>
              </w:rPr>
            </w:pPr>
            <w:r>
              <w:rPr>
                <w:sz w:val="21"/>
                <w:szCs w:val="21"/>
                <w:highlight w:val="none"/>
              </w:rPr>
              <w:t>废油桶</w:t>
            </w:r>
          </w:p>
        </w:tc>
        <w:tc>
          <w:tcPr>
            <w:tcW w:w="741" w:type="dxa"/>
            <w:vAlign w:val="center"/>
          </w:tcPr>
          <w:p>
            <w:pPr>
              <w:widowControl/>
              <w:spacing w:line="240" w:lineRule="auto"/>
              <w:ind w:firstLine="0" w:firstLineChars="0"/>
              <w:jc w:val="center"/>
              <w:rPr>
                <w:sz w:val="21"/>
                <w:szCs w:val="21"/>
                <w:highlight w:val="none"/>
              </w:rPr>
            </w:pPr>
            <w:r>
              <w:rPr>
                <w:sz w:val="21"/>
                <w:szCs w:val="21"/>
                <w:highlight w:val="none"/>
              </w:rPr>
              <w:t>危险废物</w:t>
            </w:r>
          </w:p>
        </w:tc>
        <w:tc>
          <w:tcPr>
            <w:tcW w:w="1038" w:type="dxa"/>
            <w:vAlign w:val="center"/>
          </w:tcPr>
          <w:p>
            <w:pPr>
              <w:widowControl/>
              <w:spacing w:line="240" w:lineRule="auto"/>
              <w:ind w:firstLine="0" w:firstLineChars="0"/>
              <w:jc w:val="center"/>
              <w:rPr>
                <w:sz w:val="21"/>
                <w:szCs w:val="21"/>
                <w:highlight w:val="none"/>
              </w:rPr>
            </w:pPr>
            <w:r>
              <w:rPr>
                <w:sz w:val="21"/>
                <w:szCs w:val="21"/>
                <w:highlight w:val="none"/>
              </w:rPr>
              <w:t>设备检修、维护</w:t>
            </w:r>
          </w:p>
        </w:tc>
        <w:tc>
          <w:tcPr>
            <w:tcW w:w="536" w:type="dxa"/>
            <w:vAlign w:val="center"/>
          </w:tcPr>
          <w:p>
            <w:pPr>
              <w:widowControl/>
              <w:spacing w:line="240" w:lineRule="auto"/>
              <w:ind w:firstLine="0" w:firstLineChars="0"/>
              <w:jc w:val="center"/>
              <w:rPr>
                <w:sz w:val="21"/>
                <w:szCs w:val="21"/>
                <w:highlight w:val="none"/>
              </w:rPr>
            </w:pPr>
            <w:r>
              <w:rPr>
                <w:sz w:val="21"/>
                <w:szCs w:val="21"/>
                <w:highlight w:val="none"/>
              </w:rPr>
              <w:t>固态</w:t>
            </w:r>
          </w:p>
        </w:tc>
        <w:tc>
          <w:tcPr>
            <w:tcW w:w="1179" w:type="dxa"/>
            <w:vAlign w:val="center"/>
          </w:tcPr>
          <w:p>
            <w:pPr>
              <w:widowControl/>
              <w:spacing w:line="240" w:lineRule="auto"/>
              <w:ind w:firstLine="0" w:firstLineChars="0"/>
              <w:jc w:val="center"/>
              <w:rPr>
                <w:sz w:val="21"/>
                <w:szCs w:val="21"/>
                <w:highlight w:val="none"/>
              </w:rPr>
            </w:pPr>
            <w:r>
              <w:rPr>
                <w:sz w:val="21"/>
                <w:szCs w:val="21"/>
                <w:highlight w:val="none"/>
              </w:rPr>
              <w:t>矿物油</w:t>
            </w:r>
          </w:p>
        </w:tc>
        <w:tc>
          <w:tcPr>
            <w:tcW w:w="676" w:type="dxa"/>
            <w:vAlign w:val="center"/>
          </w:tcPr>
          <w:p>
            <w:pPr>
              <w:widowControl/>
              <w:spacing w:line="240" w:lineRule="auto"/>
              <w:ind w:firstLine="0" w:firstLineChars="0"/>
              <w:jc w:val="center"/>
              <w:rPr>
                <w:sz w:val="21"/>
                <w:szCs w:val="21"/>
                <w:highlight w:val="none"/>
              </w:rPr>
            </w:pPr>
            <w:r>
              <w:rPr>
                <w:sz w:val="21"/>
                <w:szCs w:val="21"/>
                <w:highlight w:val="none"/>
              </w:rPr>
              <w:t>T/In</w:t>
            </w:r>
          </w:p>
        </w:tc>
        <w:tc>
          <w:tcPr>
            <w:tcW w:w="775" w:type="dxa"/>
            <w:vAlign w:val="center"/>
          </w:tcPr>
          <w:p>
            <w:pPr>
              <w:widowControl/>
              <w:spacing w:line="240" w:lineRule="auto"/>
              <w:ind w:firstLine="0" w:firstLineChars="0"/>
              <w:jc w:val="center"/>
              <w:rPr>
                <w:sz w:val="21"/>
                <w:szCs w:val="21"/>
                <w:highlight w:val="none"/>
              </w:rPr>
            </w:pPr>
            <w:r>
              <w:rPr>
                <w:sz w:val="21"/>
                <w:szCs w:val="21"/>
                <w:highlight w:val="none"/>
              </w:rPr>
              <w:t>HW</w:t>
            </w:r>
          </w:p>
          <w:p>
            <w:pPr>
              <w:widowControl/>
              <w:spacing w:line="240" w:lineRule="auto"/>
              <w:ind w:firstLine="0" w:firstLineChars="0"/>
              <w:jc w:val="center"/>
              <w:rPr>
                <w:sz w:val="21"/>
                <w:szCs w:val="21"/>
                <w:highlight w:val="none"/>
              </w:rPr>
            </w:pPr>
            <w:r>
              <w:rPr>
                <w:rFonts w:hint="eastAsia"/>
                <w:sz w:val="21"/>
                <w:szCs w:val="21"/>
                <w:highlight w:val="none"/>
                <w:lang w:val="en-US" w:eastAsia="zh-CN"/>
              </w:rPr>
              <w:t>08</w:t>
            </w:r>
          </w:p>
        </w:tc>
        <w:tc>
          <w:tcPr>
            <w:tcW w:w="929" w:type="dxa"/>
            <w:vAlign w:val="center"/>
          </w:tcPr>
          <w:p>
            <w:pPr>
              <w:widowControl/>
              <w:spacing w:line="240" w:lineRule="auto"/>
              <w:ind w:firstLine="0" w:firstLineChars="0"/>
              <w:jc w:val="center"/>
              <w:rPr>
                <w:sz w:val="21"/>
                <w:szCs w:val="21"/>
                <w:highlight w:val="none"/>
              </w:rPr>
            </w:pPr>
            <w:r>
              <w:rPr>
                <w:sz w:val="21"/>
                <w:szCs w:val="21"/>
                <w:highlight w:val="none"/>
              </w:rPr>
              <w:t>900-24</w:t>
            </w:r>
            <w:r>
              <w:rPr>
                <w:rFonts w:hint="eastAsia"/>
                <w:sz w:val="21"/>
                <w:szCs w:val="21"/>
                <w:highlight w:val="none"/>
                <w:lang w:val="en-US" w:eastAsia="zh-CN"/>
              </w:rPr>
              <w:t>9</w:t>
            </w:r>
            <w:r>
              <w:rPr>
                <w:sz w:val="21"/>
                <w:szCs w:val="21"/>
                <w:highlight w:val="none"/>
              </w:rPr>
              <w:t>-</w:t>
            </w:r>
            <w:r>
              <w:rPr>
                <w:rFonts w:hint="eastAsia"/>
                <w:sz w:val="21"/>
                <w:szCs w:val="21"/>
                <w:highlight w:val="none"/>
                <w:lang w:val="en-US" w:eastAsia="zh-CN"/>
              </w:rPr>
              <w:t>08</w:t>
            </w:r>
          </w:p>
        </w:tc>
        <w:tc>
          <w:tcPr>
            <w:tcW w:w="988" w:type="dxa"/>
            <w:vMerge w:val="continue"/>
            <w:vAlign w:val="center"/>
          </w:tcPr>
          <w:p>
            <w:pPr>
              <w:widowControl/>
              <w:spacing w:line="240" w:lineRule="auto"/>
              <w:ind w:firstLine="0" w:firstLineChars="0"/>
              <w:jc w:val="center"/>
              <w:rPr>
                <w:sz w:val="21"/>
                <w:szCs w:val="21"/>
                <w:highlight w:val="none"/>
              </w:rPr>
            </w:pPr>
          </w:p>
        </w:tc>
      </w:tr>
    </w:tbl>
    <w:p>
      <w:pPr>
        <w:ind w:firstLine="480"/>
        <w:rPr>
          <w:sz w:val="24"/>
          <w:highlight w:val="none"/>
        </w:rPr>
      </w:pPr>
      <w:r>
        <w:rPr>
          <w:sz w:val="24"/>
          <w:highlight w:val="none"/>
        </w:rPr>
        <w:t>综上，项目营运过程中产生的固体废物均得到妥善处理，处理率达到100%，并充分回收利用有价值的物质，做到减量化、无害化，对环境无影响。</w:t>
      </w:r>
    </w:p>
    <w:p>
      <w:pPr>
        <w:pStyle w:val="6"/>
        <w:numPr>
          <w:ilvl w:val="2"/>
          <w:numId w:val="1"/>
        </w:numPr>
        <w:spacing w:before="0" w:after="0"/>
        <w:ind w:left="567"/>
        <w:rPr>
          <w:szCs w:val="28"/>
          <w:highlight w:val="none"/>
        </w:rPr>
      </w:pPr>
      <w:r>
        <w:rPr>
          <w:rFonts w:hint="eastAsia"/>
          <w:szCs w:val="28"/>
          <w:highlight w:val="none"/>
        </w:rPr>
        <w:t>土壤环境影响评价</w:t>
      </w:r>
    </w:p>
    <w:p>
      <w:pPr>
        <w:pStyle w:val="3"/>
        <w:rPr>
          <w:highlight w:val="none"/>
        </w:rPr>
      </w:pPr>
      <w:r>
        <w:rPr>
          <w:rFonts w:hint="eastAsia"/>
          <w:highlight w:val="none"/>
        </w:rPr>
        <w:t>5.2.6.1土壤环境影响识别</w:t>
      </w:r>
    </w:p>
    <w:p>
      <w:pPr>
        <w:ind w:firstLine="480"/>
        <w:rPr>
          <w:sz w:val="24"/>
          <w:highlight w:val="none"/>
        </w:rPr>
      </w:pPr>
      <w:r>
        <w:rPr>
          <w:rFonts w:hint="eastAsia"/>
          <w:sz w:val="24"/>
          <w:highlight w:val="none"/>
        </w:rPr>
        <w:t>在工程分析的结果上，根据项目在建设期、运营期和服务期满后的具体特征，由于项目在建设期和服务期满后对土壤环境影响很小，本次评价主要对本项目</w:t>
      </w:r>
      <w:r>
        <w:rPr>
          <w:rFonts w:hint="eastAsia"/>
          <w:sz w:val="24"/>
          <w:highlight w:val="none"/>
          <w:lang w:val="en-US" w:eastAsia="zh-CN"/>
        </w:rPr>
        <w:t>实施后厂区</w:t>
      </w:r>
      <w:r>
        <w:rPr>
          <w:rFonts w:hint="eastAsia"/>
          <w:sz w:val="24"/>
          <w:highlight w:val="none"/>
        </w:rPr>
        <w:t>运营期阶段对土壤环境影响进行识别。</w:t>
      </w:r>
    </w:p>
    <w:p>
      <w:pPr>
        <w:autoSpaceDE w:val="0"/>
        <w:autoSpaceDN w:val="0"/>
        <w:spacing w:line="240" w:lineRule="auto"/>
        <w:ind w:firstLine="0" w:firstLineChars="0"/>
        <w:jc w:val="center"/>
        <w:textAlignment w:val="auto"/>
        <w:rPr>
          <w:rFonts w:eastAsia="黑体"/>
          <w:bCs/>
          <w:kern w:val="2"/>
          <w:sz w:val="21"/>
          <w:szCs w:val="21"/>
          <w:highlight w:val="none"/>
        </w:rPr>
      </w:pPr>
      <w:bookmarkStart w:id="504" w:name="_Ref14769838"/>
      <w:r>
        <w:rPr>
          <w:rFonts w:hint="eastAsia" w:eastAsia="黑体"/>
          <w:bCs/>
          <w:kern w:val="2"/>
          <w:sz w:val="21"/>
          <w:szCs w:val="21"/>
          <w:highlight w:val="none"/>
        </w:rPr>
        <w:t xml:space="preserve">表 </w:t>
      </w:r>
      <w:r>
        <w:rPr>
          <w:rFonts w:eastAsia="黑体"/>
          <w:bCs/>
          <w:kern w:val="2"/>
          <w:sz w:val="21"/>
          <w:szCs w:val="21"/>
          <w:highlight w:val="none"/>
        </w:rPr>
        <w:fldChar w:fldCharType="begin"/>
      </w:r>
      <w:r>
        <w:rPr>
          <w:rFonts w:eastAsia="黑体"/>
          <w:bCs/>
          <w:kern w:val="2"/>
          <w:sz w:val="21"/>
          <w:szCs w:val="21"/>
          <w:highlight w:val="none"/>
        </w:rPr>
        <w:instrText xml:space="preserve"> </w:instrText>
      </w:r>
      <w:r>
        <w:rPr>
          <w:rFonts w:hint="eastAsia" w:eastAsia="黑体"/>
          <w:bCs/>
          <w:kern w:val="2"/>
          <w:sz w:val="21"/>
          <w:szCs w:val="21"/>
          <w:highlight w:val="none"/>
        </w:rPr>
        <w:instrText xml:space="preserve">STYLEREF 2 \s</w:instrText>
      </w:r>
      <w:r>
        <w:rPr>
          <w:rFonts w:eastAsia="黑体"/>
          <w:bCs/>
          <w:kern w:val="2"/>
          <w:sz w:val="21"/>
          <w:szCs w:val="21"/>
          <w:highlight w:val="none"/>
        </w:rPr>
        <w:instrText xml:space="preserve"> </w:instrText>
      </w:r>
      <w:r>
        <w:rPr>
          <w:rFonts w:eastAsia="黑体"/>
          <w:bCs/>
          <w:kern w:val="2"/>
          <w:sz w:val="21"/>
          <w:szCs w:val="21"/>
          <w:highlight w:val="none"/>
        </w:rPr>
        <w:fldChar w:fldCharType="separate"/>
      </w:r>
      <w:r>
        <w:rPr>
          <w:rFonts w:eastAsia="黑体"/>
          <w:bCs/>
          <w:kern w:val="2"/>
          <w:sz w:val="21"/>
          <w:szCs w:val="21"/>
          <w:highlight w:val="none"/>
        </w:rPr>
        <w:t>5.2</w:t>
      </w:r>
      <w:r>
        <w:rPr>
          <w:rFonts w:eastAsia="黑体"/>
          <w:bCs/>
          <w:kern w:val="2"/>
          <w:sz w:val="21"/>
          <w:szCs w:val="21"/>
          <w:highlight w:val="none"/>
        </w:rPr>
        <w:fldChar w:fldCharType="end"/>
      </w:r>
      <w:r>
        <w:rPr>
          <w:rFonts w:hint="eastAsia" w:eastAsia="黑体"/>
          <w:bCs/>
          <w:kern w:val="2"/>
          <w:sz w:val="21"/>
          <w:szCs w:val="21"/>
          <w:highlight w:val="none"/>
        </w:rPr>
        <w:t>–</w:t>
      </w:r>
      <w:bookmarkEnd w:id="504"/>
      <w:r>
        <w:rPr>
          <w:rFonts w:hint="eastAsia" w:eastAsia="黑体"/>
          <w:bCs/>
          <w:kern w:val="2"/>
          <w:sz w:val="21"/>
          <w:szCs w:val="21"/>
          <w:highlight w:val="none"/>
        </w:rPr>
        <w:t>3</w:t>
      </w:r>
      <w:r>
        <w:rPr>
          <w:rFonts w:hint="eastAsia" w:eastAsia="黑体"/>
          <w:bCs/>
          <w:kern w:val="2"/>
          <w:sz w:val="21"/>
          <w:szCs w:val="21"/>
          <w:highlight w:val="none"/>
          <w:lang w:val="en-US" w:eastAsia="zh-CN"/>
        </w:rPr>
        <w:t>2</w:t>
      </w:r>
      <w:r>
        <w:rPr>
          <w:rFonts w:eastAsia="黑体"/>
          <w:bCs/>
          <w:kern w:val="2"/>
          <w:sz w:val="21"/>
          <w:szCs w:val="21"/>
          <w:highlight w:val="none"/>
        </w:rPr>
        <w:t xml:space="preserve">   </w:t>
      </w:r>
      <w:r>
        <w:rPr>
          <w:rFonts w:hint="eastAsia" w:eastAsia="黑体"/>
          <w:bCs/>
          <w:kern w:val="2"/>
          <w:sz w:val="21"/>
          <w:szCs w:val="21"/>
          <w:highlight w:val="none"/>
        </w:rPr>
        <w:t>项目土壤环境影响类型与影响途径一览表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6"/>
        <w:gridCol w:w="1705"/>
        <w:gridCol w:w="1705"/>
        <w:gridCol w:w="1706"/>
        <w:gridCol w:w="17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740" w:type="dxa"/>
            <w:vMerge w:val="restart"/>
            <w:shd w:val="clear" w:color="auto" w:fill="auto"/>
            <w:vAlign w:val="center"/>
          </w:tcPr>
          <w:p>
            <w:pPr>
              <w:pStyle w:val="313"/>
              <w:rPr>
                <w:highlight w:val="none"/>
              </w:rPr>
            </w:pPr>
            <w:r>
              <w:rPr>
                <w:rFonts w:hint="eastAsia"/>
                <w:highlight w:val="none"/>
              </w:rPr>
              <w:t>不同时段</w:t>
            </w:r>
          </w:p>
        </w:tc>
        <w:tc>
          <w:tcPr>
            <w:tcW w:w="6956" w:type="dxa"/>
            <w:gridSpan w:val="4"/>
            <w:shd w:val="clear" w:color="auto" w:fill="auto"/>
            <w:vAlign w:val="center"/>
          </w:tcPr>
          <w:p>
            <w:pPr>
              <w:pStyle w:val="313"/>
              <w:rPr>
                <w:highlight w:val="none"/>
              </w:rPr>
            </w:pPr>
            <w:r>
              <w:rPr>
                <w:rFonts w:hint="eastAsia"/>
                <w:highlight w:val="none"/>
              </w:rPr>
              <w:t>污染影响型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740" w:type="dxa"/>
            <w:vMerge w:val="continue"/>
            <w:shd w:val="clear" w:color="auto" w:fill="auto"/>
            <w:vAlign w:val="center"/>
          </w:tcPr>
          <w:p>
            <w:pPr>
              <w:pStyle w:val="313"/>
              <w:ind w:firstLine="560"/>
              <w:rPr>
                <w:highlight w:val="none"/>
              </w:rPr>
            </w:pPr>
          </w:p>
        </w:tc>
        <w:tc>
          <w:tcPr>
            <w:tcW w:w="1739" w:type="dxa"/>
            <w:shd w:val="clear" w:color="auto" w:fill="auto"/>
            <w:vAlign w:val="center"/>
          </w:tcPr>
          <w:p>
            <w:pPr>
              <w:pStyle w:val="313"/>
              <w:rPr>
                <w:highlight w:val="none"/>
              </w:rPr>
            </w:pPr>
            <w:r>
              <w:rPr>
                <w:rFonts w:hint="eastAsia"/>
                <w:highlight w:val="none"/>
              </w:rPr>
              <w:t>大气沉降</w:t>
            </w:r>
          </w:p>
        </w:tc>
        <w:tc>
          <w:tcPr>
            <w:tcW w:w="1739" w:type="dxa"/>
            <w:shd w:val="clear" w:color="auto" w:fill="auto"/>
            <w:vAlign w:val="center"/>
          </w:tcPr>
          <w:p>
            <w:pPr>
              <w:pStyle w:val="313"/>
              <w:rPr>
                <w:highlight w:val="none"/>
              </w:rPr>
            </w:pPr>
            <w:r>
              <w:rPr>
                <w:rFonts w:hint="eastAsia"/>
                <w:highlight w:val="none"/>
              </w:rPr>
              <w:t>地面漫流</w:t>
            </w:r>
          </w:p>
        </w:tc>
        <w:tc>
          <w:tcPr>
            <w:tcW w:w="1739" w:type="dxa"/>
            <w:shd w:val="clear" w:color="auto" w:fill="auto"/>
            <w:vAlign w:val="center"/>
          </w:tcPr>
          <w:p>
            <w:pPr>
              <w:pStyle w:val="313"/>
              <w:rPr>
                <w:highlight w:val="none"/>
              </w:rPr>
            </w:pPr>
            <w:r>
              <w:rPr>
                <w:rFonts w:hint="eastAsia"/>
                <w:highlight w:val="none"/>
              </w:rPr>
              <w:t>垂直入渗</w:t>
            </w:r>
          </w:p>
        </w:tc>
        <w:tc>
          <w:tcPr>
            <w:tcW w:w="1739" w:type="dxa"/>
            <w:shd w:val="clear" w:color="auto" w:fill="auto"/>
            <w:vAlign w:val="center"/>
          </w:tcPr>
          <w:p>
            <w:pPr>
              <w:pStyle w:val="313"/>
              <w:rPr>
                <w:highlight w:val="none"/>
              </w:rPr>
            </w:pPr>
            <w:r>
              <w:rPr>
                <w:rFonts w:hint="eastAsia"/>
                <w:highlight w:val="none"/>
              </w:rPr>
              <w:t>其他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1740" w:type="dxa"/>
            <w:shd w:val="clear" w:color="auto" w:fill="auto"/>
            <w:vAlign w:val="center"/>
          </w:tcPr>
          <w:p>
            <w:pPr>
              <w:pStyle w:val="313"/>
              <w:rPr>
                <w:highlight w:val="none"/>
              </w:rPr>
            </w:pPr>
            <w:r>
              <w:rPr>
                <w:rFonts w:hint="eastAsia"/>
                <w:highlight w:val="none"/>
              </w:rPr>
              <w:t>运营期</w:t>
            </w:r>
          </w:p>
        </w:tc>
        <w:tc>
          <w:tcPr>
            <w:tcW w:w="1739" w:type="dxa"/>
            <w:shd w:val="clear" w:color="auto" w:fill="auto"/>
            <w:vAlign w:val="center"/>
          </w:tcPr>
          <w:p>
            <w:pPr>
              <w:pStyle w:val="313"/>
              <w:rPr>
                <w:highlight w:val="none"/>
              </w:rPr>
            </w:pPr>
            <w:r>
              <w:rPr>
                <w:rFonts w:hint="eastAsia"/>
                <w:highlight w:val="none"/>
              </w:rPr>
              <w:t>√</w:t>
            </w:r>
          </w:p>
        </w:tc>
        <w:tc>
          <w:tcPr>
            <w:tcW w:w="1739" w:type="dxa"/>
            <w:shd w:val="clear" w:color="auto" w:fill="auto"/>
            <w:vAlign w:val="center"/>
          </w:tcPr>
          <w:p>
            <w:pPr>
              <w:pStyle w:val="313"/>
              <w:rPr>
                <w:highlight w:val="none"/>
              </w:rPr>
            </w:pPr>
            <w:r>
              <w:rPr>
                <w:rFonts w:hint="eastAsia"/>
                <w:highlight w:val="none"/>
              </w:rPr>
              <w:t>-</w:t>
            </w:r>
            <w:r>
              <w:rPr>
                <w:highlight w:val="none"/>
              </w:rPr>
              <w:t>-</w:t>
            </w:r>
          </w:p>
        </w:tc>
        <w:tc>
          <w:tcPr>
            <w:tcW w:w="1739" w:type="dxa"/>
            <w:shd w:val="clear" w:color="auto" w:fill="auto"/>
            <w:vAlign w:val="center"/>
          </w:tcPr>
          <w:p>
            <w:pPr>
              <w:pStyle w:val="313"/>
              <w:rPr>
                <w:highlight w:val="none"/>
              </w:rPr>
            </w:pPr>
            <w:r>
              <w:rPr>
                <w:rFonts w:hint="eastAsia"/>
                <w:highlight w:val="none"/>
              </w:rPr>
              <w:t>√</w:t>
            </w:r>
          </w:p>
        </w:tc>
        <w:tc>
          <w:tcPr>
            <w:tcW w:w="1739" w:type="dxa"/>
            <w:shd w:val="clear" w:color="auto" w:fill="auto"/>
            <w:vAlign w:val="center"/>
          </w:tcPr>
          <w:p>
            <w:pPr>
              <w:pStyle w:val="313"/>
              <w:rPr>
                <w:highlight w:val="none"/>
              </w:rPr>
            </w:pPr>
            <w:r>
              <w:rPr>
                <w:rFonts w:hint="eastAsia"/>
                <w:highlight w:val="none"/>
              </w:rPr>
              <w:t>-</w:t>
            </w:r>
            <w:r>
              <w:rPr>
                <w:highlight w:val="none"/>
              </w:rPr>
              <w:t>-</w:t>
            </w:r>
          </w:p>
        </w:tc>
      </w:tr>
    </w:tbl>
    <w:p>
      <w:pPr>
        <w:autoSpaceDE w:val="0"/>
        <w:autoSpaceDN w:val="0"/>
        <w:spacing w:line="240" w:lineRule="auto"/>
        <w:ind w:firstLine="0" w:firstLineChars="0"/>
        <w:jc w:val="center"/>
        <w:textAlignment w:val="auto"/>
        <w:rPr>
          <w:rFonts w:eastAsia="黑体"/>
          <w:bCs/>
          <w:kern w:val="2"/>
          <w:sz w:val="21"/>
          <w:szCs w:val="21"/>
          <w:highlight w:val="none"/>
        </w:rPr>
      </w:pPr>
      <w:bookmarkStart w:id="505" w:name="_Ref14769843"/>
      <w:r>
        <w:rPr>
          <w:rFonts w:hint="eastAsia" w:eastAsia="黑体"/>
          <w:bCs/>
          <w:kern w:val="2"/>
          <w:sz w:val="21"/>
          <w:szCs w:val="21"/>
          <w:highlight w:val="none"/>
        </w:rPr>
        <w:t xml:space="preserve">表 </w:t>
      </w:r>
      <w:r>
        <w:rPr>
          <w:rFonts w:eastAsia="黑体"/>
          <w:bCs/>
          <w:kern w:val="2"/>
          <w:sz w:val="21"/>
          <w:szCs w:val="21"/>
          <w:highlight w:val="none"/>
        </w:rPr>
        <w:fldChar w:fldCharType="begin"/>
      </w:r>
      <w:r>
        <w:rPr>
          <w:rFonts w:eastAsia="黑体"/>
          <w:bCs/>
          <w:kern w:val="2"/>
          <w:sz w:val="21"/>
          <w:szCs w:val="21"/>
          <w:highlight w:val="none"/>
        </w:rPr>
        <w:instrText xml:space="preserve"> </w:instrText>
      </w:r>
      <w:r>
        <w:rPr>
          <w:rFonts w:hint="eastAsia" w:eastAsia="黑体"/>
          <w:bCs/>
          <w:kern w:val="2"/>
          <w:sz w:val="21"/>
          <w:szCs w:val="21"/>
          <w:highlight w:val="none"/>
        </w:rPr>
        <w:instrText xml:space="preserve">STYLEREF 2 \s</w:instrText>
      </w:r>
      <w:r>
        <w:rPr>
          <w:rFonts w:eastAsia="黑体"/>
          <w:bCs/>
          <w:kern w:val="2"/>
          <w:sz w:val="21"/>
          <w:szCs w:val="21"/>
          <w:highlight w:val="none"/>
        </w:rPr>
        <w:instrText xml:space="preserve"> </w:instrText>
      </w:r>
      <w:r>
        <w:rPr>
          <w:rFonts w:eastAsia="黑体"/>
          <w:bCs/>
          <w:kern w:val="2"/>
          <w:sz w:val="21"/>
          <w:szCs w:val="21"/>
          <w:highlight w:val="none"/>
        </w:rPr>
        <w:fldChar w:fldCharType="separate"/>
      </w:r>
      <w:r>
        <w:rPr>
          <w:rFonts w:eastAsia="黑体"/>
          <w:bCs/>
          <w:kern w:val="2"/>
          <w:sz w:val="21"/>
          <w:szCs w:val="21"/>
          <w:highlight w:val="none"/>
        </w:rPr>
        <w:t>5.2</w:t>
      </w:r>
      <w:r>
        <w:rPr>
          <w:rFonts w:eastAsia="黑体"/>
          <w:bCs/>
          <w:kern w:val="2"/>
          <w:sz w:val="21"/>
          <w:szCs w:val="21"/>
          <w:highlight w:val="none"/>
        </w:rPr>
        <w:fldChar w:fldCharType="end"/>
      </w:r>
      <w:r>
        <w:rPr>
          <w:rFonts w:hint="eastAsia" w:eastAsia="黑体"/>
          <w:bCs/>
          <w:kern w:val="2"/>
          <w:sz w:val="21"/>
          <w:szCs w:val="21"/>
          <w:highlight w:val="none"/>
        </w:rPr>
        <w:t>–</w:t>
      </w:r>
      <w:bookmarkEnd w:id="505"/>
      <w:r>
        <w:rPr>
          <w:rFonts w:hint="eastAsia" w:eastAsia="黑体"/>
          <w:bCs/>
          <w:kern w:val="2"/>
          <w:sz w:val="21"/>
          <w:szCs w:val="21"/>
          <w:highlight w:val="none"/>
        </w:rPr>
        <w:t>3</w:t>
      </w:r>
      <w:r>
        <w:rPr>
          <w:rFonts w:hint="eastAsia" w:eastAsia="黑体"/>
          <w:bCs/>
          <w:kern w:val="2"/>
          <w:sz w:val="21"/>
          <w:szCs w:val="21"/>
          <w:highlight w:val="none"/>
          <w:lang w:val="en-US" w:eastAsia="zh-CN"/>
        </w:rPr>
        <w:t>3</w:t>
      </w:r>
      <w:r>
        <w:rPr>
          <w:rFonts w:hint="eastAsia" w:eastAsia="黑体"/>
          <w:bCs/>
          <w:kern w:val="2"/>
          <w:sz w:val="21"/>
          <w:szCs w:val="21"/>
          <w:highlight w:val="none"/>
        </w:rPr>
        <w:t xml:space="preserve">  </w:t>
      </w:r>
      <w:r>
        <w:rPr>
          <w:rFonts w:eastAsia="黑体"/>
          <w:bCs/>
          <w:kern w:val="2"/>
          <w:sz w:val="21"/>
          <w:szCs w:val="21"/>
          <w:highlight w:val="none"/>
        </w:rPr>
        <w:t xml:space="preserve"> </w:t>
      </w:r>
      <w:r>
        <w:rPr>
          <w:rFonts w:hint="eastAsia" w:eastAsia="黑体"/>
          <w:bCs/>
          <w:kern w:val="2"/>
          <w:sz w:val="21"/>
          <w:szCs w:val="21"/>
          <w:highlight w:val="none"/>
        </w:rPr>
        <w:t>项目土壤环境影响源及影响因子识别一览表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20"/>
        <w:gridCol w:w="1420"/>
        <w:gridCol w:w="1420"/>
        <w:gridCol w:w="1420"/>
        <w:gridCol w:w="14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污染源</w:t>
            </w:r>
          </w:p>
        </w:tc>
        <w:tc>
          <w:tcPr>
            <w:tcW w:w="1466" w:type="dxa"/>
            <w:shd w:val="clear" w:color="auto" w:fill="auto"/>
            <w:vAlign w:val="center"/>
          </w:tcPr>
          <w:p>
            <w:pPr>
              <w:pStyle w:val="313"/>
              <w:rPr>
                <w:highlight w:val="none"/>
              </w:rPr>
            </w:pPr>
            <w:r>
              <w:rPr>
                <w:rFonts w:hint="eastAsia"/>
                <w:highlight w:val="none"/>
              </w:rPr>
              <w:t>工艺流程/节点</w:t>
            </w:r>
          </w:p>
        </w:tc>
        <w:tc>
          <w:tcPr>
            <w:tcW w:w="1466" w:type="dxa"/>
            <w:shd w:val="clear" w:color="auto" w:fill="auto"/>
            <w:vAlign w:val="center"/>
          </w:tcPr>
          <w:p>
            <w:pPr>
              <w:pStyle w:val="313"/>
              <w:rPr>
                <w:highlight w:val="none"/>
              </w:rPr>
            </w:pPr>
            <w:r>
              <w:rPr>
                <w:rFonts w:hint="eastAsia"/>
                <w:highlight w:val="none"/>
              </w:rPr>
              <w:t>污染途径</w:t>
            </w:r>
          </w:p>
        </w:tc>
        <w:tc>
          <w:tcPr>
            <w:tcW w:w="1466" w:type="dxa"/>
            <w:shd w:val="clear" w:color="auto" w:fill="auto"/>
            <w:vAlign w:val="center"/>
          </w:tcPr>
          <w:p>
            <w:pPr>
              <w:pStyle w:val="313"/>
              <w:rPr>
                <w:highlight w:val="none"/>
              </w:rPr>
            </w:pPr>
            <w:r>
              <w:rPr>
                <w:rFonts w:hint="eastAsia"/>
                <w:highlight w:val="none"/>
              </w:rPr>
              <w:t>全部污染物指标</w:t>
            </w:r>
          </w:p>
        </w:tc>
        <w:tc>
          <w:tcPr>
            <w:tcW w:w="1466" w:type="dxa"/>
            <w:shd w:val="clear" w:color="auto" w:fill="auto"/>
            <w:vAlign w:val="center"/>
          </w:tcPr>
          <w:p>
            <w:pPr>
              <w:pStyle w:val="313"/>
              <w:rPr>
                <w:highlight w:val="none"/>
              </w:rPr>
            </w:pPr>
            <w:r>
              <w:rPr>
                <w:rFonts w:hint="eastAsia"/>
                <w:highlight w:val="none"/>
              </w:rPr>
              <w:t>特征因子</w:t>
            </w:r>
          </w:p>
        </w:tc>
        <w:tc>
          <w:tcPr>
            <w:tcW w:w="1466" w:type="dxa"/>
            <w:shd w:val="clear" w:color="auto" w:fill="auto"/>
            <w:vAlign w:val="center"/>
          </w:tcPr>
          <w:p>
            <w:pPr>
              <w:pStyle w:val="313"/>
              <w:rPr>
                <w:highlight w:val="none"/>
              </w:rPr>
            </w:pPr>
            <w:r>
              <w:rPr>
                <w:rFonts w:hint="eastAsia"/>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破碎筛分生产线</w:t>
            </w:r>
          </w:p>
        </w:tc>
        <w:tc>
          <w:tcPr>
            <w:tcW w:w="1466" w:type="dxa"/>
            <w:shd w:val="clear" w:color="auto" w:fill="auto"/>
            <w:vAlign w:val="center"/>
          </w:tcPr>
          <w:p>
            <w:pPr>
              <w:pStyle w:val="313"/>
              <w:rPr>
                <w:highlight w:val="none"/>
              </w:rPr>
            </w:pPr>
            <w:r>
              <w:rPr>
                <w:rFonts w:hint="eastAsia"/>
                <w:highlight w:val="none"/>
              </w:rPr>
              <w:t>破碎粉尘</w:t>
            </w:r>
          </w:p>
        </w:tc>
        <w:tc>
          <w:tcPr>
            <w:tcW w:w="1466" w:type="dxa"/>
            <w:shd w:val="clear" w:color="auto" w:fill="auto"/>
            <w:vAlign w:val="center"/>
          </w:tcPr>
          <w:p>
            <w:pPr>
              <w:pStyle w:val="313"/>
              <w:rPr>
                <w:highlight w:val="none"/>
              </w:rPr>
            </w:pPr>
            <w:r>
              <w:rPr>
                <w:rFonts w:hint="eastAsia"/>
                <w:highlight w:val="none"/>
              </w:rPr>
              <w:t>大气沉降</w:t>
            </w:r>
          </w:p>
        </w:tc>
        <w:tc>
          <w:tcPr>
            <w:tcW w:w="1466" w:type="dxa"/>
            <w:shd w:val="clear" w:color="auto" w:fill="auto"/>
            <w:vAlign w:val="center"/>
          </w:tcPr>
          <w:p>
            <w:pPr>
              <w:pStyle w:val="313"/>
              <w:rPr>
                <w:highlight w:val="none"/>
              </w:rPr>
            </w:pPr>
            <w:r>
              <w:rPr>
                <w:rFonts w:hint="eastAsia"/>
                <w:highlight w:val="none"/>
              </w:rPr>
              <w:t>颗粒物</w:t>
            </w:r>
          </w:p>
        </w:tc>
        <w:tc>
          <w:tcPr>
            <w:tcW w:w="1466" w:type="dxa"/>
            <w:shd w:val="clear" w:color="auto" w:fill="auto"/>
            <w:vAlign w:val="center"/>
          </w:tcPr>
          <w:p>
            <w:pPr>
              <w:pStyle w:val="313"/>
              <w:rPr>
                <w:highlight w:val="none"/>
              </w:rPr>
            </w:pPr>
            <w:r>
              <w:rPr>
                <w:rFonts w:hint="eastAsia"/>
                <w:highlight w:val="none"/>
              </w:rPr>
              <w:t>-</w:t>
            </w:r>
            <w:r>
              <w:rPr>
                <w:highlight w:val="none"/>
              </w:rPr>
              <w:t>-</w:t>
            </w:r>
          </w:p>
        </w:tc>
        <w:tc>
          <w:tcPr>
            <w:tcW w:w="1466" w:type="dxa"/>
            <w:shd w:val="clear" w:color="auto" w:fill="auto"/>
            <w:vAlign w:val="center"/>
          </w:tcPr>
          <w:p>
            <w:pPr>
              <w:pStyle w:val="313"/>
              <w:rPr>
                <w:highlight w:val="none"/>
              </w:rPr>
            </w:pPr>
            <w:r>
              <w:rPr>
                <w:rFonts w:hint="eastAsia"/>
                <w:highlight w:val="none"/>
              </w:rPr>
              <w:t>周围敏感目标主要耕地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浓密池</w:t>
            </w:r>
          </w:p>
        </w:tc>
        <w:tc>
          <w:tcPr>
            <w:tcW w:w="1466" w:type="dxa"/>
            <w:shd w:val="clear" w:color="auto" w:fill="auto"/>
            <w:vAlign w:val="center"/>
          </w:tcPr>
          <w:p>
            <w:pPr>
              <w:pStyle w:val="313"/>
              <w:rPr>
                <w:highlight w:val="none"/>
              </w:rPr>
            </w:pPr>
            <w:r>
              <w:rPr>
                <w:rFonts w:hint="eastAsia"/>
                <w:highlight w:val="none"/>
              </w:rPr>
              <w:t>水处理</w:t>
            </w:r>
          </w:p>
        </w:tc>
        <w:tc>
          <w:tcPr>
            <w:tcW w:w="1466" w:type="dxa"/>
            <w:shd w:val="clear" w:color="auto" w:fill="auto"/>
            <w:vAlign w:val="center"/>
          </w:tcPr>
          <w:p>
            <w:pPr>
              <w:pStyle w:val="313"/>
              <w:rPr>
                <w:highlight w:val="none"/>
              </w:rPr>
            </w:pPr>
            <w:r>
              <w:rPr>
                <w:rFonts w:hint="eastAsia"/>
                <w:highlight w:val="none"/>
              </w:rPr>
              <w:t>垂直入渗</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间断、事故</w:t>
            </w:r>
          </w:p>
        </w:tc>
      </w:tr>
    </w:tbl>
    <w:p>
      <w:pPr>
        <w:pStyle w:val="3"/>
        <w:rPr>
          <w:highlight w:val="none"/>
        </w:rPr>
      </w:pPr>
      <w:r>
        <w:rPr>
          <w:rFonts w:hint="eastAsia"/>
          <w:highlight w:val="none"/>
        </w:rPr>
        <w:t>5.2.6.2评价范围、评价时段、情景设置</w:t>
      </w:r>
    </w:p>
    <w:p>
      <w:pPr>
        <w:ind w:firstLine="480"/>
        <w:rPr>
          <w:sz w:val="24"/>
          <w:highlight w:val="none"/>
        </w:rPr>
      </w:pPr>
      <w:r>
        <w:rPr>
          <w:rFonts w:hint="eastAsia"/>
          <w:sz w:val="24"/>
          <w:highlight w:val="none"/>
        </w:rPr>
        <w:t>(1)预测范围</w:t>
      </w:r>
    </w:p>
    <w:p>
      <w:pPr>
        <w:ind w:firstLine="480"/>
        <w:rPr>
          <w:sz w:val="24"/>
          <w:highlight w:val="none"/>
        </w:rPr>
      </w:pPr>
      <w:r>
        <w:rPr>
          <w:rFonts w:hint="eastAsia"/>
          <w:sz w:val="24"/>
          <w:highlight w:val="none"/>
        </w:rPr>
        <w:t>本次预测范围与现状调查范围一致，以项目厂址为中心区域，自厂界外延0.</w:t>
      </w:r>
      <w:r>
        <w:rPr>
          <w:sz w:val="24"/>
          <w:highlight w:val="none"/>
        </w:rPr>
        <w:t>05</w:t>
      </w:r>
      <w:r>
        <w:rPr>
          <w:rFonts w:hint="eastAsia"/>
          <w:sz w:val="24"/>
          <w:highlight w:val="none"/>
        </w:rPr>
        <w:t>km。</w:t>
      </w:r>
    </w:p>
    <w:p>
      <w:pPr>
        <w:ind w:firstLine="480"/>
        <w:rPr>
          <w:sz w:val="24"/>
          <w:highlight w:val="none"/>
        </w:rPr>
      </w:pPr>
      <w:r>
        <w:rPr>
          <w:rFonts w:hint="eastAsia"/>
          <w:sz w:val="24"/>
          <w:highlight w:val="none"/>
        </w:rPr>
        <w:t>(2)评价时段</w:t>
      </w:r>
    </w:p>
    <w:p>
      <w:pPr>
        <w:ind w:firstLine="480"/>
        <w:rPr>
          <w:sz w:val="24"/>
          <w:highlight w:val="none"/>
        </w:rPr>
      </w:pPr>
      <w:r>
        <w:rPr>
          <w:rFonts w:hint="eastAsia"/>
          <w:sz w:val="24"/>
          <w:highlight w:val="none"/>
        </w:rPr>
        <w:t>根据本项目土壤环境影响识别结果，本项目对土壤环境的影响类型主要为大气沉降、垂直入渗，确定重点评价时段为项目运营期。</w:t>
      </w:r>
    </w:p>
    <w:p>
      <w:pPr>
        <w:ind w:firstLine="480"/>
        <w:rPr>
          <w:sz w:val="24"/>
          <w:highlight w:val="none"/>
        </w:rPr>
      </w:pPr>
      <w:r>
        <w:rPr>
          <w:rFonts w:hint="eastAsia"/>
          <w:sz w:val="24"/>
          <w:highlight w:val="none"/>
        </w:rPr>
        <w:t>(3)情景设置</w:t>
      </w:r>
    </w:p>
    <w:p>
      <w:pPr>
        <w:ind w:firstLine="480"/>
        <w:rPr>
          <w:sz w:val="24"/>
          <w:highlight w:val="none"/>
        </w:rPr>
      </w:pPr>
      <w:r>
        <w:rPr>
          <w:rFonts w:hint="eastAsia"/>
          <w:sz w:val="24"/>
          <w:highlight w:val="none"/>
        </w:rPr>
        <w:t>根据同类企业的实际情况分析，如果浓密池、事故池、环保设施防渗地面和生产污水明沟等可视场所发生破损，容易被发现，可以及时采取修复措施，即使有物料或污水等泄漏，建设单位及时采取措施，不会任由物料或污水漫流渗漏，任其渗入土壤，因此本次评价设定的情景设置不考虑垂直入渗。</w:t>
      </w:r>
    </w:p>
    <w:p>
      <w:pPr>
        <w:ind w:firstLine="480"/>
        <w:rPr>
          <w:sz w:val="24"/>
          <w:highlight w:val="none"/>
        </w:rPr>
      </w:pPr>
      <w:r>
        <w:rPr>
          <w:rFonts w:hint="eastAsia"/>
          <w:sz w:val="24"/>
          <w:highlight w:val="none"/>
        </w:rPr>
        <w:t>本次评价土壤影响情景是影响识别的基础上，根据项目的工程特点，设定情景为破碎粉尘、原料</w:t>
      </w:r>
      <w:r>
        <w:rPr>
          <w:rFonts w:hint="eastAsia"/>
          <w:sz w:val="24"/>
          <w:highlight w:val="none"/>
          <w:lang w:val="en-US" w:eastAsia="zh-CN"/>
        </w:rPr>
        <w:t>棚</w:t>
      </w:r>
      <w:r>
        <w:rPr>
          <w:rFonts w:hint="eastAsia"/>
          <w:sz w:val="24"/>
          <w:highlight w:val="none"/>
        </w:rPr>
        <w:t>、成品库及车辆运输产生的粉尘对周围耕地及村庄大气沉降影响。</w:t>
      </w:r>
    </w:p>
    <w:p>
      <w:pPr>
        <w:pStyle w:val="3"/>
        <w:rPr>
          <w:highlight w:val="none"/>
        </w:rPr>
      </w:pPr>
      <w:r>
        <w:rPr>
          <w:rFonts w:hint="eastAsia"/>
          <w:highlight w:val="none"/>
        </w:rPr>
        <w:t>5.2.6.3项目对土壤环境的影响</w:t>
      </w:r>
    </w:p>
    <w:p>
      <w:pPr>
        <w:ind w:firstLine="480"/>
        <w:rPr>
          <w:sz w:val="24"/>
          <w:highlight w:val="none"/>
        </w:rPr>
      </w:pPr>
      <w:r>
        <w:rPr>
          <w:rFonts w:hint="eastAsia"/>
          <w:sz w:val="24"/>
          <w:highlight w:val="none"/>
        </w:rPr>
        <w:t>通过工程分析可知，本项目使用的原料为铁矿石，根据铁矿石全成分分析结果，原料未检出含砷、铜、铅等重金属。因铁矿石不含重金属，且铁矿石选矿过程为物理过程，不添加化学药剂，因此本项目原料不含重金属等有害元素。</w:t>
      </w:r>
    </w:p>
    <w:p>
      <w:pPr>
        <w:ind w:firstLine="480"/>
        <w:rPr>
          <w:sz w:val="24"/>
          <w:highlight w:val="none"/>
        </w:rPr>
      </w:pPr>
      <w:r>
        <w:rPr>
          <w:rFonts w:hint="eastAsia"/>
          <w:sz w:val="24"/>
          <w:highlight w:val="none"/>
        </w:rPr>
        <w:t>本项目除尘系统选用的是高效、先进的脉冲式布袋除尘器，能够有效去除废气中的粉尘，废气中颗粒物的最高排放浓度能满足《铁矿采选工业污染物排放标准》(GB28661-2012)表6大气污染物特别排放限值10mg/m³的要求。项目原料</w:t>
      </w:r>
      <w:r>
        <w:rPr>
          <w:rFonts w:hint="eastAsia"/>
          <w:sz w:val="24"/>
          <w:highlight w:val="none"/>
          <w:lang w:val="en-US" w:eastAsia="zh-CN"/>
        </w:rPr>
        <w:t>棚</w:t>
      </w:r>
      <w:r>
        <w:rPr>
          <w:rFonts w:hint="eastAsia"/>
          <w:sz w:val="24"/>
          <w:highlight w:val="none"/>
        </w:rPr>
        <w:t>、成品库设置喷淋设施，厂区内设置洗车平台，能够有效减少物料储存、转运产生的粉尘。</w:t>
      </w:r>
    </w:p>
    <w:p>
      <w:pPr>
        <w:ind w:firstLine="480"/>
        <w:rPr>
          <w:sz w:val="24"/>
          <w:highlight w:val="none"/>
        </w:rPr>
      </w:pPr>
      <w:r>
        <w:rPr>
          <w:rFonts w:hint="eastAsia"/>
          <w:sz w:val="24"/>
          <w:highlight w:val="none"/>
        </w:rPr>
        <w:t>因此，项目产生的颗粒物不会有重金属污染物沉降至厂址四周地表，也不会随雨水及农灌水渗入地下，影响周边农用地。</w:t>
      </w:r>
    </w:p>
    <w:p>
      <w:pPr>
        <w:ind w:firstLine="480"/>
        <w:rPr>
          <w:sz w:val="24"/>
          <w:highlight w:val="none"/>
        </w:rPr>
      </w:pPr>
      <w:r>
        <w:rPr>
          <w:rFonts w:hint="eastAsia"/>
          <w:sz w:val="24"/>
          <w:highlight w:val="none"/>
        </w:rPr>
        <w:t>项目场地土壤分布连续稳定，其渗透系数较小，具有较强的隔水作用，有利于阻止污染物向下运移，且具有良好的吸附性能。项目按防渗技术规范要求做好分区防渗，可进一步保护项目场地的土壤环境。</w:t>
      </w:r>
    </w:p>
    <w:p>
      <w:pPr>
        <w:pStyle w:val="3"/>
        <w:rPr>
          <w:highlight w:val="none"/>
        </w:rPr>
      </w:pPr>
      <w:r>
        <w:rPr>
          <w:rFonts w:hint="eastAsia"/>
          <w:highlight w:val="none"/>
        </w:rPr>
        <w:t>5.2.6.4保护措施与对策</w:t>
      </w:r>
    </w:p>
    <w:p>
      <w:pPr>
        <w:ind w:firstLine="480"/>
        <w:rPr>
          <w:sz w:val="24"/>
          <w:highlight w:val="none"/>
        </w:rPr>
      </w:pPr>
      <w:r>
        <w:rPr>
          <w:rFonts w:hint="eastAsia"/>
          <w:sz w:val="24"/>
          <w:highlight w:val="none"/>
        </w:rPr>
        <w:t>(1)土壤环境质量现状保障措施</w:t>
      </w:r>
    </w:p>
    <w:p>
      <w:pPr>
        <w:ind w:firstLine="480"/>
        <w:rPr>
          <w:sz w:val="24"/>
          <w:highlight w:val="none"/>
        </w:rPr>
      </w:pPr>
      <w:r>
        <w:rPr>
          <w:rFonts w:hint="eastAsia"/>
          <w:sz w:val="24"/>
          <w:highlight w:val="none"/>
        </w:rPr>
        <w:t>根据土壤现状监测，建设用地采样区监测点监测值均小于《土壤环境质量 建设用地土壤污染风险管控标准（试行）》(GB36600-2018)中筛选值。</w:t>
      </w:r>
    </w:p>
    <w:p>
      <w:pPr>
        <w:ind w:firstLine="480"/>
        <w:rPr>
          <w:sz w:val="24"/>
          <w:highlight w:val="none"/>
        </w:rPr>
      </w:pPr>
      <w:r>
        <w:rPr>
          <w:rFonts w:hint="eastAsia"/>
          <w:sz w:val="24"/>
          <w:highlight w:val="none"/>
        </w:rPr>
        <w:t>(2)源头控制措施</w:t>
      </w:r>
    </w:p>
    <w:p>
      <w:pPr>
        <w:ind w:firstLine="480"/>
        <w:rPr>
          <w:sz w:val="24"/>
          <w:szCs w:val="24"/>
          <w:highlight w:val="green"/>
        </w:rPr>
      </w:pPr>
      <w:r>
        <w:rPr>
          <w:rFonts w:hint="eastAsia"/>
          <w:sz w:val="24"/>
          <w:highlight w:val="none"/>
        </w:rPr>
        <w:t>本项目破碎筛分工序均在封闭的车间内，在各破碎机、振动筛进料、出料口、入料口分别设置集气罩，粉尘经集气管收集进入脉冲布袋收尘器处理后，经18m高排气筒排放；</w:t>
      </w:r>
      <w:r>
        <w:rPr>
          <w:rFonts w:hint="eastAsia"/>
          <w:bCs/>
          <w:sz w:val="24"/>
          <w:szCs w:val="24"/>
          <w:highlight w:val="none"/>
        </w:rPr>
        <w:t>本项目上料仓均设置于封闭的厂房内，并设置喷淋抑尘装置。喷雾口辐射面积为</w:t>
      </w:r>
      <w:r>
        <w:rPr>
          <w:bCs/>
          <w:sz w:val="24"/>
          <w:szCs w:val="24"/>
          <w:highlight w:val="none"/>
        </w:rPr>
        <w:t>5m</w:t>
      </w:r>
      <w:r>
        <w:rPr>
          <w:rFonts w:hint="eastAsia"/>
          <w:bCs/>
          <w:sz w:val="24"/>
          <w:szCs w:val="24"/>
          <w:highlight w:val="none"/>
        </w:rPr>
        <w:t>×</w:t>
      </w:r>
      <w:r>
        <w:rPr>
          <w:bCs/>
          <w:sz w:val="24"/>
          <w:szCs w:val="24"/>
          <w:highlight w:val="none"/>
        </w:rPr>
        <w:t>3.5m</w:t>
      </w:r>
      <w:r>
        <w:rPr>
          <w:rFonts w:hint="eastAsia"/>
          <w:bCs/>
          <w:sz w:val="24"/>
          <w:szCs w:val="24"/>
          <w:highlight w:val="none"/>
        </w:rPr>
        <w:t>，在投料过程中喷雾抑尘。原料</w:t>
      </w:r>
      <w:r>
        <w:rPr>
          <w:rFonts w:hint="eastAsia"/>
          <w:bCs/>
          <w:sz w:val="24"/>
          <w:szCs w:val="24"/>
          <w:highlight w:val="none"/>
          <w:lang w:val="en-US" w:eastAsia="zh-CN"/>
        </w:rPr>
        <w:t>上料</w:t>
      </w:r>
      <w:r>
        <w:rPr>
          <w:rFonts w:hint="eastAsia"/>
          <w:bCs/>
          <w:sz w:val="24"/>
          <w:szCs w:val="24"/>
          <w:highlight w:val="none"/>
        </w:rPr>
        <w:t>处、产品库顶部设置喷雾抑尘装置（电伴热），喷淋管路使用保温棉包裹，每隔</w:t>
      </w:r>
      <w:r>
        <w:rPr>
          <w:bCs/>
          <w:sz w:val="24"/>
          <w:szCs w:val="24"/>
          <w:highlight w:val="none"/>
        </w:rPr>
        <w:t>5m</w:t>
      </w:r>
      <w:r>
        <w:rPr>
          <w:rFonts w:hint="eastAsia"/>
          <w:bCs/>
          <w:sz w:val="24"/>
          <w:szCs w:val="24"/>
          <w:highlight w:val="none"/>
        </w:rPr>
        <w:t>设置</w:t>
      </w:r>
      <w:r>
        <w:rPr>
          <w:bCs/>
          <w:sz w:val="24"/>
          <w:szCs w:val="24"/>
          <w:highlight w:val="none"/>
        </w:rPr>
        <w:t>1</w:t>
      </w:r>
      <w:r>
        <w:rPr>
          <w:rFonts w:hint="eastAsia"/>
          <w:bCs/>
          <w:sz w:val="24"/>
          <w:szCs w:val="24"/>
          <w:highlight w:val="none"/>
        </w:rPr>
        <w:t>个喷雾口，喷雾口辐射面积为</w:t>
      </w:r>
      <w:r>
        <w:rPr>
          <w:bCs/>
          <w:sz w:val="24"/>
          <w:szCs w:val="24"/>
          <w:highlight w:val="none"/>
        </w:rPr>
        <w:t>5m×3.5m</w:t>
      </w:r>
      <w:r>
        <w:rPr>
          <w:rFonts w:hint="eastAsia"/>
          <w:bCs/>
          <w:sz w:val="24"/>
          <w:szCs w:val="24"/>
          <w:highlight w:val="none"/>
        </w:rPr>
        <w:t>，定期向料堆喷水，并在原料卸车过程中增加喷淋次数。</w:t>
      </w:r>
      <w:r>
        <w:rPr>
          <w:rFonts w:hint="eastAsia"/>
          <w:sz w:val="24"/>
          <w:szCs w:val="24"/>
          <w:highlight w:val="none"/>
        </w:rPr>
        <w:t>本项目在厂区出口、成品库门口设置红外控制全自动洗车系统，洗车系统包括红外控制系统、清洗系统、导流系统和沉淀系统等，清洗系统包括车身冲洗系统和轮胎冲洗系统，导流系统位于清洗车辆下方，避免洗车废水积存。当运输车辆进入洗车系统后红外控制系统自动启动发出开启指令控制清洗系统开启，车身清洗系统和轮胎冲洗系统喷头进行喷水作业，自动冲洗车身及轮胎等，洗车废水通过水篦子流入导流系统然后自流入沉淀系统，洗车废水经沉淀系统澄清后循环利用。车辆冲洗结束后，运输车辆驶离洗车系统，红外控制系统发出关闭指令控制清洗系统关闭。运输车辆经苫布覆盖后离开厂区，厂区地面全部硬化，洒水降尘、保持清洁。由此减少颗粒物的产生。</w:t>
      </w:r>
    </w:p>
    <w:p>
      <w:pPr>
        <w:ind w:firstLine="480"/>
        <w:rPr>
          <w:sz w:val="24"/>
          <w:highlight w:val="none"/>
        </w:rPr>
      </w:pPr>
      <w:r>
        <w:rPr>
          <w:rFonts w:hint="eastAsia"/>
          <w:sz w:val="24"/>
          <w:highlight w:val="none"/>
        </w:rPr>
        <w:t>(3)过程控制措施</w:t>
      </w:r>
    </w:p>
    <w:p>
      <w:pPr>
        <w:ind w:firstLine="480"/>
        <w:rPr>
          <w:rFonts w:hint="eastAsia" w:eastAsia="宋体"/>
          <w:sz w:val="24"/>
          <w:highlight w:val="none"/>
          <w:lang w:eastAsia="zh-CN"/>
        </w:rPr>
      </w:pPr>
      <w:r>
        <w:rPr>
          <w:rFonts w:hint="eastAsia"/>
          <w:sz w:val="24"/>
          <w:highlight w:val="none"/>
        </w:rPr>
        <w:t>本项目采取了破碎筛分工序均在封闭的车间内，在各破碎机、振动筛进料、出料口、入料口分别设置集气罩，粉尘经集气管收集进入脉冲布袋收尘器处理后，经排气筒排放</w:t>
      </w:r>
      <w:r>
        <w:rPr>
          <w:rFonts w:hint="eastAsia"/>
          <w:sz w:val="24"/>
          <w:highlight w:val="none"/>
          <w:lang w:eastAsia="zh-CN"/>
        </w:rPr>
        <w:t>。</w:t>
      </w:r>
    </w:p>
    <w:p>
      <w:pPr>
        <w:ind w:firstLine="480"/>
        <w:rPr>
          <w:sz w:val="24"/>
          <w:highlight w:val="none"/>
        </w:rPr>
      </w:pPr>
      <w:r>
        <w:rPr>
          <w:rFonts w:hint="eastAsia"/>
          <w:sz w:val="24"/>
          <w:highlight w:val="none"/>
        </w:rPr>
        <w:t>精选工段上料仓设置于相应的原料库与精选球磨车间相接处，位于封闭的厂房内，并设置喷淋抑尘装置；原料、中间产品、最终产品以及尾砂均堆存在封闭厂房内，同时设有喷淋装置。</w:t>
      </w:r>
    </w:p>
    <w:p>
      <w:pPr>
        <w:ind w:firstLine="480"/>
        <w:rPr>
          <w:sz w:val="24"/>
          <w:highlight w:val="none"/>
        </w:rPr>
      </w:pPr>
      <w:r>
        <w:rPr>
          <w:rFonts w:hint="eastAsia"/>
          <w:sz w:val="24"/>
          <w:highlight w:val="none"/>
          <w:lang w:val="en-US" w:eastAsia="zh-CN"/>
        </w:rPr>
        <w:t>现有工程</w:t>
      </w:r>
      <w:r>
        <w:rPr>
          <w:rFonts w:hint="eastAsia"/>
          <w:sz w:val="24"/>
          <w:highlight w:val="none"/>
        </w:rPr>
        <w:t>危废间、浓密池等区域采取</w:t>
      </w:r>
      <w:r>
        <w:rPr>
          <w:rFonts w:hint="eastAsia"/>
          <w:sz w:val="24"/>
          <w:highlight w:val="none"/>
          <w:lang w:val="en-US" w:eastAsia="zh-CN"/>
        </w:rPr>
        <w:t>了</w:t>
      </w:r>
      <w:r>
        <w:rPr>
          <w:rFonts w:hint="eastAsia"/>
          <w:sz w:val="24"/>
          <w:highlight w:val="none"/>
        </w:rPr>
        <w:t>相应的防渗措施，有效</w:t>
      </w:r>
      <w:r>
        <w:rPr>
          <w:rFonts w:hint="eastAsia"/>
          <w:sz w:val="24"/>
          <w:highlight w:val="none"/>
          <w:lang w:val="en-US" w:eastAsia="zh-CN"/>
        </w:rPr>
        <w:t>的</w:t>
      </w:r>
      <w:r>
        <w:rPr>
          <w:rFonts w:hint="eastAsia"/>
          <w:sz w:val="24"/>
          <w:highlight w:val="none"/>
        </w:rPr>
        <w:t>控制污染物的跑、冒、滴、漏，将污染物泄漏至土壤中的环境风险事故降至最低限度。</w:t>
      </w:r>
    </w:p>
    <w:p>
      <w:pPr>
        <w:ind w:firstLine="480"/>
        <w:rPr>
          <w:sz w:val="24"/>
          <w:highlight w:val="none"/>
        </w:rPr>
      </w:pPr>
      <w:r>
        <w:rPr>
          <w:rFonts w:hint="eastAsia"/>
          <w:sz w:val="24"/>
          <w:highlight w:val="none"/>
        </w:rPr>
        <w:t>项目在项目占地区充分利用道路两侧、地下管道通廊上方以及零散地块种植草皮、灌木等绿化措施，吸附大气沉降至土壤中的污染物，减轻对土壤环境的影响。</w:t>
      </w:r>
    </w:p>
    <w:p>
      <w:pPr>
        <w:pStyle w:val="3"/>
        <w:rPr>
          <w:highlight w:val="none"/>
        </w:rPr>
      </w:pPr>
      <w:r>
        <w:rPr>
          <w:rFonts w:hint="eastAsia"/>
          <w:highlight w:val="none"/>
        </w:rPr>
        <w:t>5.2.6.5评价结论</w:t>
      </w:r>
    </w:p>
    <w:p>
      <w:pPr>
        <w:ind w:firstLine="480"/>
        <w:rPr>
          <w:sz w:val="24"/>
          <w:highlight w:val="none"/>
        </w:rPr>
      </w:pPr>
      <w:r>
        <w:rPr>
          <w:rFonts w:hint="eastAsia"/>
          <w:sz w:val="24"/>
          <w:highlight w:val="none"/>
        </w:rPr>
        <w:t>(1)土壤环境现状</w:t>
      </w:r>
    </w:p>
    <w:p>
      <w:pPr>
        <w:ind w:firstLine="480"/>
        <w:rPr>
          <w:sz w:val="24"/>
          <w:highlight w:val="none"/>
        </w:rPr>
      </w:pPr>
      <w:r>
        <w:rPr>
          <w:rFonts w:hint="eastAsia"/>
          <w:sz w:val="24"/>
          <w:highlight w:val="none"/>
        </w:rPr>
        <w:t>土壤现状调查评价区内的建设用地采样区监测点监测值均小于《土壤环境质量 建设用地土壤污染风险管控标准（试行）》(GB36600-2018)中筛选值。</w:t>
      </w:r>
    </w:p>
    <w:p>
      <w:pPr>
        <w:ind w:firstLine="480"/>
        <w:rPr>
          <w:sz w:val="24"/>
          <w:highlight w:val="none"/>
        </w:rPr>
      </w:pPr>
      <w:r>
        <w:rPr>
          <w:rFonts w:hint="eastAsia"/>
          <w:sz w:val="24"/>
          <w:highlight w:val="none"/>
        </w:rPr>
        <w:t>(2)土壤环境影响</w:t>
      </w:r>
    </w:p>
    <w:p>
      <w:pPr>
        <w:ind w:firstLine="480"/>
        <w:rPr>
          <w:sz w:val="24"/>
          <w:highlight w:val="none"/>
        </w:rPr>
      </w:pPr>
      <w:r>
        <w:rPr>
          <w:rFonts w:hint="eastAsia"/>
          <w:sz w:val="24"/>
          <w:highlight w:val="none"/>
        </w:rPr>
        <w:t>本次土壤环境影响评价等级为三级，采用定性描述的方法进行预测与评价。本项目排放污染物粉尘中无重金属颗粒，不会有重金属污染物沉降至厂址四周地表，随雨水及农灌水渗入地下，污染土壤。</w:t>
      </w:r>
    </w:p>
    <w:p>
      <w:pPr>
        <w:ind w:firstLine="480"/>
        <w:rPr>
          <w:sz w:val="24"/>
          <w:highlight w:val="none"/>
        </w:rPr>
      </w:pPr>
      <w:r>
        <w:rPr>
          <w:rFonts w:hint="eastAsia"/>
          <w:sz w:val="24"/>
          <w:highlight w:val="none"/>
        </w:rPr>
        <w:t>(3)土壤环境污染防控措施</w:t>
      </w:r>
    </w:p>
    <w:p>
      <w:pPr>
        <w:ind w:firstLine="480"/>
        <w:rPr>
          <w:sz w:val="24"/>
          <w:highlight w:val="none"/>
        </w:rPr>
      </w:pPr>
      <w:r>
        <w:rPr>
          <w:rFonts w:hint="eastAsia"/>
          <w:sz w:val="24"/>
          <w:highlight w:val="none"/>
        </w:rPr>
        <w:t>本项目采取了源头控制措施和分区防控措施，从源头上减少了污染物的排放量，同时通过采取严格的防渗措施，切断了垂向入渗进入土壤的途径。</w:t>
      </w:r>
    </w:p>
    <w:p>
      <w:pPr>
        <w:ind w:firstLine="480"/>
        <w:rPr>
          <w:sz w:val="24"/>
          <w:highlight w:val="none"/>
        </w:rPr>
      </w:pPr>
      <w:r>
        <w:rPr>
          <w:rFonts w:hint="eastAsia"/>
          <w:sz w:val="24"/>
          <w:highlight w:val="none"/>
        </w:rPr>
        <w:t>综合以上分析，本项目对土壤环境的影响可以接受，从土壤环境影响的角度分析，项目的建设是可行的。</w:t>
      </w:r>
    </w:p>
    <w:p>
      <w:pPr>
        <w:autoSpaceDE w:val="0"/>
        <w:autoSpaceDN w:val="0"/>
        <w:spacing w:line="240" w:lineRule="auto"/>
        <w:ind w:firstLine="0" w:firstLineChars="0"/>
        <w:jc w:val="center"/>
        <w:textAlignment w:val="auto"/>
        <w:rPr>
          <w:rFonts w:eastAsia="黑体"/>
          <w:bCs/>
          <w:kern w:val="2"/>
          <w:sz w:val="21"/>
          <w:szCs w:val="21"/>
          <w:highlight w:val="none"/>
        </w:rPr>
      </w:pPr>
      <w:r>
        <w:rPr>
          <w:rFonts w:hint="eastAsia" w:eastAsia="黑体"/>
          <w:bCs/>
          <w:kern w:val="2"/>
          <w:sz w:val="21"/>
          <w:szCs w:val="21"/>
          <w:highlight w:val="none"/>
        </w:rPr>
        <w:t xml:space="preserve">表 </w:t>
      </w:r>
      <w:r>
        <w:rPr>
          <w:rFonts w:eastAsia="黑体"/>
          <w:bCs/>
          <w:kern w:val="2"/>
          <w:sz w:val="21"/>
          <w:szCs w:val="21"/>
          <w:highlight w:val="none"/>
        </w:rPr>
        <w:fldChar w:fldCharType="begin"/>
      </w:r>
      <w:r>
        <w:rPr>
          <w:rFonts w:eastAsia="黑体"/>
          <w:bCs/>
          <w:kern w:val="2"/>
          <w:sz w:val="21"/>
          <w:szCs w:val="21"/>
          <w:highlight w:val="none"/>
        </w:rPr>
        <w:instrText xml:space="preserve"> </w:instrText>
      </w:r>
      <w:r>
        <w:rPr>
          <w:rFonts w:hint="eastAsia" w:eastAsia="黑体"/>
          <w:bCs/>
          <w:kern w:val="2"/>
          <w:sz w:val="21"/>
          <w:szCs w:val="21"/>
          <w:highlight w:val="none"/>
        </w:rPr>
        <w:instrText xml:space="preserve">STYLEREF 2 \s</w:instrText>
      </w:r>
      <w:r>
        <w:rPr>
          <w:rFonts w:eastAsia="黑体"/>
          <w:bCs/>
          <w:kern w:val="2"/>
          <w:sz w:val="21"/>
          <w:szCs w:val="21"/>
          <w:highlight w:val="none"/>
        </w:rPr>
        <w:instrText xml:space="preserve"> </w:instrText>
      </w:r>
      <w:r>
        <w:rPr>
          <w:rFonts w:eastAsia="黑体"/>
          <w:bCs/>
          <w:kern w:val="2"/>
          <w:sz w:val="21"/>
          <w:szCs w:val="21"/>
          <w:highlight w:val="none"/>
        </w:rPr>
        <w:fldChar w:fldCharType="separate"/>
      </w:r>
      <w:r>
        <w:rPr>
          <w:rFonts w:eastAsia="黑体"/>
          <w:bCs/>
          <w:kern w:val="2"/>
          <w:sz w:val="21"/>
          <w:szCs w:val="21"/>
          <w:highlight w:val="none"/>
        </w:rPr>
        <w:t>5.2</w:t>
      </w:r>
      <w:r>
        <w:rPr>
          <w:rFonts w:eastAsia="黑体"/>
          <w:bCs/>
          <w:kern w:val="2"/>
          <w:sz w:val="21"/>
          <w:szCs w:val="21"/>
          <w:highlight w:val="none"/>
        </w:rPr>
        <w:fldChar w:fldCharType="end"/>
      </w:r>
      <w:r>
        <w:rPr>
          <w:rFonts w:hint="eastAsia" w:eastAsia="黑体"/>
          <w:bCs/>
          <w:kern w:val="2"/>
          <w:sz w:val="21"/>
          <w:szCs w:val="21"/>
          <w:highlight w:val="none"/>
        </w:rPr>
        <w:t>–</w:t>
      </w:r>
      <w:r>
        <w:rPr>
          <w:rFonts w:eastAsia="黑体"/>
          <w:bCs/>
          <w:kern w:val="2"/>
          <w:sz w:val="21"/>
          <w:szCs w:val="21"/>
          <w:highlight w:val="none"/>
        </w:rPr>
        <w:fldChar w:fldCharType="begin"/>
      </w:r>
      <w:r>
        <w:rPr>
          <w:rFonts w:eastAsia="黑体"/>
          <w:bCs/>
          <w:kern w:val="2"/>
          <w:sz w:val="21"/>
          <w:szCs w:val="21"/>
          <w:highlight w:val="none"/>
        </w:rPr>
        <w:instrText xml:space="preserve"> </w:instrText>
      </w:r>
      <w:r>
        <w:rPr>
          <w:rFonts w:hint="eastAsia" w:eastAsia="黑体"/>
          <w:bCs/>
          <w:kern w:val="2"/>
          <w:sz w:val="21"/>
          <w:szCs w:val="21"/>
          <w:highlight w:val="none"/>
        </w:rPr>
        <w:instrText xml:space="preserve">SEQ 表 \* ARABIC \s 2</w:instrText>
      </w:r>
      <w:r>
        <w:rPr>
          <w:rFonts w:eastAsia="黑体"/>
          <w:bCs/>
          <w:kern w:val="2"/>
          <w:sz w:val="21"/>
          <w:szCs w:val="21"/>
          <w:highlight w:val="none"/>
        </w:rPr>
        <w:instrText xml:space="preserve"> </w:instrText>
      </w:r>
      <w:r>
        <w:rPr>
          <w:rFonts w:eastAsia="黑体"/>
          <w:bCs/>
          <w:kern w:val="2"/>
          <w:sz w:val="21"/>
          <w:szCs w:val="21"/>
          <w:highlight w:val="none"/>
        </w:rPr>
        <w:fldChar w:fldCharType="separate"/>
      </w:r>
      <w:r>
        <w:rPr>
          <w:rFonts w:eastAsia="黑体"/>
          <w:bCs/>
          <w:kern w:val="2"/>
          <w:sz w:val="21"/>
          <w:szCs w:val="21"/>
          <w:highlight w:val="none"/>
        </w:rPr>
        <w:t>3</w:t>
      </w:r>
      <w:r>
        <w:rPr>
          <w:rFonts w:eastAsia="黑体"/>
          <w:bCs/>
          <w:kern w:val="2"/>
          <w:sz w:val="21"/>
          <w:szCs w:val="21"/>
          <w:highlight w:val="none"/>
        </w:rPr>
        <w:fldChar w:fldCharType="end"/>
      </w:r>
      <w:r>
        <w:rPr>
          <w:rFonts w:hint="eastAsia" w:eastAsia="黑体"/>
          <w:bCs/>
          <w:kern w:val="2"/>
          <w:sz w:val="21"/>
          <w:szCs w:val="21"/>
          <w:highlight w:val="none"/>
          <w:lang w:val="en-US" w:eastAsia="zh-CN"/>
        </w:rPr>
        <w:t>4</w:t>
      </w:r>
      <w:r>
        <w:rPr>
          <w:rFonts w:eastAsia="黑体"/>
          <w:bCs/>
          <w:kern w:val="2"/>
          <w:sz w:val="21"/>
          <w:szCs w:val="21"/>
          <w:highlight w:val="none"/>
        </w:rPr>
        <w:t xml:space="preserve">  </w:t>
      </w:r>
      <w:r>
        <w:rPr>
          <w:rFonts w:hint="eastAsia" w:eastAsia="黑体"/>
          <w:bCs/>
          <w:kern w:val="2"/>
          <w:sz w:val="21"/>
          <w:szCs w:val="21"/>
          <w:highlight w:val="none"/>
        </w:rPr>
        <w:t>土壤环境影响评价自查表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1796"/>
        <w:gridCol w:w="1648"/>
        <w:gridCol w:w="472"/>
        <w:gridCol w:w="603"/>
        <w:gridCol w:w="598"/>
        <w:gridCol w:w="1067"/>
        <w:gridCol w:w="964"/>
        <w:gridCol w:w="68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0" w:type="dxa"/>
            <w:gridSpan w:val="2"/>
            <w:shd w:val="clear" w:color="auto" w:fill="auto"/>
            <w:tcMar>
              <w:left w:w="0" w:type="dxa"/>
              <w:right w:w="0" w:type="dxa"/>
            </w:tcMar>
            <w:vAlign w:val="center"/>
          </w:tcPr>
          <w:p>
            <w:pPr>
              <w:pStyle w:val="313"/>
              <w:ind w:firstLine="400"/>
              <w:rPr>
                <w:highlight w:val="none"/>
              </w:rPr>
            </w:pPr>
            <w:r>
              <w:rPr>
                <w:rFonts w:hint="eastAsia"/>
                <w:highlight w:val="none"/>
              </w:rPr>
              <w:t>工作内容</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完成情况</w:t>
            </w:r>
          </w:p>
        </w:tc>
        <w:tc>
          <w:tcPr>
            <w:tcW w:w="683" w:type="dxa"/>
            <w:shd w:val="clear" w:color="auto" w:fill="auto"/>
            <w:tcMar>
              <w:left w:w="0" w:type="dxa"/>
              <w:right w:w="0" w:type="dxa"/>
            </w:tcMar>
            <w:vAlign w:val="center"/>
          </w:tcPr>
          <w:p>
            <w:pPr>
              <w:pStyle w:val="313"/>
              <w:rPr>
                <w:highlight w:val="none"/>
              </w:rPr>
            </w:pPr>
            <w:r>
              <w:rPr>
                <w:rFonts w:hint="eastAsia"/>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restart"/>
            <w:shd w:val="clear" w:color="auto" w:fill="auto"/>
            <w:tcMar>
              <w:left w:w="0" w:type="dxa"/>
              <w:right w:w="0" w:type="dxa"/>
            </w:tcMar>
            <w:vAlign w:val="center"/>
          </w:tcPr>
          <w:p>
            <w:pPr>
              <w:pStyle w:val="313"/>
              <w:jc w:val="left"/>
              <w:rPr>
                <w:highlight w:val="none"/>
              </w:rPr>
            </w:pPr>
            <w:r>
              <w:rPr>
                <w:rFonts w:hint="eastAsia"/>
                <w:highlight w:val="none"/>
              </w:rPr>
              <w:t>影响识别</w:t>
            </w:r>
          </w:p>
        </w:tc>
        <w:tc>
          <w:tcPr>
            <w:tcW w:w="1796" w:type="dxa"/>
            <w:shd w:val="clear" w:color="auto" w:fill="auto"/>
            <w:tcMar>
              <w:left w:w="0" w:type="dxa"/>
              <w:right w:w="0" w:type="dxa"/>
            </w:tcMar>
            <w:vAlign w:val="center"/>
          </w:tcPr>
          <w:p>
            <w:pPr>
              <w:pStyle w:val="313"/>
              <w:rPr>
                <w:highlight w:val="none"/>
              </w:rPr>
            </w:pPr>
            <w:r>
              <w:rPr>
                <w:rFonts w:hint="eastAsia"/>
                <w:highlight w:val="none"/>
              </w:rPr>
              <w:t>影响类型</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污染影响型√；生态影响型□；两种兼有□</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土地利用类型</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建设用地√；农用地□；未利用地□</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占地规模</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（1.26）h㎡</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敏感目标信息</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敏感目标（耕地、林地）、方位（四周）、距离（</w:t>
            </w:r>
            <w:r>
              <w:rPr>
                <w:highlight w:val="none"/>
              </w:rPr>
              <w:t>50m</w:t>
            </w:r>
            <w:r>
              <w:rPr>
                <w:rFonts w:hint="eastAsia"/>
                <w:highlight w:val="none"/>
              </w:rPr>
              <w:t>内）</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影响途径</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大气沉降√；地面漫流□；垂直入渗√；地下水位□；其他（ ）</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全部污染物</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颗粒物、铁</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特征因子</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w:t>
            </w:r>
            <w:r>
              <w:rPr>
                <w:highlight w:val="none"/>
              </w:rPr>
              <w:t>-</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所属土壤环境影响评价项目类别</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Ⅰ类□；Ⅱ类□；Ⅲ类√；Ⅳ类□</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敏感程度</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敏感√；较敏感□；不敏感□</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0" w:type="dxa"/>
            <w:gridSpan w:val="2"/>
            <w:shd w:val="clear" w:color="auto" w:fill="auto"/>
            <w:tcMar>
              <w:left w:w="0" w:type="dxa"/>
              <w:right w:w="0" w:type="dxa"/>
            </w:tcMar>
            <w:vAlign w:val="center"/>
          </w:tcPr>
          <w:p>
            <w:pPr>
              <w:pStyle w:val="313"/>
              <w:rPr>
                <w:highlight w:val="none"/>
              </w:rPr>
            </w:pPr>
            <w:r>
              <w:rPr>
                <w:rFonts w:hint="eastAsia"/>
                <w:highlight w:val="none"/>
              </w:rPr>
              <w:t>评价工作等级</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一级□；二级□；三级√</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restart"/>
            <w:shd w:val="clear" w:color="auto" w:fill="auto"/>
            <w:tcMar>
              <w:left w:w="0" w:type="dxa"/>
              <w:right w:w="0" w:type="dxa"/>
            </w:tcMar>
            <w:vAlign w:val="center"/>
          </w:tcPr>
          <w:p>
            <w:pPr>
              <w:pStyle w:val="313"/>
              <w:rPr>
                <w:highlight w:val="none"/>
              </w:rPr>
            </w:pPr>
            <w:r>
              <w:rPr>
                <w:rFonts w:hint="eastAsia"/>
                <w:highlight w:val="none"/>
              </w:rPr>
              <w:t>现</w:t>
            </w:r>
          </w:p>
          <w:p>
            <w:pPr>
              <w:pStyle w:val="313"/>
              <w:rPr>
                <w:highlight w:val="none"/>
              </w:rPr>
            </w:pPr>
            <w:r>
              <w:rPr>
                <w:rFonts w:hint="eastAsia"/>
                <w:highlight w:val="none"/>
              </w:rPr>
              <w:t>状</w:t>
            </w:r>
          </w:p>
          <w:p>
            <w:pPr>
              <w:pStyle w:val="313"/>
              <w:rPr>
                <w:highlight w:val="none"/>
              </w:rPr>
            </w:pPr>
            <w:r>
              <w:rPr>
                <w:rFonts w:hint="eastAsia"/>
                <w:highlight w:val="none"/>
              </w:rPr>
              <w:t>调</w:t>
            </w:r>
          </w:p>
          <w:p>
            <w:pPr>
              <w:pStyle w:val="313"/>
              <w:rPr>
                <w:highlight w:val="none"/>
              </w:rPr>
            </w:pPr>
            <w:r>
              <w:rPr>
                <w:rFonts w:hint="eastAsia"/>
                <w:highlight w:val="none"/>
              </w:rPr>
              <w:t>查</w:t>
            </w:r>
          </w:p>
          <w:p>
            <w:pPr>
              <w:pStyle w:val="313"/>
              <w:rPr>
                <w:highlight w:val="none"/>
              </w:rPr>
            </w:pPr>
            <w:r>
              <w:rPr>
                <w:rFonts w:hint="eastAsia"/>
                <w:highlight w:val="none"/>
              </w:rPr>
              <w:t>内</w:t>
            </w:r>
          </w:p>
          <w:p>
            <w:pPr>
              <w:pStyle w:val="313"/>
              <w:rPr>
                <w:highlight w:val="none"/>
              </w:rPr>
            </w:pPr>
            <w:r>
              <w:rPr>
                <w:rFonts w:hint="eastAsia"/>
                <w:highlight w:val="none"/>
              </w:rPr>
              <w:t>容</w:t>
            </w:r>
          </w:p>
          <w:p>
            <w:pPr>
              <w:pStyle w:val="313"/>
              <w:rPr>
                <w:highlight w:val="none"/>
              </w:rPr>
            </w:pPr>
            <w:r>
              <w:rPr>
                <w:rFonts w:hint="eastAsia"/>
                <w:highlight w:val="none"/>
              </w:rPr>
              <w:t>.</w:t>
            </w:r>
          </w:p>
        </w:tc>
        <w:tc>
          <w:tcPr>
            <w:tcW w:w="1796" w:type="dxa"/>
            <w:shd w:val="clear" w:color="auto" w:fill="auto"/>
            <w:tcMar>
              <w:left w:w="0" w:type="dxa"/>
              <w:right w:w="0" w:type="dxa"/>
            </w:tcMar>
            <w:vAlign w:val="center"/>
          </w:tcPr>
          <w:p>
            <w:pPr>
              <w:pStyle w:val="313"/>
              <w:rPr>
                <w:highlight w:val="none"/>
              </w:rPr>
            </w:pPr>
            <w:r>
              <w:rPr>
                <w:rFonts w:hint="eastAsia"/>
                <w:highlight w:val="none"/>
              </w:rPr>
              <w:t>资料收集</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a）□；b）√；c）√；d）□</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理化特性</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见环境质量现状监测报告（附件6）</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restart"/>
            <w:shd w:val="clear" w:color="auto" w:fill="auto"/>
            <w:tcMar>
              <w:left w:w="0" w:type="dxa"/>
              <w:right w:w="0" w:type="dxa"/>
            </w:tcMar>
            <w:vAlign w:val="center"/>
          </w:tcPr>
          <w:p>
            <w:pPr>
              <w:pStyle w:val="313"/>
              <w:rPr>
                <w:highlight w:val="none"/>
              </w:rPr>
            </w:pPr>
            <w:r>
              <w:rPr>
                <w:rFonts w:hint="eastAsia"/>
                <w:highlight w:val="none"/>
              </w:rPr>
              <w:t>现状监测点位</w:t>
            </w:r>
          </w:p>
        </w:tc>
        <w:tc>
          <w:tcPr>
            <w:tcW w:w="2120" w:type="dxa"/>
            <w:gridSpan w:val="2"/>
            <w:shd w:val="clear" w:color="auto" w:fill="auto"/>
            <w:tcMar>
              <w:left w:w="0" w:type="dxa"/>
              <w:right w:w="0" w:type="dxa"/>
            </w:tcMar>
            <w:vAlign w:val="center"/>
          </w:tcPr>
          <w:p>
            <w:pPr>
              <w:pStyle w:val="313"/>
              <w:ind w:firstLine="400"/>
              <w:rPr>
                <w:highlight w:val="none"/>
              </w:rPr>
            </w:pPr>
          </w:p>
        </w:tc>
        <w:tc>
          <w:tcPr>
            <w:tcW w:w="1201" w:type="dxa"/>
            <w:gridSpan w:val="2"/>
            <w:shd w:val="clear" w:color="auto" w:fill="auto"/>
            <w:tcMar>
              <w:left w:w="0" w:type="dxa"/>
              <w:right w:w="0" w:type="dxa"/>
            </w:tcMar>
            <w:vAlign w:val="center"/>
          </w:tcPr>
          <w:p>
            <w:pPr>
              <w:pStyle w:val="313"/>
              <w:rPr>
                <w:highlight w:val="none"/>
              </w:rPr>
            </w:pPr>
            <w:r>
              <w:rPr>
                <w:rFonts w:hint="eastAsia"/>
                <w:highlight w:val="none"/>
              </w:rPr>
              <w:t>占地范围内</w:t>
            </w:r>
          </w:p>
        </w:tc>
        <w:tc>
          <w:tcPr>
            <w:tcW w:w="1067" w:type="dxa"/>
            <w:shd w:val="clear" w:color="auto" w:fill="auto"/>
            <w:tcMar>
              <w:left w:w="0" w:type="dxa"/>
              <w:right w:w="0" w:type="dxa"/>
            </w:tcMar>
            <w:vAlign w:val="center"/>
          </w:tcPr>
          <w:p>
            <w:pPr>
              <w:pStyle w:val="313"/>
              <w:rPr>
                <w:highlight w:val="none"/>
              </w:rPr>
            </w:pPr>
            <w:r>
              <w:rPr>
                <w:rFonts w:hint="eastAsia"/>
                <w:highlight w:val="none"/>
              </w:rPr>
              <w:t>占地范围外</w:t>
            </w:r>
          </w:p>
        </w:tc>
        <w:tc>
          <w:tcPr>
            <w:tcW w:w="964" w:type="dxa"/>
            <w:shd w:val="clear" w:color="auto" w:fill="auto"/>
            <w:tcMar>
              <w:left w:w="0" w:type="dxa"/>
              <w:right w:w="0" w:type="dxa"/>
            </w:tcMar>
            <w:vAlign w:val="center"/>
          </w:tcPr>
          <w:p>
            <w:pPr>
              <w:pStyle w:val="313"/>
              <w:rPr>
                <w:highlight w:val="none"/>
              </w:rPr>
            </w:pPr>
            <w:r>
              <w:rPr>
                <w:rFonts w:hint="eastAsia"/>
                <w:highlight w:val="none"/>
              </w:rPr>
              <w:t>深度</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continue"/>
            <w:shd w:val="clear" w:color="auto" w:fill="auto"/>
            <w:tcMar>
              <w:left w:w="0" w:type="dxa"/>
              <w:right w:w="0" w:type="dxa"/>
            </w:tcMar>
            <w:vAlign w:val="center"/>
          </w:tcPr>
          <w:p>
            <w:pPr>
              <w:pStyle w:val="313"/>
              <w:ind w:firstLine="400"/>
              <w:rPr>
                <w:highlight w:val="none"/>
              </w:rPr>
            </w:pPr>
          </w:p>
        </w:tc>
        <w:tc>
          <w:tcPr>
            <w:tcW w:w="2120" w:type="dxa"/>
            <w:gridSpan w:val="2"/>
            <w:shd w:val="clear" w:color="auto" w:fill="auto"/>
            <w:tcMar>
              <w:left w:w="0" w:type="dxa"/>
              <w:right w:w="0" w:type="dxa"/>
            </w:tcMar>
            <w:vAlign w:val="center"/>
          </w:tcPr>
          <w:p>
            <w:pPr>
              <w:pStyle w:val="313"/>
              <w:rPr>
                <w:highlight w:val="none"/>
              </w:rPr>
            </w:pPr>
            <w:r>
              <w:rPr>
                <w:rFonts w:hint="eastAsia"/>
                <w:highlight w:val="none"/>
              </w:rPr>
              <w:t>表层样点数</w:t>
            </w:r>
          </w:p>
        </w:tc>
        <w:tc>
          <w:tcPr>
            <w:tcW w:w="1201" w:type="dxa"/>
            <w:gridSpan w:val="2"/>
            <w:shd w:val="clear" w:color="auto" w:fill="auto"/>
            <w:tcMar>
              <w:left w:w="0" w:type="dxa"/>
              <w:right w:w="0" w:type="dxa"/>
            </w:tcMar>
            <w:vAlign w:val="center"/>
          </w:tcPr>
          <w:p>
            <w:pPr>
              <w:pStyle w:val="313"/>
              <w:rPr>
                <w:highlight w:val="none"/>
              </w:rPr>
            </w:pPr>
            <w:r>
              <w:rPr>
                <w:rFonts w:hint="eastAsia"/>
                <w:highlight w:val="none"/>
              </w:rPr>
              <w:t>3</w:t>
            </w:r>
          </w:p>
        </w:tc>
        <w:tc>
          <w:tcPr>
            <w:tcW w:w="1067" w:type="dxa"/>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964" w:type="dxa"/>
            <w:shd w:val="clear" w:color="auto" w:fill="auto"/>
            <w:tcMar>
              <w:left w:w="0" w:type="dxa"/>
              <w:right w:w="0" w:type="dxa"/>
            </w:tcMar>
            <w:vAlign w:val="center"/>
          </w:tcPr>
          <w:p>
            <w:pPr>
              <w:pStyle w:val="313"/>
              <w:rPr>
                <w:highlight w:val="none"/>
              </w:rPr>
            </w:pPr>
            <w:r>
              <w:rPr>
                <w:rFonts w:hint="eastAsia"/>
                <w:highlight w:val="none"/>
              </w:rPr>
              <w:t>0</w:t>
            </w:r>
            <w:r>
              <w:rPr>
                <w:highlight w:val="none"/>
              </w:rPr>
              <w:t>-0.2</w:t>
            </w:r>
            <w:r>
              <w:rPr>
                <w:rFonts w:hint="eastAsia"/>
                <w:highlight w:val="none"/>
              </w:rPr>
              <w:t>m</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continue"/>
            <w:shd w:val="clear" w:color="auto" w:fill="auto"/>
            <w:tcMar>
              <w:left w:w="0" w:type="dxa"/>
              <w:right w:w="0" w:type="dxa"/>
            </w:tcMar>
            <w:vAlign w:val="center"/>
          </w:tcPr>
          <w:p>
            <w:pPr>
              <w:pStyle w:val="313"/>
              <w:ind w:firstLine="400"/>
              <w:rPr>
                <w:highlight w:val="none"/>
              </w:rPr>
            </w:pPr>
          </w:p>
        </w:tc>
        <w:tc>
          <w:tcPr>
            <w:tcW w:w="2120" w:type="dxa"/>
            <w:gridSpan w:val="2"/>
            <w:shd w:val="clear" w:color="auto" w:fill="auto"/>
            <w:tcMar>
              <w:left w:w="0" w:type="dxa"/>
              <w:right w:w="0" w:type="dxa"/>
            </w:tcMar>
            <w:vAlign w:val="center"/>
          </w:tcPr>
          <w:p>
            <w:pPr>
              <w:pStyle w:val="313"/>
              <w:rPr>
                <w:highlight w:val="none"/>
              </w:rPr>
            </w:pPr>
            <w:r>
              <w:rPr>
                <w:rFonts w:hint="eastAsia"/>
                <w:highlight w:val="none"/>
              </w:rPr>
              <w:t>柱状样点数</w:t>
            </w:r>
          </w:p>
        </w:tc>
        <w:tc>
          <w:tcPr>
            <w:tcW w:w="1201" w:type="dxa"/>
            <w:gridSpan w:val="2"/>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1067" w:type="dxa"/>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964" w:type="dxa"/>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现状监测因子</w:t>
            </w:r>
          </w:p>
        </w:tc>
        <w:tc>
          <w:tcPr>
            <w:tcW w:w="5352" w:type="dxa"/>
            <w:gridSpan w:val="6"/>
            <w:shd w:val="clear" w:color="auto" w:fill="auto"/>
            <w:tcMar>
              <w:left w:w="0" w:type="dxa"/>
              <w:right w:w="0" w:type="dxa"/>
            </w:tcMar>
            <w:vAlign w:val="center"/>
          </w:tcPr>
          <w:p>
            <w:pPr>
              <w:pStyle w:val="313"/>
              <w:ind w:firstLine="400"/>
              <w:rPr>
                <w:w w:val="90"/>
                <w:highlight w:val="none"/>
              </w:rPr>
            </w:pPr>
            <w:r>
              <w:rPr>
                <w:rFonts w:hint="eastAsia"/>
                <w:w w:val="90"/>
                <w:highlight w:val="none"/>
              </w:rPr>
              <w:t>砷、镉、铬(六价)、铜、铅、汞、镍、四氯化碳、氯仿、氯甲烷、1,1-二氯乙烷、1,2-二氯乙烷、1,1-二氯乙烯、顺1,2-二氯乙烯、反1,2-二氯乙烯、二氯甲烷、1,2-二氯丙烷、1,1,1,2-四氯乙烷、1,1,2,2-四氯乙烷、四氯乙烯、1,1,1-三氯乙烷、1,1,2-三氯乙烷、三氯乙烯、1,1,3-三氯丙烷、氯乙烯、苯、氯苯、1,2-二氯苯、1,4-二氯苯、乙苯、苯乙烯、甲苯、间二甲苯+对二甲苯、邻二甲苯、硝基苯、苯胺、2-氯酚、苯并[a]蒽、苯并[a]芘、苯并</w:t>
            </w:r>
            <w:r>
              <w:rPr>
                <w:w w:val="90"/>
                <w:highlight w:val="none"/>
              </w:rPr>
              <w:t>[b]</w:t>
            </w:r>
            <w:r>
              <w:rPr>
                <w:rFonts w:hint="eastAsia"/>
                <w:w w:val="90"/>
                <w:highlight w:val="none"/>
              </w:rPr>
              <w:t>荧蒽、苯并</w:t>
            </w:r>
            <w:r>
              <w:rPr>
                <w:w w:val="90"/>
                <w:highlight w:val="none"/>
              </w:rPr>
              <w:t>[k]</w:t>
            </w:r>
            <w:r>
              <w:rPr>
                <w:rFonts w:hint="eastAsia"/>
                <w:w w:val="90"/>
                <w:highlight w:val="none"/>
              </w:rPr>
              <w:t>荧蒽、䓛、二苯并</w:t>
            </w:r>
            <w:r>
              <w:rPr>
                <w:w w:val="90"/>
                <w:highlight w:val="none"/>
              </w:rPr>
              <w:t>[a,h]</w:t>
            </w:r>
            <w:r>
              <w:rPr>
                <w:rFonts w:hint="eastAsia"/>
                <w:w w:val="90"/>
                <w:highlight w:val="none"/>
              </w:rPr>
              <w:t>蒽、茚并[1,2,3-cd]芘、萘</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 w:type="dxa"/>
            <w:vMerge w:val="restart"/>
            <w:shd w:val="clear" w:color="auto" w:fill="auto"/>
            <w:tcMar>
              <w:left w:w="0" w:type="dxa"/>
              <w:right w:w="0" w:type="dxa"/>
            </w:tcMar>
            <w:vAlign w:val="center"/>
          </w:tcPr>
          <w:p>
            <w:pPr>
              <w:pStyle w:val="313"/>
              <w:rPr>
                <w:highlight w:val="none"/>
              </w:rPr>
            </w:pPr>
            <w:r>
              <w:rPr>
                <w:rFonts w:hint="eastAsia"/>
                <w:highlight w:val="none"/>
              </w:rPr>
              <w:t>现</w:t>
            </w:r>
          </w:p>
          <w:p>
            <w:pPr>
              <w:pStyle w:val="313"/>
              <w:rPr>
                <w:highlight w:val="none"/>
              </w:rPr>
            </w:pPr>
            <w:r>
              <w:rPr>
                <w:rFonts w:hint="eastAsia"/>
                <w:highlight w:val="none"/>
              </w:rPr>
              <w:t>状</w:t>
            </w:r>
          </w:p>
          <w:p>
            <w:pPr>
              <w:pStyle w:val="313"/>
              <w:rPr>
                <w:highlight w:val="none"/>
              </w:rPr>
            </w:pPr>
            <w:r>
              <w:rPr>
                <w:rFonts w:hint="eastAsia"/>
                <w:highlight w:val="none"/>
              </w:rPr>
              <w:t>评</w:t>
            </w:r>
          </w:p>
          <w:p>
            <w:pPr>
              <w:pStyle w:val="313"/>
              <w:rPr>
                <w:highlight w:val="none"/>
              </w:rPr>
            </w:pPr>
            <w:r>
              <w:rPr>
                <w:rFonts w:hint="eastAsia"/>
                <w:highlight w:val="none"/>
              </w:rPr>
              <w:t>价</w:t>
            </w:r>
          </w:p>
        </w:tc>
        <w:tc>
          <w:tcPr>
            <w:tcW w:w="1796" w:type="dxa"/>
            <w:shd w:val="clear" w:color="auto" w:fill="auto"/>
            <w:tcMar>
              <w:left w:w="0" w:type="dxa"/>
              <w:right w:w="0" w:type="dxa"/>
            </w:tcMar>
            <w:vAlign w:val="center"/>
          </w:tcPr>
          <w:p>
            <w:pPr>
              <w:pStyle w:val="313"/>
              <w:rPr>
                <w:highlight w:val="none"/>
              </w:rPr>
            </w:pPr>
            <w:r>
              <w:rPr>
                <w:rFonts w:hint="eastAsia"/>
                <w:highlight w:val="none"/>
              </w:rPr>
              <w:t>评价因子</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同现状监测因子</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评价标准</w:t>
            </w:r>
          </w:p>
        </w:tc>
        <w:tc>
          <w:tcPr>
            <w:tcW w:w="5352" w:type="dxa"/>
            <w:gridSpan w:val="6"/>
            <w:shd w:val="clear" w:color="auto" w:fill="auto"/>
            <w:tcMar>
              <w:left w:w="0" w:type="dxa"/>
              <w:right w:w="0" w:type="dxa"/>
            </w:tcMar>
            <w:vAlign w:val="center"/>
          </w:tcPr>
          <w:p>
            <w:pPr>
              <w:pStyle w:val="313"/>
              <w:jc w:val="left"/>
              <w:rPr>
                <w:highlight w:val="none"/>
              </w:rPr>
            </w:pPr>
            <w:r>
              <w:rPr>
                <w:rFonts w:hint="eastAsia"/>
                <w:highlight w:val="none"/>
              </w:rPr>
              <w:t>GB 15618□；GB 36600√；表D.1□；表 D.2□；其他（ ）</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现状评价结论</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土壤污染风险可以忽略</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 w:type="dxa"/>
            <w:vMerge w:val="restart"/>
            <w:shd w:val="clear" w:color="auto" w:fill="auto"/>
            <w:tcMar>
              <w:left w:w="0" w:type="dxa"/>
              <w:right w:w="0" w:type="dxa"/>
            </w:tcMar>
            <w:vAlign w:val="center"/>
          </w:tcPr>
          <w:p>
            <w:pPr>
              <w:pStyle w:val="313"/>
              <w:rPr>
                <w:highlight w:val="none"/>
              </w:rPr>
            </w:pPr>
            <w:r>
              <w:rPr>
                <w:rFonts w:hint="eastAsia"/>
                <w:highlight w:val="none"/>
              </w:rPr>
              <w:t>影</w:t>
            </w:r>
          </w:p>
          <w:p>
            <w:pPr>
              <w:pStyle w:val="313"/>
              <w:rPr>
                <w:highlight w:val="none"/>
              </w:rPr>
            </w:pPr>
            <w:r>
              <w:rPr>
                <w:rFonts w:hint="eastAsia"/>
                <w:highlight w:val="none"/>
              </w:rPr>
              <w:t>响</w:t>
            </w:r>
          </w:p>
          <w:p>
            <w:pPr>
              <w:pStyle w:val="313"/>
              <w:rPr>
                <w:highlight w:val="none"/>
              </w:rPr>
            </w:pPr>
            <w:r>
              <w:rPr>
                <w:rFonts w:hint="eastAsia"/>
                <w:highlight w:val="none"/>
              </w:rPr>
              <w:t>预</w:t>
            </w:r>
          </w:p>
          <w:p>
            <w:pPr>
              <w:pStyle w:val="313"/>
              <w:rPr>
                <w:highlight w:val="none"/>
              </w:rPr>
            </w:pPr>
            <w:r>
              <w:rPr>
                <w:rFonts w:hint="eastAsia"/>
                <w:highlight w:val="none"/>
              </w:rPr>
              <w:t>测</w:t>
            </w:r>
          </w:p>
        </w:tc>
        <w:tc>
          <w:tcPr>
            <w:tcW w:w="1796" w:type="dxa"/>
            <w:shd w:val="clear" w:color="auto" w:fill="auto"/>
            <w:tcMar>
              <w:left w:w="0" w:type="dxa"/>
              <w:right w:w="0" w:type="dxa"/>
            </w:tcMar>
            <w:vAlign w:val="center"/>
          </w:tcPr>
          <w:p>
            <w:pPr>
              <w:pStyle w:val="313"/>
              <w:rPr>
                <w:highlight w:val="none"/>
              </w:rPr>
            </w:pPr>
            <w:r>
              <w:rPr>
                <w:rFonts w:hint="eastAsia"/>
                <w:highlight w:val="none"/>
              </w:rPr>
              <w:t>预测因子</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颗粒物</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预测方法</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附录 E□；附录 F□；其他（定性描述）</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预测分析内容</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影响范围（以项目厂址为中心区域，自厂界外延0.05km）影响程度（无影响）</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预测结论</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达标结论：a）√；b）□；c）□</w:t>
            </w:r>
          </w:p>
          <w:p>
            <w:pPr>
              <w:pStyle w:val="313"/>
              <w:ind w:firstLine="400"/>
              <w:rPr>
                <w:highlight w:val="none"/>
              </w:rPr>
            </w:pPr>
            <w:r>
              <w:rPr>
                <w:rFonts w:hint="eastAsia"/>
                <w:highlight w:val="none"/>
              </w:rPr>
              <w:t>不达标结论：a）□；b）□</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restart"/>
            <w:shd w:val="clear" w:color="auto" w:fill="auto"/>
            <w:tcMar>
              <w:left w:w="0" w:type="dxa"/>
              <w:right w:w="0" w:type="dxa"/>
            </w:tcMar>
            <w:vAlign w:val="center"/>
          </w:tcPr>
          <w:p>
            <w:pPr>
              <w:pStyle w:val="313"/>
              <w:rPr>
                <w:highlight w:val="none"/>
              </w:rPr>
            </w:pPr>
            <w:r>
              <w:rPr>
                <w:rFonts w:hint="eastAsia"/>
                <w:highlight w:val="none"/>
              </w:rPr>
              <w:t>防</w:t>
            </w:r>
          </w:p>
          <w:p>
            <w:pPr>
              <w:pStyle w:val="313"/>
              <w:rPr>
                <w:highlight w:val="none"/>
              </w:rPr>
            </w:pPr>
            <w:r>
              <w:rPr>
                <w:rFonts w:hint="eastAsia"/>
                <w:highlight w:val="none"/>
              </w:rPr>
              <w:t>治</w:t>
            </w:r>
          </w:p>
          <w:p>
            <w:pPr>
              <w:pStyle w:val="313"/>
              <w:rPr>
                <w:highlight w:val="none"/>
              </w:rPr>
            </w:pPr>
            <w:r>
              <w:rPr>
                <w:rFonts w:hint="eastAsia"/>
                <w:highlight w:val="none"/>
              </w:rPr>
              <w:t>措</w:t>
            </w:r>
          </w:p>
          <w:p>
            <w:pPr>
              <w:pStyle w:val="313"/>
              <w:rPr>
                <w:highlight w:val="none"/>
              </w:rPr>
            </w:pPr>
            <w:r>
              <w:rPr>
                <w:rFonts w:hint="eastAsia"/>
                <w:highlight w:val="none"/>
              </w:rPr>
              <w:t>施</w:t>
            </w:r>
          </w:p>
        </w:tc>
        <w:tc>
          <w:tcPr>
            <w:tcW w:w="1796" w:type="dxa"/>
            <w:shd w:val="clear" w:color="auto" w:fill="auto"/>
            <w:tcMar>
              <w:left w:w="0" w:type="dxa"/>
              <w:right w:w="0" w:type="dxa"/>
            </w:tcMar>
            <w:vAlign w:val="center"/>
          </w:tcPr>
          <w:p>
            <w:pPr>
              <w:pStyle w:val="313"/>
              <w:rPr>
                <w:highlight w:val="none"/>
              </w:rPr>
            </w:pPr>
            <w:r>
              <w:rPr>
                <w:rFonts w:hint="eastAsia"/>
                <w:highlight w:val="none"/>
              </w:rPr>
              <w:t>防控措施</w:t>
            </w:r>
          </w:p>
        </w:tc>
        <w:tc>
          <w:tcPr>
            <w:tcW w:w="5352" w:type="dxa"/>
            <w:gridSpan w:val="6"/>
            <w:shd w:val="clear" w:color="auto" w:fill="auto"/>
            <w:tcMar>
              <w:left w:w="0" w:type="dxa"/>
              <w:right w:w="0" w:type="dxa"/>
            </w:tcMar>
            <w:vAlign w:val="center"/>
          </w:tcPr>
          <w:p>
            <w:pPr>
              <w:pStyle w:val="313"/>
              <w:rPr>
                <w:highlight w:val="none"/>
              </w:rPr>
            </w:pPr>
            <w:r>
              <w:rPr>
                <w:rFonts w:hint="eastAsia"/>
                <w:highlight w:val="none"/>
              </w:rPr>
              <w:t>土壤环境质量现状保障√；源头控制√；过程防控√；其他（ ）</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restart"/>
            <w:shd w:val="clear" w:color="auto" w:fill="auto"/>
            <w:tcMar>
              <w:left w:w="0" w:type="dxa"/>
              <w:right w:w="0" w:type="dxa"/>
            </w:tcMar>
            <w:vAlign w:val="center"/>
          </w:tcPr>
          <w:p>
            <w:pPr>
              <w:pStyle w:val="313"/>
              <w:rPr>
                <w:highlight w:val="none"/>
              </w:rPr>
            </w:pPr>
            <w:r>
              <w:rPr>
                <w:rFonts w:hint="eastAsia"/>
                <w:highlight w:val="none"/>
              </w:rPr>
              <w:t>跟踪监测</w:t>
            </w:r>
          </w:p>
        </w:tc>
        <w:tc>
          <w:tcPr>
            <w:tcW w:w="1648" w:type="dxa"/>
            <w:shd w:val="clear" w:color="auto" w:fill="auto"/>
            <w:tcMar>
              <w:left w:w="0" w:type="dxa"/>
              <w:right w:w="0" w:type="dxa"/>
            </w:tcMar>
            <w:vAlign w:val="center"/>
          </w:tcPr>
          <w:p>
            <w:pPr>
              <w:pStyle w:val="313"/>
              <w:rPr>
                <w:highlight w:val="none"/>
              </w:rPr>
            </w:pPr>
            <w:r>
              <w:rPr>
                <w:rFonts w:hint="eastAsia"/>
                <w:highlight w:val="none"/>
              </w:rPr>
              <w:t>监测点数</w:t>
            </w:r>
          </w:p>
        </w:tc>
        <w:tc>
          <w:tcPr>
            <w:tcW w:w="1075" w:type="dxa"/>
            <w:gridSpan w:val="2"/>
            <w:shd w:val="clear" w:color="auto" w:fill="auto"/>
            <w:tcMar>
              <w:left w:w="0" w:type="dxa"/>
              <w:right w:w="0" w:type="dxa"/>
            </w:tcMar>
            <w:vAlign w:val="center"/>
          </w:tcPr>
          <w:p>
            <w:pPr>
              <w:pStyle w:val="313"/>
              <w:rPr>
                <w:highlight w:val="none"/>
              </w:rPr>
            </w:pPr>
            <w:r>
              <w:rPr>
                <w:rFonts w:hint="eastAsia"/>
                <w:highlight w:val="none"/>
              </w:rPr>
              <w:t>监测指标</w:t>
            </w:r>
          </w:p>
        </w:tc>
        <w:tc>
          <w:tcPr>
            <w:tcW w:w="2629" w:type="dxa"/>
            <w:gridSpan w:val="3"/>
            <w:shd w:val="clear" w:color="auto" w:fill="auto"/>
            <w:tcMar>
              <w:left w:w="0" w:type="dxa"/>
              <w:right w:w="0" w:type="dxa"/>
            </w:tcMar>
            <w:vAlign w:val="center"/>
          </w:tcPr>
          <w:p>
            <w:pPr>
              <w:pStyle w:val="313"/>
              <w:rPr>
                <w:highlight w:val="none"/>
              </w:rPr>
            </w:pPr>
            <w:r>
              <w:rPr>
                <w:rFonts w:hint="eastAsia"/>
                <w:highlight w:val="none"/>
              </w:rPr>
              <w:t>监测频次</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continue"/>
            <w:shd w:val="clear" w:color="auto" w:fill="auto"/>
            <w:tcMar>
              <w:left w:w="0" w:type="dxa"/>
              <w:right w:w="0" w:type="dxa"/>
            </w:tcMar>
            <w:vAlign w:val="center"/>
          </w:tcPr>
          <w:p>
            <w:pPr>
              <w:pStyle w:val="313"/>
              <w:ind w:firstLine="400"/>
              <w:rPr>
                <w:highlight w:val="none"/>
              </w:rPr>
            </w:pPr>
          </w:p>
        </w:tc>
        <w:tc>
          <w:tcPr>
            <w:tcW w:w="1648" w:type="dxa"/>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1075" w:type="dxa"/>
            <w:gridSpan w:val="2"/>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2629" w:type="dxa"/>
            <w:gridSpan w:val="3"/>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ind w:firstLine="400"/>
              <w:rPr>
                <w:highlight w:val="none"/>
              </w:rPr>
            </w:pPr>
            <w:r>
              <w:rPr>
                <w:rFonts w:hint="eastAsia"/>
                <w:highlight w:val="none"/>
              </w:rPr>
              <w:t>信息公开指标</w:t>
            </w:r>
          </w:p>
        </w:tc>
        <w:tc>
          <w:tcPr>
            <w:tcW w:w="5352" w:type="dxa"/>
            <w:gridSpan w:val="6"/>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0" w:type="dxa"/>
            <w:gridSpan w:val="2"/>
            <w:shd w:val="clear" w:color="auto" w:fill="auto"/>
            <w:tcMar>
              <w:left w:w="0" w:type="dxa"/>
              <w:right w:w="0" w:type="dxa"/>
            </w:tcMar>
            <w:vAlign w:val="center"/>
          </w:tcPr>
          <w:p>
            <w:pPr>
              <w:pStyle w:val="313"/>
              <w:ind w:firstLine="400"/>
              <w:rPr>
                <w:highlight w:val="none"/>
              </w:rPr>
            </w:pPr>
            <w:r>
              <w:rPr>
                <w:rFonts w:hint="eastAsia"/>
                <w:highlight w:val="none"/>
              </w:rPr>
              <w:t>评价结论</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本项目对土壤环境的影响可以接受，从土壤环境影响的角度分析，项目的建设是可行的</w:t>
            </w:r>
          </w:p>
        </w:tc>
        <w:tc>
          <w:tcPr>
            <w:tcW w:w="683" w:type="dxa"/>
            <w:shd w:val="clear" w:color="auto" w:fill="auto"/>
            <w:tcMar>
              <w:left w:w="0" w:type="dxa"/>
              <w:right w:w="0" w:type="dxa"/>
            </w:tcMar>
            <w:vAlign w:val="center"/>
          </w:tcPr>
          <w:p>
            <w:pPr>
              <w:pStyle w:val="313"/>
              <w:ind w:firstLine="400"/>
              <w:rPr>
                <w:highlight w:val="none"/>
              </w:rPr>
            </w:pPr>
          </w:p>
        </w:tc>
      </w:tr>
    </w:tbl>
    <w:p>
      <w:pPr>
        <w:ind w:firstLine="420"/>
        <w:rPr>
          <w:sz w:val="21"/>
          <w:szCs w:val="18"/>
          <w:highlight w:val="none"/>
        </w:rPr>
      </w:pPr>
      <w:r>
        <w:rPr>
          <w:rFonts w:hint="eastAsia"/>
          <w:sz w:val="21"/>
          <w:szCs w:val="18"/>
          <w:highlight w:val="none"/>
        </w:rPr>
        <w:t>注 1：“□”为勾选项，可√；“（ ）”为内容填写项；“备注”为其他补充内容。</w:t>
      </w:r>
    </w:p>
    <w:p>
      <w:pPr>
        <w:ind w:firstLine="420"/>
        <w:rPr>
          <w:szCs w:val="21"/>
          <w:highlight w:val="none"/>
        </w:rPr>
      </w:pPr>
      <w:r>
        <w:rPr>
          <w:rFonts w:hint="eastAsia"/>
          <w:sz w:val="21"/>
          <w:szCs w:val="18"/>
          <w:highlight w:val="none"/>
        </w:rPr>
        <w:t>注 2：需要分别开展土壤环境影响评级工作的，分别填写自查表。</w:t>
      </w:r>
    </w:p>
    <w:p>
      <w:pPr>
        <w:pStyle w:val="6"/>
        <w:numPr>
          <w:ilvl w:val="2"/>
          <w:numId w:val="1"/>
        </w:numPr>
        <w:spacing w:before="0" w:after="0"/>
        <w:ind w:left="567"/>
        <w:rPr>
          <w:szCs w:val="28"/>
          <w:highlight w:val="none"/>
        </w:rPr>
      </w:pPr>
      <w:bookmarkStart w:id="506" w:name="_Toc521591802"/>
      <w:bookmarkStart w:id="507" w:name="_Toc27469"/>
      <w:r>
        <w:rPr>
          <w:szCs w:val="28"/>
          <w:highlight w:val="none"/>
        </w:rPr>
        <w:t>生态环境影响分析</w:t>
      </w:r>
      <w:bookmarkEnd w:id="506"/>
      <w:bookmarkEnd w:id="507"/>
    </w:p>
    <w:p>
      <w:pPr>
        <w:ind w:firstLine="480"/>
        <w:jc w:val="both"/>
        <w:textAlignment w:val="auto"/>
        <w:rPr>
          <w:kern w:val="2"/>
          <w:sz w:val="24"/>
          <w:szCs w:val="24"/>
          <w:highlight w:val="none"/>
        </w:rPr>
      </w:pPr>
      <w:r>
        <w:rPr>
          <w:kern w:val="2"/>
          <w:sz w:val="24"/>
          <w:szCs w:val="24"/>
          <w:highlight w:val="none"/>
        </w:rPr>
        <w:t>建设项目占地范围内没有植被分布，地表处</w:t>
      </w:r>
      <w:r>
        <w:rPr>
          <w:rFonts w:hint="eastAsia"/>
          <w:kern w:val="2"/>
          <w:sz w:val="24"/>
          <w:szCs w:val="24"/>
          <w:highlight w:val="none"/>
        </w:rPr>
        <w:t>为已废弃选厂用地</w:t>
      </w:r>
      <w:r>
        <w:rPr>
          <w:kern w:val="2"/>
          <w:sz w:val="24"/>
          <w:szCs w:val="24"/>
          <w:highlight w:val="none"/>
        </w:rPr>
        <w:t>，评价区植物资源主要为广布种和常见种，无国家和地区要求特别保护的种类，且分布较为均匀。因此，项目的建设不会改变项目所在地的植物群落的种类组成，也不会造成某一物种的消失。评级区现有野生动物多为一些常见的鸟类、啮齿类及昆虫等，没有国家和地方保护的珍稀濒危的野生动物。项目运营使人类活动更加趋于频繁，从而引起厂区附近动物的局部迁移，不会使评价区野生动物物种和种群数量发生明显变化。</w:t>
      </w:r>
    </w:p>
    <w:p>
      <w:pPr>
        <w:ind w:firstLine="480"/>
        <w:jc w:val="both"/>
        <w:textAlignment w:val="auto"/>
        <w:rPr>
          <w:kern w:val="2"/>
          <w:sz w:val="24"/>
          <w:szCs w:val="24"/>
          <w:highlight w:val="none"/>
        </w:rPr>
      </w:pPr>
      <w:r>
        <w:rPr>
          <w:kern w:val="2"/>
          <w:sz w:val="24"/>
          <w:szCs w:val="24"/>
          <w:highlight w:val="none"/>
        </w:rPr>
        <w:t>为保护项目所在地生态环境，本项目建设过程中需做到：</w:t>
      </w:r>
    </w:p>
    <w:p>
      <w:pPr>
        <w:ind w:firstLine="480"/>
        <w:jc w:val="both"/>
        <w:textAlignment w:val="auto"/>
        <w:rPr>
          <w:kern w:val="2"/>
          <w:sz w:val="24"/>
          <w:szCs w:val="24"/>
          <w:highlight w:val="none"/>
        </w:rPr>
      </w:pPr>
      <w:r>
        <w:rPr>
          <w:kern w:val="2"/>
          <w:sz w:val="24"/>
          <w:szCs w:val="24"/>
          <w:highlight w:val="none"/>
        </w:rPr>
        <w:t>（1）严格把关各污染环节的防治措施，定期对环保设施进行检修，确保其稳定正常运行，使处理效果达到工程设计要求，从源头上最大限度地减少粉尘及噪声向环境的排放，降低对周围生态环境的污染影响。</w:t>
      </w:r>
    </w:p>
    <w:p>
      <w:pPr>
        <w:ind w:firstLine="480"/>
        <w:jc w:val="both"/>
        <w:textAlignment w:val="auto"/>
        <w:rPr>
          <w:kern w:val="2"/>
          <w:sz w:val="24"/>
          <w:szCs w:val="24"/>
          <w:highlight w:val="none"/>
        </w:rPr>
      </w:pPr>
      <w:r>
        <w:rPr>
          <w:kern w:val="2"/>
          <w:sz w:val="24"/>
          <w:szCs w:val="24"/>
          <w:highlight w:val="none"/>
        </w:rPr>
        <w:t>（2）厂内应加强绿化和硬化工作，保证工程建成后，全厂不存在裸露地面。</w:t>
      </w:r>
    </w:p>
    <w:p>
      <w:pPr>
        <w:ind w:firstLine="480"/>
        <w:jc w:val="both"/>
        <w:textAlignment w:val="auto"/>
        <w:rPr>
          <w:kern w:val="2"/>
          <w:sz w:val="24"/>
          <w:szCs w:val="24"/>
          <w:highlight w:val="none"/>
        </w:rPr>
      </w:pPr>
      <w:r>
        <w:rPr>
          <w:kern w:val="2"/>
          <w:sz w:val="24"/>
          <w:szCs w:val="24"/>
          <w:highlight w:val="none"/>
        </w:rPr>
        <w:t>建设项目施工期及运营期，均不会明显恶化区域的生态环境质量；随着本次评价各项生态保护措施的落实，评价区的生态环境质量现状将呈改善趋势。</w:t>
      </w:r>
    </w:p>
    <w:p>
      <w:pPr>
        <w:pStyle w:val="141"/>
        <w:autoSpaceDE w:val="0"/>
        <w:autoSpaceDN w:val="0"/>
        <w:ind w:firstLine="480"/>
        <w:rPr>
          <w:highlight w:val="none"/>
        </w:rPr>
      </w:pPr>
      <w:r>
        <w:rPr>
          <w:highlight w:val="none"/>
        </w:rPr>
        <w:t>综上所述，项目营运期对区域生态环境影响较小。</w:t>
      </w:r>
    </w:p>
    <w:p>
      <w:pPr>
        <w:pStyle w:val="6"/>
        <w:rPr>
          <w:snapToGrid w:val="0"/>
          <w:highlight w:val="none"/>
        </w:rPr>
      </w:pPr>
      <w:bookmarkStart w:id="508" w:name="_Toc503218116"/>
      <w:bookmarkStart w:id="509" w:name="_Toc28561"/>
      <w:bookmarkStart w:id="510" w:name="_Toc521426317"/>
      <w:bookmarkStart w:id="511" w:name="_Hlk522137230"/>
      <w:r>
        <w:rPr>
          <w:snapToGrid w:val="0"/>
          <w:highlight w:val="none"/>
        </w:rPr>
        <w:t>5.2.7环境风险</w:t>
      </w:r>
      <w:bookmarkEnd w:id="508"/>
      <w:r>
        <w:rPr>
          <w:snapToGrid w:val="0"/>
          <w:highlight w:val="none"/>
        </w:rPr>
        <w:t>影响分析</w:t>
      </w:r>
      <w:bookmarkEnd w:id="509"/>
      <w:bookmarkEnd w:id="510"/>
    </w:p>
    <w:p>
      <w:pPr>
        <w:pStyle w:val="19"/>
        <w:kinsoku w:val="0"/>
        <w:overflowPunct w:val="0"/>
        <w:snapToGrid w:val="0"/>
        <w:spacing w:after="0"/>
        <w:ind w:left="23" w:firstLine="480"/>
        <w:rPr>
          <w:sz w:val="24"/>
          <w:szCs w:val="24"/>
          <w:highlight w:val="none"/>
        </w:rPr>
      </w:pPr>
      <w:bookmarkStart w:id="512" w:name="_Hlk3797060"/>
      <w:bookmarkStart w:id="513" w:name="_Hlk3824174"/>
      <w:r>
        <w:rPr>
          <w:rFonts w:hint="eastAsia"/>
          <w:kern w:val="2"/>
          <w:sz w:val="24"/>
          <w:szCs w:val="24"/>
          <w:highlight w:val="none"/>
        </w:rPr>
        <w:t>根据</w:t>
      </w:r>
      <w:bookmarkStart w:id="514" w:name="_Hlk3656669"/>
      <w:r>
        <w:rPr>
          <w:rFonts w:hint="eastAsia"/>
          <w:sz w:val="24"/>
          <w:szCs w:val="24"/>
          <w:highlight w:val="none"/>
        </w:rPr>
        <w:t>《建设项目环境风险评价评价技术导则》(HJ169-2018)</w:t>
      </w:r>
      <w:bookmarkEnd w:id="514"/>
      <w:r>
        <w:rPr>
          <w:rFonts w:hint="eastAsia"/>
          <w:sz w:val="24"/>
          <w:szCs w:val="24"/>
          <w:highlight w:val="none"/>
        </w:rPr>
        <w:t>，需根据建设项目涉及的物质及工艺系统和所在地的环境敏感性确定环境风险潜势，从而确定评价工作等级。</w:t>
      </w:r>
    </w:p>
    <w:p>
      <w:pPr>
        <w:ind w:firstLine="480"/>
        <w:jc w:val="both"/>
        <w:rPr>
          <w:kern w:val="2"/>
          <w:sz w:val="24"/>
          <w:szCs w:val="24"/>
          <w:highlight w:val="none"/>
        </w:rPr>
      </w:pPr>
      <w:r>
        <w:rPr>
          <w:rFonts w:hint="eastAsia"/>
          <w:sz w:val="24"/>
          <w:szCs w:val="24"/>
          <w:highlight w:val="none"/>
        </w:rPr>
        <w:t>本项目涉及的主要危险物质为废矿物油，属“附录B.2 健康危险急性毒性物质（类别2、类别3）”，其临界量为50t，根据《建设项目环境风险评价评价技术导则》（HJ169-2018）附录C，本项目危险物质最大储存量为0.</w:t>
      </w:r>
      <w:r>
        <w:rPr>
          <w:sz w:val="24"/>
          <w:szCs w:val="24"/>
          <w:highlight w:val="none"/>
        </w:rPr>
        <w:t>3</w:t>
      </w:r>
      <w:r>
        <w:rPr>
          <w:rFonts w:hint="eastAsia"/>
          <w:sz w:val="24"/>
          <w:szCs w:val="24"/>
          <w:highlight w:val="none"/>
        </w:rPr>
        <w:t>t，其数量与临界量比值Q为0.006，Q小于1，环境风险潜势为Ⅰ，可开展简单分析</w:t>
      </w:r>
      <w:r>
        <w:rPr>
          <w:rFonts w:hint="eastAsia" w:ascii="宋体" w:hAnsi="宋体"/>
          <w:sz w:val="24"/>
          <w:szCs w:val="24"/>
          <w:highlight w:val="none"/>
        </w:rPr>
        <w:t>，详见下表。</w:t>
      </w:r>
    </w:p>
    <w:p>
      <w:pPr>
        <w:pStyle w:val="19"/>
        <w:kinsoku w:val="0"/>
        <w:overflowPunct w:val="0"/>
        <w:snapToGrid w:val="0"/>
        <w:spacing w:after="0"/>
        <w:ind w:left="23" w:firstLine="0" w:firstLineChars="0"/>
        <w:jc w:val="center"/>
        <w:rPr>
          <w:rFonts w:ascii="黑体" w:hAnsi="黑体" w:eastAsia="黑体"/>
          <w:kern w:val="2"/>
          <w:sz w:val="21"/>
          <w:szCs w:val="21"/>
          <w:highlight w:val="none"/>
        </w:rPr>
      </w:pPr>
      <w:r>
        <w:rPr>
          <w:rFonts w:ascii="黑体" w:hAnsi="黑体" w:eastAsia="黑体"/>
          <w:kern w:val="2"/>
          <w:sz w:val="21"/>
          <w:szCs w:val="21"/>
          <w:highlight w:val="green"/>
        </w:rPr>
        <w:br w:type="page"/>
      </w:r>
      <w:r>
        <w:rPr>
          <w:rFonts w:hint="eastAsia" w:ascii="黑体" w:hAnsi="黑体" w:eastAsia="黑体"/>
          <w:kern w:val="2"/>
          <w:sz w:val="21"/>
          <w:szCs w:val="21"/>
          <w:highlight w:val="none"/>
        </w:rPr>
        <w:t>表</w:t>
      </w:r>
      <w:r>
        <w:rPr>
          <w:rFonts w:eastAsia="黑体"/>
          <w:bCs/>
          <w:kern w:val="2"/>
          <w:sz w:val="21"/>
          <w:szCs w:val="21"/>
          <w:highlight w:val="none"/>
        </w:rPr>
        <w:t>5.2-3</w:t>
      </w:r>
      <w:r>
        <w:rPr>
          <w:rFonts w:hint="eastAsia" w:eastAsia="黑体"/>
          <w:bCs/>
          <w:kern w:val="2"/>
          <w:sz w:val="21"/>
          <w:szCs w:val="21"/>
          <w:highlight w:val="none"/>
          <w:lang w:val="en-US" w:eastAsia="zh-CN"/>
        </w:rPr>
        <w:t>5</w:t>
      </w:r>
      <w:r>
        <w:rPr>
          <w:rFonts w:ascii="黑体" w:hAnsi="黑体" w:eastAsia="黑体"/>
          <w:kern w:val="2"/>
          <w:sz w:val="21"/>
          <w:szCs w:val="21"/>
          <w:highlight w:val="none"/>
        </w:rPr>
        <w:t xml:space="preserve">   </w:t>
      </w:r>
      <w:r>
        <w:rPr>
          <w:rFonts w:hint="eastAsia" w:ascii="黑体" w:hAnsi="黑体" w:eastAsia="黑体"/>
          <w:kern w:val="2"/>
          <w:sz w:val="21"/>
          <w:szCs w:val="21"/>
          <w:highlight w:val="none"/>
        </w:rPr>
        <w:t>建设项目环境风险简单分析内容表</w:t>
      </w:r>
    </w:p>
    <w:tbl>
      <w:tblPr>
        <w:tblStyle w:val="48"/>
        <w:tblW w:w="0" w:type="auto"/>
        <w:tblInd w:w="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8"/>
        <w:gridCol w:w="993"/>
        <w:gridCol w:w="1752"/>
        <w:gridCol w:w="1260"/>
        <w:gridCol w:w="1286"/>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建设项目名称</w:t>
            </w:r>
          </w:p>
        </w:tc>
        <w:tc>
          <w:tcPr>
            <w:tcW w:w="6577" w:type="dxa"/>
            <w:gridSpan w:val="5"/>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遵化市恒泰矿业有限公司年处理60万吨铁矿石、30万吨粗精矿改扩建项目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建设地点</w:t>
            </w:r>
          </w:p>
        </w:tc>
        <w:tc>
          <w:tcPr>
            <w:tcW w:w="993"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河北省</w:t>
            </w:r>
          </w:p>
        </w:tc>
        <w:tc>
          <w:tcPr>
            <w:tcW w:w="1752"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唐山市</w:t>
            </w:r>
          </w:p>
        </w:tc>
        <w:tc>
          <w:tcPr>
            <w:tcW w:w="1260"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遵化市</w:t>
            </w:r>
          </w:p>
        </w:tc>
        <w:tc>
          <w:tcPr>
            <w:tcW w:w="1286"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堡子店镇</w:t>
            </w:r>
          </w:p>
        </w:tc>
        <w:tc>
          <w:tcPr>
            <w:tcW w:w="1286"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西新店子村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地理坐标</w:t>
            </w:r>
          </w:p>
        </w:tc>
        <w:tc>
          <w:tcPr>
            <w:tcW w:w="993"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经度</w:t>
            </w:r>
          </w:p>
        </w:tc>
        <w:tc>
          <w:tcPr>
            <w:tcW w:w="1752"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sz w:val="24"/>
                <w:szCs w:val="24"/>
                <w:highlight w:val="none"/>
              </w:rPr>
              <w:t>E</w:t>
            </w:r>
            <w:r>
              <w:rPr>
                <w:rFonts w:hint="eastAsia"/>
                <w:bCs/>
                <w:sz w:val="24"/>
                <w:szCs w:val="24"/>
                <w:highlight w:val="none"/>
              </w:rPr>
              <w:t>117.807126°</w:t>
            </w:r>
          </w:p>
        </w:tc>
        <w:tc>
          <w:tcPr>
            <w:tcW w:w="1260"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纬度</w:t>
            </w:r>
          </w:p>
        </w:tc>
        <w:tc>
          <w:tcPr>
            <w:tcW w:w="2572" w:type="dxa"/>
            <w:gridSpan w:val="2"/>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sz w:val="24"/>
                <w:szCs w:val="24"/>
                <w:highlight w:val="none"/>
              </w:rPr>
              <w:t>N</w:t>
            </w:r>
            <w:r>
              <w:rPr>
                <w:rFonts w:hint="eastAsia"/>
                <w:bCs/>
                <w:sz w:val="24"/>
                <w:szCs w:val="24"/>
                <w:highlight w:val="none"/>
              </w:rPr>
              <w:t>40.142251°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主要危险物质及分布</w:t>
            </w:r>
          </w:p>
        </w:tc>
        <w:tc>
          <w:tcPr>
            <w:tcW w:w="6577" w:type="dxa"/>
            <w:gridSpan w:val="5"/>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废矿物油，分布于厂内设置的危废暂存间</w:t>
            </w:r>
            <w:r>
              <w:rPr>
                <w:rFonts w:hint="eastAsia"/>
                <w:bCs/>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环境影响途径及后果（大气、地表水、地下水等）</w:t>
            </w:r>
          </w:p>
        </w:tc>
        <w:tc>
          <w:tcPr>
            <w:tcW w:w="6577" w:type="dxa"/>
            <w:gridSpan w:val="5"/>
            <w:shd w:val="clear" w:color="auto" w:fill="auto"/>
            <w:vAlign w:val="center"/>
          </w:tcPr>
          <w:p>
            <w:pPr>
              <w:pStyle w:val="19"/>
              <w:kinsoku w:val="0"/>
              <w:overflowPunct w:val="0"/>
              <w:snapToGrid w:val="0"/>
              <w:spacing w:after="0" w:line="240" w:lineRule="auto"/>
              <w:ind w:firstLine="0" w:firstLineChars="0"/>
              <w:rPr>
                <w:kern w:val="2"/>
                <w:sz w:val="21"/>
                <w:szCs w:val="21"/>
                <w:highlight w:val="none"/>
              </w:rPr>
            </w:pPr>
            <w:r>
              <w:rPr>
                <w:rFonts w:hint="eastAsia"/>
                <w:kern w:val="2"/>
                <w:sz w:val="21"/>
                <w:szCs w:val="21"/>
                <w:highlight w:val="none"/>
              </w:rPr>
              <w:t>在防渗层损坏失效的情况下，主要可能的环境影响途径为地下水，本项目废矿物油产生量较小，定期委托有资质单位进行处置，对地下水影响较小。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风险防范措施要求</w:t>
            </w:r>
          </w:p>
        </w:tc>
        <w:tc>
          <w:tcPr>
            <w:tcW w:w="6577" w:type="dxa"/>
            <w:gridSpan w:val="5"/>
            <w:shd w:val="clear" w:color="auto" w:fill="auto"/>
            <w:vAlign w:val="center"/>
          </w:tcPr>
          <w:p>
            <w:pPr>
              <w:pStyle w:val="19"/>
              <w:kinsoku w:val="0"/>
              <w:overflowPunct w:val="0"/>
              <w:snapToGrid w:val="0"/>
              <w:spacing w:after="0" w:line="240" w:lineRule="auto"/>
              <w:ind w:firstLine="0" w:firstLineChars="0"/>
              <w:rPr>
                <w:kern w:val="2"/>
                <w:sz w:val="21"/>
                <w:szCs w:val="21"/>
                <w:highlight w:val="none"/>
              </w:rPr>
            </w:pPr>
            <w:r>
              <w:rPr>
                <w:rFonts w:hint="eastAsia"/>
                <w:kern w:val="2"/>
                <w:sz w:val="21"/>
                <w:szCs w:val="21"/>
                <w:highlight w:val="none"/>
              </w:rPr>
              <w:t>1、如发现废矿物油桶发生泄漏，立即对废矿物没进行倒桶处理，更换完好不泄漏的容器进行储存；</w:t>
            </w:r>
          </w:p>
          <w:p>
            <w:pPr>
              <w:pStyle w:val="19"/>
              <w:kinsoku w:val="0"/>
              <w:overflowPunct w:val="0"/>
              <w:snapToGrid w:val="0"/>
              <w:spacing w:after="0" w:line="240" w:lineRule="auto"/>
              <w:ind w:firstLine="0" w:firstLineChars="0"/>
              <w:rPr>
                <w:sz w:val="21"/>
                <w:szCs w:val="21"/>
                <w:highlight w:val="none"/>
              </w:rPr>
            </w:pPr>
            <w:r>
              <w:rPr>
                <w:kern w:val="2"/>
                <w:sz w:val="21"/>
                <w:szCs w:val="21"/>
                <w:highlight w:val="none"/>
              </w:rPr>
              <w:t>2</w:t>
            </w:r>
            <w:r>
              <w:rPr>
                <w:rFonts w:hint="eastAsia"/>
                <w:kern w:val="2"/>
                <w:sz w:val="21"/>
                <w:szCs w:val="21"/>
                <w:highlight w:val="none"/>
              </w:rPr>
              <w:t>、根据</w:t>
            </w:r>
            <w:r>
              <w:rPr>
                <w:sz w:val="21"/>
                <w:szCs w:val="21"/>
                <w:highlight w:val="none"/>
              </w:rPr>
              <w:t>《危险废物贮存污染控制标准》（GB18597-20</w:t>
            </w:r>
            <w:r>
              <w:rPr>
                <w:rFonts w:hint="eastAsia"/>
                <w:sz w:val="21"/>
                <w:szCs w:val="21"/>
                <w:highlight w:val="none"/>
                <w:lang w:val="en-US" w:eastAsia="zh-CN"/>
              </w:rPr>
              <w:t>23</w:t>
            </w:r>
            <w:r>
              <w:rPr>
                <w:sz w:val="21"/>
                <w:szCs w:val="21"/>
                <w:highlight w:val="none"/>
              </w:rPr>
              <w:t>）关于防渗要求处理：地面及裙角均采取抗渗水泥防渗，地面水泥厚度为20cm；裙角高度1.5m，厚度20cm，地面及四周裙脚均应耐腐蚀，耐热且表面无裂隙，同时设置泄漏液体的收集装置。防渗层渗透系数小于10</w:t>
            </w:r>
            <w:r>
              <w:rPr>
                <w:sz w:val="21"/>
                <w:szCs w:val="21"/>
                <w:highlight w:val="none"/>
                <w:vertAlign w:val="superscript"/>
              </w:rPr>
              <w:t>-10</w:t>
            </w:r>
            <w:r>
              <w:rPr>
                <w:sz w:val="21"/>
                <w:szCs w:val="21"/>
                <w:highlight w:val="none"/>
              </w:rPr>
              <w:t>cm/s。</w:t>
            </w:r>
          </w:p>
          <w:p>
            <w:pPr>
              <w:pStyle w:val="19"/>
              <w:kinsoku w:val="0"/>
              <w:overflowPunct w:val="0"/>
              <w:snapToGrid w:val="0"/>
              <w:spacing w:after="0" w:line="240" w:lineRule="auto"/>
              <w:ind w:firstLine="0" w:firstLineChars="0"/>
              <w:rPr>
                <w:sz w:val="21"/>
                <w:szCs w:val="21"/>
                <w:highlight w:val="none"/>
              </w:rPr>
            </w:pPr>
            <w:r>
              <w:rPr>
                <w:rFonts w:hint="eastAsia"/>
                <w:sz w:val="21"/>
                <w:szCs w:val="21"/>
                <w:highlight w:val="none"/>
              </w:rPr>
              <w:t>3、如发现废矿物油泄漏已对厂区土壤和地下水造成的污染，立即启动应急预案，报当地环保部门。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19"/>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填表说明（列出相关信息及评价说明）</w:t>
            </w:r>
          </w:p>
        </w:tc>
        <w:tc>
          <w:tcPr>
            <w:tcW w:w="6577" w:type="dxa"/>
            <w:gridSpan w:val="5"/>
            <w:shd w:val="clear" w:color="auto" w:fill="auto"/>
            <w:vAlign w:val="center"/>
          </w:tcPr>
          <w:p>
            <w:pPr>
              <w:pStyle w:val="19"/>
              <w:kinsoku w:val="0"/>
              <w:overflowPunct w:val="0"/>
              <w:snapToGrid w:val="0"/>
              <w:spacing w:after="0" w:line="240" w:lineRule="auto"/>
              <w:ind w:firstLine="0" w:firstLineChars="0"/>
              <w:rPr>
                <w:sz w:val="21"/>
                <w:szCs w:val="21"/>
                <w:highlight w:val="none"/>
              </w:rPr>
            </w:pPr>
            <w:r>
              <w:rPr>
                <w:rFonts w:hint="eastAsia"/>
                <w:sz w:val="21"/>
                <w:szCs w:val="21"/>
                <w:highlight w:val="none"/>
              </w:rPr>
              <w:t>1、根据HJ169-2018附录B，本项目涉及的主要危险物质为废矿物油，属“附录B.2 健康危险急性毒性物质（类别2、类别3）”，其临界量为50t，根据附录C，危险物质及工艺系统危险性的分级，本项目危险物质最大储存量为0.3t，其数量与临界量比值Q为0.006，Q小于1，环境风险潜势为Ⅰ，可开展简单分析</w:t>
            </w:r>
          </w:p>
          <w:p>
            <w:pPr>
              <w:pStyle w:val="19"/>
              <w:kinsoku w:val="0"/>
              <w:overflowPunct w:val="0"/>
              <w:snapToGrid w:val="0"/>
              <w:spacing w:after="0" w:line="240" w:lineRule="auto"/>
              <w:ind w:firstLine="0" w:firstLineChars="0"/>
              <w:rPr>
                <w:kern w:val="2"/>
                <w:sz w:val="21"/>
                <w:szCs w:val="21"/>
                <w:highlight w:val="none"/>
              </w:rPr>
            </w:pPr>
            <w:r>
              <w:rPr>
                <w:rFonts w:hint="eastAsia"/>
                <w:sz w:val="21"/>
                <w:szCs w:val="21"/>
                <w:highlight w:val="none"/>
              </w:rPr>
              <w:t>2、本项目主要环境影响途径为地下水，主要环境保护目标为厂区附近浅层地下水，环境保护目标见表2</w:t>
            </w:r>
            <w:r>
              <w:rPr>
                <w:sz w:val="21"/>
                <w:szCs w:val="21"/>
                <w:highlight w:val="none"/>
              </w:rPr>
              <w:t>.</w:t>
            </w:r>
            <w:r>
              <w:rPr>
                <w:rFonts w:hint="eastAsia"/>
                <w:sz w:val="21"/>
                <w:szCs w:val="21"/>
                <w:highlight w:val="none"/>
              </w:rPr>
              <w:t>7</w:t>
            </w:r>
            <w:r>
              <w:rPr>
                <w:sz w:val="21"/>
                <w:szCs w:val="21"/>
                <w:highlight w:val="none"/>
              </w:rPr>
              <w:t>-2</w:t>
            </w:r>
            <w:r>
              <w:rPr>
                <w:rFonts w:hint="eastAsia"/>
                <w:sz w:val="21"/>
                <w:szCs w:val="21"/>
                <w:highlight w:val="none"/>
              </w:rPr>
              <w:t>。</w:t>
            </w:r>
          </w:p>
        </w:tc>
      </w:tr>
      <w:bookmarkEnd w:id="512"/>
      <w:bookmarkEnd w:id="513"/>
    </w:tbl>
    <w:p>
      <w:pPr>
        <w:pStyle w:val="19"/>
        <w:kinsoku w:val="0"/>
        <w:overflowPunct w:val="0"/>
        <w:snapToGrid w:val="0"/>
        <w:spacing w:after="0"/>
        <w:ind w:firstLine="480"/>
        <w:rPr>
          <w:sz w:val="25"/>
          <w:szCs w:val="25"/>
          <w:highlight w:val="none"/>
        </w:rPr>
      </w:pPr>
      <w:r>
        <w:rPr>
          <w:rFonts w:hint="eastAsia"/>
          <w:bCs/>
          <w:kern w:val="2"/>
          <w:sz w:val="24"/>
          <w:szCs w:val="24"/>
          <w:highlight w:val="none"/>
          <w:lang w:val="en-US" w:eastAsia="zh-CN"/>
        </w:rPr>
        <w:t>现有工程</w:t>
      </w:r>
      <w:r>
        <w:rPr>
          <w:bCs/>
          <w:kern w:val="2"/>
          <w:sz w:val="24"/>
          <w:szCs w:val="24"/>
          <w:highlight w:val="none"/>
        </w:rPr>
        <w:t>选矿废水经浓密池处理后</w:t>
      </w:r>
      <w:r>
        <w:rPr>
          <w:rFonts w:hint="eastAsia"/>
          <w:bCs/>
          <w:kern w:val="2"/>
          <w:sz w:val="24"/>
          <w:szCs w:val="24"/>
          <w:highlight w:val="none"/>
          <w:lang w:val="en-US" w:eastAsia="zh-CN"/>
        </w:rPr>
        <w:t>排入</w:t>
      </w:r>
      <w:r>
        <w:rPr>
          <w:bCs/>
          <w:kern w:val="2"/>
          <w:sz w:val="24"/>
          <w:szCs w:val="24"/>
          <w:highlight w:val="none"/>
        </w:rPr>
        <w:t>清水池暂存，作为生产用水回用，形成闭路循环，不外排</w:t>
      </w:r>
      <w:r>
        <w:rPr>
          <w:rFonts w:hint="eastAsia"/>
          <w:bCs/>
          <w:kern w:val="2"/>
          <w:sz w:val="24"/>
          <w:szCs w:val="24"/>
          <w:highlight w:val="none"/>
          <w:lang w:eastAsia="zh-CN"/>
        </w:rPr>
        <w:t>，</w:t>
      </w:r>
      <w:r>
        <w:rPr>
          <w:rFonts w:hint="eastAsia"/>
          <w:sz w:val="24"/>
          <w:szCs w:val="24"/>
          <w:highlight w:val="none"/>
        </w:rPr>
        <w:t>在粗选车间、精选车间分别</w:t>
      </w:r>
      <w:r>
        <w:rPr>
          <w:sz w:val="24"/>
          <w:szCs w:val="24"/>
          <w:highlight w:val="none"/>
        </w:rPr>
        <w:t>设置事故水池</w:t>
      </w:r>
      <w:r>
        <w:rPr>
          <w:rFonts w:hint="eastAsia"/>
          <w:sz w:val="24"/>
          <w:szCs w:val="24"/>
          <w:highlight w:val="none"/>
        </w:rPr>
        <w:t>（事故池容积大于对应车间内球磨机的容积）</w:t>
      </w:r>
      <w:r>
        <w:rPr>
          <w:sz w:val="24"/>
          <w:szCs w:val="24"/>
          <w:highlight w:val="none"/>
        </w:rPr>
        <w:t>，并配备一台渣浆泵随时将事故池内矿浆排入</w:t>
      </w:r>
      <w:r>
        <w:rPr>
          <w:rFonts w:hint="eastAsia"/>
          <w:sz w:val="24"/>
          <w:szCs w:val="24"/>
          <w:highlight w:val="none"/>
        </w:rPr>
        <w:t>浓密池中</w:t>
      </w:r>
      <w:r>
        <w:rPr>
          <w:sz w:val="24"/>
          <w:szCs w:val="24"/>
          <w:highlight w:val="none"/>
        </w:rPr>
        <w:t>，避免事故排放矿浆直接排出厂外污染环境造成资源浪费，待事故排除后，事故池中矿浆经磁选后尾矿浆再被打入</w:t>
      </w:r>
      <w:r>
        <w:rPr>
          <w:rFonts w:hint="eastAsia"/>
          <w:sz w:val="24"/>
          <w:szCs w:val="24"/>
          <w:highlight w:val="none"/>
        </w:rPr>
        <w:t>浓密池</w:t>
      </w:r>
      <w:r>
        <w:rPr>
          <w:sz w:val="24"/>
          <w:szCs w:val="24"/>
          <w:highlight w:val="none"/>
        </w:rPr>
        <w:t>内，可以防范事故状态下尾矿浆泄漏进入外环境带来的环境风险。</w:t>
      </w:r>
    </w:p>
    <w:bookmarkEnd w:id="511"/>
    <w:p>
      <w:pPr>
        <w:pStyle w:val="19"/>
        <w:kinsoku w:val="0"/>
        <w:overflowPunct w:val="0"/>
        <w:spacing w:line="269" w:lineRule="exact"/>
        <w:ind w:left="25" w:firstLine="500"/>
        <w:rPr>
          <w:sz w:val="25"/>
          <w:szCs w:val="25"/>
          <w:highlight w:val="green"/>
        </w:rPr>
      </w:pPr>
    </w:p>
    <w:p>
      <w:pPr>
        <w:spacing w:line="460" w:lineRule="exact"/>
        <w:ind w:firstLine="480"/>
        <w:jc w:val="both"/>
        <w:rPr>
          <w:sz w:val="24"/>
          <w:highlight w:val="gree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12" w:charSpace="0"/>
        </w:sectPr>
      </w:pPr>
    </w:p>
    <w:p>
      <w:pPr>
        <w:pStyle w:val="4"/>
        <w:numPr>
          <w:ilvl w:val="0"/>
          <w:numId w:val="1"/>
        </w:numPr>
        <w:rPr>
          <w:rFonts w:ascii="Times New Roman"/>
          <w:sz w:val="36"/>
          <w:highlight w:val="none"/>
        </w:rPr>
      </w:pPr>
      <w:bookmarkStart w:id="515" w:name="_Toc266"/>
      <w:bookmarkStart w:id="516" w:name="_Toc521591803"/>
      <w:bookmarkStart w:id="517" w:name="_Toc9822"/>
      <w:bookmarkStart w:id="518" w:name="_Toc3682"/>
      <w:bookmarkStart w:id="519" w:name="_Toc524285111"/>
      <w:bookmarkStart w:id="520" w:name="_Toc536557300"/>
      <w:r>
        <w:rPr>
          <w:rFonts w:ascii="Times New Roman"/>
          <w:sz w:val="36"/>
          <w:highlight w:val="none"/>
        </w:rPr>
        <w:t>环境保护措施及其可行性论证</w:t>
      </w:r>
      <w:bookmarkEnd w:id="515"/>
      <w:bookmarkEnd w:id="516"/>
      <w:bookmarkEnd w:id="517"/>
      <w:bookmarkEnd w:id="518"/>
      <w:bookmarkEnd w:id="519"/>
      <w:bookmarkEnd w:id="520"/>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521" w:name="_Toc499651420"/>
      <w:bookmarkStart w:id="522" w:name="_Toc527049885"/>
      <w:bookmarkStart w:id="523" w:name="_Toc3975"/>
      <w:bookmarkStart w:id="524" w:name="_Toc524285112"/>
      <w:bookmarkStart w:id="525" w:name="_Toc503218119"/>
      <w:bookmarkStart w:id="526" w:name="_Toc3015"/>
      <w:bookmarkStart w:id="527" w:name="_Toc19609"/>
      <w:bookmarkStart w:id="528" w:name="_Toc536557301"/>
      <w:bookmarkStart w:id="529" w:name="_Toc521591804"/>
      <w:bookmarkStart w:id="530" w:name="_Toc22362"/>
      <w:bookmarkStart w:id="531" w:name="_Toc524285113"/>
      <w:bookmarkStart w:id="532" w:name="_Toc521591810"/>
      <w:bookmarkStart w:id="533" w:name="_Toc14033"/>
      <w:bookmarkStart w:id="534" w:name="_Toc499651421"/>
      <w:bookmarkStart w:id="535" w:name="_Toc1695"/>
      <w:bookmarkStart w:id="536" w:name="_Toc503218120"/>
      <w:r>
        <w:rPr>
          <w:rFonts w:ascii="Times New Roman" w:hAnsi="Times New Roman" w:eastAsia="宋体"/>
          <w:bCs w:val="0"/>
          <w:snapToGrid w:val="0"/>
          <w:kern w:val="0"/>
          <w:sz w:val="28"/>
          <w:szCs w:val="28"/>
          <w:highlight w:val="none"/>
        </w:rPr>
        <w:t>施工期环境保护措施</w:t>
      </w:r>
      <w:bookmarkEnd w:id="521"/>
      <w:bookmarkEnd w:id="522"/>
      <w:bookmarkEnd w:id="523"/>
      <w:bookmarkEnd w:id="524"/>
      <w:bookmarkEnd w:id="525"/>
      <w:bookmarkEnd w:id="526"/>
      <w:bookmarkEnd w:id="527"/>
      <w:bookmarkEnd w:id="528"/>
      <w:bookmarkEnd w:id="529"/>
    </w:p>
    <w:p>
      <w:pPr>
        <w:pStyle w:val="6"/>
        <w:numPr>
          <w:ilvl w:val="2"/>
          <w:numId w:val="1"/>
        </w:numPr>
        <w:spacing w:before="0" w:after="0"/>
        <w:ind w:left="567"/>
        <w:rPr>
          <w:szCs w:val="28"/>
          <w:highlight w:val="none"/>
        </w:rPr>
      </w:pPr>
      <w:bookmarkStart w:id="537" w:name="_Toc4607"/>
      <w:bookmarkStart w:id="538" w:name="_Toc521591805"/>
      <w:r>
        <w:rPr>
          <w:szCs w:val="28"/>
          <w:highlight w:val="none"/>
        </w:rPr>
        <w:t>施工期大气污染控制措施</w:t>
      </w:r>
      <w:bookmarkEnd w:id="537"/>
      <w:bookmarkEnd w:id="538"/>
    </w:p>
    <w:p>
      <w:pPr>
        <w:autoSpaceDE w:val="0"/>
        <w:autoSpaceDN w:val="0"/>
        <w:ind w:firstLine="480"/>
        <w:textAlignment w:val="auto"/>
        <w:rPr>
          <w:sz w:val="24"/>
          <w:szCs w:val="24"/>
          <w:highlight w:val="none"/>
        </w:rPr>
      </w:pPr>
      <w:r>
        <w:rPr>
          <w:sz w:val="24"/>
          <w:szCs w:val="24"/>
          <w:highlight w:val="none"/>
        </w:rPr>
        <w:t>本项目施工期对环境空气的污染主要包括扬尘及施工车辆尾气排放。</w:t>
      </w:r>
    </w:p>
    <w:p>
      <w:pPr>
        <w:autoSpaceDE w:val="0"/>
        <w:autoSpaceDN w:val="0"/>
        <w:ind w:firstLine="480"/>
        <w:textAlignment w:val="auto"/>
        <w:rPr>
          <w:sz w:val="24"/>
          <w:szCs w:val="24"/>
          <w:highlight w:val="none"/>
        </w:rPr>
      </w:pPr>
      <w:r>
        <w:rPr>
          <w:sz w:val="24"/>
          <w:szCs w:val="24"/>
          <w:highlight w:val="none"/>
        </w:rPr>
        <w:t>（1）工地道路全部硬化，每天都进行清扫和洒水抑尘；严禁在车行道上堆放建筑材料等。</w:t>
      </w:r>
    </w:p>
    <w:p>
      <w:pPr>
        <w:autoSpaceDE w:val="0"/>
        <w:autoSpaceDN w:val="0"/>
        <w:ind w:firstLine="480"/>
        <w:textAlignment w:val="auto"/>
        <w:rPr>
          <w:sz w:val="24"/>
          <w:szCs w:val="24"/>
          <w:highlight w:val="none"/>
        </w:rPr>
      </w:pPr>
      <w:r>
        <w:rPr>
          <w:sz w:val="24"/>
          <w:szCs w:val="24"/>
          <w:highlight w:val="none"/>
        </w:rPr>
        <w:t>（2）运输车辆进入施工场地低速或限速行驶，以减少产尘量；工地出入口处设置冲洗车轮的设备，确保出入工地车轮不带泥。</w:t>
      </w:r>
    </w:p>
    <w:p>
      <w:pPr>
        <w:autoSpaceDE w:val="0"/>
        <w:autoSpaceDN w:val="0"/>
        <w:ind w:firstLine="480"/>
        <w:textAlignment w:val="auto"/>
        <w:rPr>
          <w:sz w:val="24"/>
          <w:szCs w:val="24"/>
          <w:highlight w:val="none"/>
        </w:rPr>
      </w:pPr>
      <w:r>
        <w:rPr>
          <w:sz w:val="24"/>
          <w:szCs w:val="24"/>
          <w:highlight w:val="none"/>
        </w:rPr>
        <w:t>（</w:t>
      </w:r>
      <w:r>
        <w:rPr>
          <w:rFonts w:hint="eastAsia"/>
          <w:sz w:val="24"/>
          <w:szCs w:val="24"/>
          <w:highlight w:val="none"/>
        </w:rPr>
        <w:t>3</w:t>
      </w:r>
      <w:r>
        <w:rPr>
          <w:sz w:val="24"/>
          <w:szCs w:val="24"/>
          <w:highlight w:val="none"/>
        </w:rPr>
        <w:t>）施工垃圾运输采用</w:t>
      </w:r>
      <w:bookmarkStart w:id="539" w:name="baidusnap1"/>
      <w:bookmarkEnd w:id="539"/>
      <w:r>
        <w:rPr>
          <w:sz w:val="24"/>
          <w:szCs w:val="24"/>
          <w:highlight w:val="none"/>
        </w:rPr>
        <w:t>密闭式运输</w:t>
      </w:r>
      <w:bookmarkStart w:id="540" w:name="baidusnap0"/>
      <w:bookmarkEnd w:id="540"/>
      <w:r>
        <w:rPr>
          <w:sz w:val="24"/>
          <w:szCs w:val="24"/>
          <w:highlight w:val="none"/>
        </w:rPr>
        <w:t>车辆或采取覆盖措施；施工现场出入口处采取保证车辆清洁的措施。</w:t>
      </w:r>
    </w:p>
    <w:p>
      <w:pPr>
        <w:autoSpaceDE w:val="0"/>
        <w:autoSpaceDN w:val="0"/>
        <w:ind w:firstLine="480"/>
        <w:textAlignment w:val="auto"/>
        <w:rPr>
          <w:sz w:val="24"/>
          <w:szCs w:val="24"/>
          <w:highlight w:val="none"/>
        </w:rPr>
      </w:pPr>
      <w:r>
        <w:rPr>
          <w:sz w:val="24"/>
          <w:szCs w:val="24"/>
          <w:highlight w:val="none"/>
        </w:rPr>
        <w:t>（</w:t>
      </w:r>
      <w:r>
        <w:rPr>
          <w:rFonts w:hint="eastAsia"/>
          <w:sz w:val="24"/>
          <w:szCs w:val="24"/>
          <w:highlight w:val="none"/>
        </w:rPr>
        <w:t>4</w:t>
      </w:r>
      <w:r>
        <w:rPr>
          <w:sz w:val="24"/>
          <w:szCs w:val="24"/>
          <w:highlight w:val="none"/>
        </w:rPr>
        <w:t>）施工现场管理严格执行《河北省建筑施工扬尘治理方案》（冀建安〔2017〕9号，2017.3.20）、《关于进一步加强建筑工程施工扬尘治理的若干规定》（冀建法〔2013〕28号，2013.10.10）、《建设工程施工现场扬尘防治标准》（DB13(J)/T220-2016）中的有关环境保护的规定。</w:t>
      </w:r>
    </w:p>
    <w:p>
      <w:pPr>
        <w:pStyle w:val="6"/>
        <w:numPr>
          <w:ilvl w:val="2"/>
          <w:numId w:val="1"/>
        </w:numPr>
        <w:spacing w:before="0" w:after="0"/>
        <w:ind w:left="567"/>
        <w:rPr>
          <w:szCs w:val="28"/>
          <w:highlight w:val="none"/>
        </w:rPr>
      </w:pPr>
      <w:bookmarkStart w:id="541" w:name="_Toc521591806"/>
      <w:bookmarkStart w:id="542" w:name="_Toc23759"/>
      <w:r>
        <w:rPr>
          <w:szCs w:val="28"/>
          <w:highlight w:val="none"/>
        </w:rPr>
        <w:t>施工期水污染控制措施</w:t>
      </w:r>
      <w:bookmarkEnd w:id="541"/>
      <w:bookmarkEnd w:id="542"/>
    </w:p>
    <w:p>
      <w:pPr>
        <w:autoSpaceDE w:val="0"/>
        <w:autoSpaceDN w:val="0"/>
        <w:ind w:firstLine="480"/>
        <w:textAlignment w:val="auto"/>
        <w:rPr>
          <w:sz w:val="24"/>
          <w:szCs w:val="24"/>
          <w:highlight w:val="none"/>
        </w:rPr>
      </w:pPr>
      <w:r>
        <w:rPr>
          <w:sz w:val="24"/>
          <w:szCs w:val="24"/>
          <w:highlight w:val="none"/>
        </w:rPr>
        <w:t>工程对水环境的污染主要包括施工期生产废水、施工人员生活污水。</w:t>
      </w:r>
    </w:p>
    <w:p>
      <w:pPr>
        <w:autoSpaceDE w:val="0"/>
        <w:autoSpaceDN w:val="0"/>
        <w:ind w:firstLine="480"/>
        <w:textAlignment w:val="auto"/>
        <w:rPr>
          <w:sz w:val="24"/>
          <w:szCs w:val="24"/>
          <w:highlight w:val="none"/>
        </w:rPr>
      </w:pPr>
      <w:r>
        <w:rPr>
          <w:sz w:val="24"/>
          <w:szCs w:val="24"/>
          <w:highlight w:val="none"/>
        </w:rPr>
        <w:t>（1）生活污水为施工人员的盥洗废水，用于场地洒水抑尘，不外排；厂区内设有旱厕，定期清掏，用作农肥，不排入地表水体。</w:t>
      </w:r>
    </w:p>
    <w:p>
      <w:pPr>
        <w:autoSpaceDE w:val="0"/>
        <w:autoSpaceDN w:val="0"/>
        <w:ind w:firstLine="480"/>
        <w:textAlignment w:val="auto"/>
        <w:rPr>
          <w:sz w:val="24"/>
          <w:szCs w:val="24"/>
          <w:highlight w:val="none"/>
        </w:rPr>
      </w:pPr>
      <w:r>
        <w:rPr>
          <w:sz w:val="24"/>
          <w:szCs w:val="24"/>
          <w:highlight w:val="none"/>
        </w:rPr>
        <w:t>（2）砂浆和石灰浆等废液及沉淀池的泥沙集中处理，干燥后与建筑固体废弃物一起处置。</w:t>
      </w:r>
    </w:p>
    <w:p>
      <w:pPr>
        <w:autoSpaceDE w:val="0"/>
        <w:autoSpaceDN w:val="0"/>
        <w:ind w:firstLine="480"/>
        <w:textAlignment w:val="auto"/>
        <w:rPr>
          <w:sz w:val="24"/>
          <w:szCs w:val="24"/>
          <w:highlight w:val="none"/>
        </w:rPr>
      </w:pPr>
      <w:r>
        <w:rPr>
          <w:sz w:val="24"/>
          <w:szCs w:val="24"/>
          <w:highlight w:val="none"/>
        </w:rPr>
        <w:t>（3）水泥、黄沙、石灰类的建筑材料集中堆放，并采取一定的防雨淋措施，及时清扫施工运输过程中抛洒的建筑材料，以免这些物质随雨水冲刷，造成面源污染。</w:t>
      </w:r>
    </w:p>
    <w:p>
      <w:pPr>
        <w:pStyle w:val="6"/>
        <w:numPr>
          <w:ilvl w:val="2"/>
          <w:numId w:val="1"/>
        </w:numPr>
        <w:spacing w:before="0" w:after="0"/>
        <w:ind w:left="567"/>
        <w:rPr>
          <w:szCs w:val="28"/>
          <w:highlight w:val="none"/>
        </w:rPr>
      </w:pPr>
      <w:bookmarkStart w:id="543" w:name="_Toc6632"/>
      <w:bookmarkStart w:id="544" w:name="_Toc521591807"/>
      <w:r>
        <w:rPr>
          <w:szCs w:val="28"/>
          <w:highlight w:val="none"/>
        </w:rPr>
        <w:t>施工期噪声污染控制措施</w:t>
      </w:r>
      <w:bookmarkEnd w:id="543"/>
      <w:bookmarkEnd w:id="544"/>
    </w:p>
    <w:p>
      <w:pPr>
        <w:autoSpaceDE w:val="0"/>
        <w:autoSpaceDN w:val="0"/>
        <w:ind w:firstLine="480"/>
        <w:textAlignment w:val="auto"/>
        <w:rPr>
          <w:sz w:val="24"/>
          <w:szCs w:val="24"/>
          <w:highlight w:val="none"/>
        </w:rPr>
      </w:pPr>
      <w:r>
        <w:rPr>
          <w:sz w:val="24"/>
          <w:szCs w:val="24"/>
          <w:highlight w:val="none"/>
        </w:rPr>
        <w:t>工程施工过程中，由于各种施工机械设备的运转和各类车辆的运行，噪声主要来自各种施工机械设备的运转及各种车辆的运行噪声。</w:t>
      </w:r>
    </w:p>
    <w:p>
      <w:pPr>
        <w:autoSpaceDE w:val="0"/>
        <w:autoSpaceDN w:val="0"/>
        <w:ind w:firstLine="480"/>
        <w:textAlignment w:val="auto"/>
        <w:rPr>
          <w:sz w:val="24"/>
          <w:szCs w:val="24"/>
          <w:highlight w:val="none"/>
        </w:rPr>
      </w:pPr>
      <w:r>
        <w:rPr>
          <w:sz w:val="24"/>
          <w:szCs w:val="24"/>
          <w:highlight w:val="none"/>
        </w:rPr>
        <w:t>本项目厂界外200m范围内无村庄等环境敏感点</w:t>
      </w:r>
      <w:r>
        <w:rPr>
          <w:rFonts w:hint="eastAsia"/>
          <w:sz w:val="24"/>
          <w:szCs w:val="24"/>
          <w:highlight w:val="none"/>
        </w:rPr>
        <w:t>。</w:t>
      </w:r>
      <w:r>
        <w:rPr>
          <w:sz w:val="24"/>
          <w:szCs w:val="24"/>
          <w:highlight w:val="none"/>
        </w:rPr>
        <w:t>施工期应尽量选用低噪声设备，给高噪声设备安装隔声罩，推土机、铲平机等强噪声源设备的操作人员配戴耳塞，加强身体防护，减轻噪声对施工人员身体健康的影响。</w:t>
      </w:r>
    </w:p>
    <w:p>
      <w:pPr>
        <w:pStyle w:val="6"/>
        <w:numPr>
          <w:ilvl w:val="2"/>
          <w:numId w:val="1"/>
        </w:numPr>
        <w:spacing w:before="0" w:after="0"/>
        <w:ind w:left="567"/>
        <w:rPr>
          <w:szCs w:val="28"/>
          <w:highlight w:val="none"/>
        </w:rPr>
      </w:pPr>
      <w:bookmarkStart w:id="545" w:name="_Toc521591808"/>
      <w:bookmarkStart w:id="546" w:name="_Toc3438"/>
      <w:r>
        <w:rPr>
          <w:szCs w:val="28"/>
          <w:highlight w:val="none"/>
        </w:rPr>
        <w:t>施工期固废污染防治措施分析</w:t>
      </w:r>
      <w:bookmarkEnd w:id="545"/>
      <w:bookmarkEnd w:id="546"/>
    </w:p>
    <w:p>
      <w:pPr>
        <w:autoSpaceDE w:val="0"/>
        <w:autoSpaceDN w:val="0"/>
        <w:ind w:firstLine="480"/>
        <w:jc w:val="both"/>
        <w:textAlignment w:val="auto"/>
        <w:rPr>
          <w:sz w:val="24"/>
          <w:szCs w:val="24"/>
          <w:highlight w:val="none"/>
        </w:rPr>
      </w:pPr>
      <w:r>
        <w:rPr>
          <w:sz w:val="24"/>
          <w:szCs w:val="24"/>
          <w:highlight w:val="none"/>
        </w:rPr>
        <w:t>本项目施工期固废主要是</w:t>
      </w:r>
      <w:r>
        <w:rPr>
          <w:rFonts w:hint="eastAsia"/>
          <w:sz w:val="24"/>
          <w:szCs w:val="24"/>
          <w:highlight w:val="none"/>
        </w:rPr>
        <w:t>土建及场地平整中产生的建筑垃圾、废弃土石方和少量施工人员生活垃圾</w:t>
      </w:r>
      <w:r>
        <w:rPr>
          <w:sz w:val="24"/>
          <w:szCs w:val="24"/>
          <w:highlight w:val="none"/>
        </w:rPr>
        <w:t>。</w:t>
      </w:r>
    </w:p>
    <w:p>
      <w:pPr>
        <w:autoSpaceDE w:val="0"/>
        <w:autoSpaceDN w:val="0"/>
        <w:ind w:firstLine="480"/>
        <w:jc w:val="both"/>
        <w:textAlignment w:val="auto"/>
        <w:rPr>
          <w:sz w:val="24"/>
          <w:szCs w:val="24"/>
          <w:highlight w:val="none"/>
        </w:rPr>
      </w:pPr>
      <w:r>
        <w:rPr>
          <w:rFonts w:hint="eastAsia"/>
          <w:sz w:val="24"/>
          <w:szCs w:val="24"/>
          <w:highlight w:val="none"/>
        </w:rPr>
        <w:t>施工产生的建筑垃圾，对能够再利用的砂石料、水泥、钢筋、钢板下脚料等材料进行回收；</w:t>
      </w:r>
      <w:r>
        <w:rPr>
          <w:sz w:val="24"/>
          <w:szCs w:val="24"/>
          <w:highlight w:val="none"/>
        </w:rPr>
        <w:t>施工产生的</w:t>
      </w:r>
      <w:r>
        <w:rPr>
          <w:rFonts w:hint="eastAsia"/>
          <w:sz w:val="24"/>
          <w:szCs w:val="24"/>
          <w:highlight w:val="none"/>
        </w:rPr>
        <w:t>弃土方</w:t>
      </w:r>
      <w:r>
        <w:rPr>
          <w:sz w:val="24"/>
          <w:szCs w:val="24"/>
          <w:highlight w:val="none"/>
        </w:rPr>
        <w:t>，在条件充分时首先考虑用于施工场地的回填，</w:t>
      </w:r>
      <w:r>
        <w:rPr>
          <w:rFonts w:hint="eastAsia"/>
          <w:sz w:val="24"/>
          <w:szCs w:val="24"/>
          <w:highlight w:val="none"/>
        </w:rPr>
        <w:t>多余弃土及无回收价值的建筑垃圾</w:t>
      </w:r>
      <w:r>
        <w:rPr>
          <w:sz w:val="24"/>
          <w:szCs w:val="24"/>
          <w:highlight w:val="none"/>
        </w:rPr>
        <w:t>统一收集，及时清运至遵化市垃圾渣土管理部门指定的渣土消纳场。</w:t>
      </w:r>
      <w:r>
        <w:rPr>
          <w:rFonts w:hint="eastAsia"/>
          <w:sz w:val="24"/>
          <w:szCs w:val="24"/>
          <w:highlight w:val="none"/>
        </w:rPr>
        <w:t>施工</w:t>
      </w:r>
      <w:r>
        <w:rPr>
          <w:sz w:val="24"/>
          <w:szCs w:val="24"/>
          <w:highlight w:val="none"/>
        </w:rPr>
        <w:t>期的生活垃圾量很少，由环卫部门统一清运至指定地点统一消纳处理，不会对周围环境造成不利影响</w:t>
      </w:r>
      <w:r>
        <w:rPr>
          <w:rFonts w:hint="eastAsia"/>
          <w:sz w:val="24"/>
          <w:szCs w:val="24"/>
          <w:highlight w:val="none"/>
        </w:rPr>
        <w:t>。</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547" w:name="_Toc536557302"/>
      <w:r>
        <w:rPr>
          <w:rFonts w:ascii="Times New Roman" w:hAnsi="Times New Roman" w:eastAsia="宋体"/>
          <w:bCs w:val="0"/>
          <w:snapToGrid w:val="0"/>
          <w:kern w:val="0"/>
          <w:sz w:val="28"/>
          <w:szCs w:val="28"/>
          <w:highlight w:val="none"/>
        </w:rPr>
        <w:t>营运期环境保护措施</w:t>
      </w:r>
      <w:bookmarkEnd w:id="530"/>
      <w:bookmarkEnd w:id="531"/>
      <w:bookmarkEnd w:id="532"/>
      <w:bookmarkEnd w:id="533"/>
      <w:bookmarkEnd w:id="534"/>
      <w:bookmarkEnd w:id="535"/>
      <w:bookmarkEnd w:id="536"/>
      <w:bookmarkEnd w:id="547"/>
    </w:p>
    <w:p>
      <w:pPr>
        <w:pStyle w:val="6"/>
        <w:numPr>
          <w:ilvl w:val="2"/>
          <w:numId w:val="1"/>
        </w:numPr>
        <w:spacing w:before="0" w:after="0"/>
        <w:ind w:left="567"/>
        <w:rPr>
          <w:szCs w:val="28"/>
          <w:highlight w:val="none"/>
        </w:rPr>
      </w:pPr>
      <w:bookmarkStart w:id="548" w:name="_Toc521591811"/>
      <w:bookmarkStart w:id="549" w:name="_Toc28423"/>
      <w:r>
        <w:rPr>
          <w:szCs w:val="28"/>
          <w:highlight w:val="none"/>
        </w:rPr>
        <w:t>运营期大气污染防治措施</w:t>
      </w:r>
      <w:bookmarkEnd w:id="548"/>
      <w:bookmarkEnd w:id="549"/>
    </w:p>
    <w:p>
      <w:pPr>
        <w:pStyle w:val="3"/>
        <w:rPr>
          <w:highlight w:val="none"/>
        </w:rPr>
      </w:pPr>
      <w:r>
        <w:rPr>
          <w:highlight w:val="none"/>
        </w:rPr>
        <w:t>6.2.1.1废气污染防治措施</w:t>
      </w:r>
    </w:p>
    <w:p>
      <w:pPr>
        <w:ind w:firstLine="480"/>
        <w:jc w:val="both"/>
        <w:rPr>
          <w:bCs/>
          <w:sz w:val="24"/>
          <w:szCs w:val="24"/>
          <w:highlight w:val="none"/>
        </w:rPr>
      </w:pPr>
      <w:r>
        <w:rPr>
          <w:bCs/>
          <w:sz w:val="24"/>
          <w:szCs w:val="24"/>
          <w:highlight w:val="none"/>
        </w:rPr>
        <w:t>（</w:t>
      </w:r>
      <w:r>
        <w:rPr>
          <w:rFonts w:hint="eastAsia"/>
          <w:bCs/>
          <w:sz w:val="24"/>
          <w:szCs w:val="24"/>
          <w:highlight w:val="none"/>
        </w:rPr>
        <w:t>1</w:t>
      </w:r>
      <w:r>
        <w:rPr>
          <w:bCs/>
          <w:sz w:val="24"/>
          <w:szCs w:val="24"/>
          <w:highlight w:val="none"/>
        </w:rPr>
        <w:t>）破碎筛分粉尘</w:t>
      </w:r>
      <w:r>
        <w:rPr>
          <w:rFonts w:hint="eastAsia"/>
          <w:bCs/>
          <w:sz w:val="24"/>
          <w:szCs w:val="24"/>
          <w:highlight w:val="none"/>
        </w:rPr>
        <w:t>控制措施</w:t>
      </w:r>
    </w:p>
    <w:p>
      <w:pPr>
        <w:ind w:firstLine="480"/>
        <w:rPr>
          <w:bCs/>
          <w:sz w:val="24"/>
          <w:szCs w:val="24"/>
          <w:highlight w:val="none"/>
        </w:rPr>
      </w:pPr>
      <w:r>
        <w:rPr>
          <w:bCs/>
          <w:sz w:val="24"/>
          <w:szCs w:val="24"/>
          <w:highlight w:val="none"/>
        </w:rPr>
        <w:t>本项目破碎筛分工序均在封闭的车间内，在各破碎机、振动筛进料、出料口、入料口分别设置1个集气罩，粉尘经集气管收集进入</w:t>
      </w:r>
      <w:r>
        <w:rPr>
          <w:rFonts w:hint="eastAsia"/>
          <w:bCs/>
          <w:sz w:val="24"/>
          <w:szCs w:val="24"/>
          <w:highlight w:val="none"/>
        </w:rPr>
        <w:t>离线清灰脉冲布袋收尘器</w:t>
      </w:r>
      <w:r>
        <w:rPr>
          <w:bCs/>
          <w:sz w:val="24"/>
          <w:szCs w:val="24"/>
          <w:highlight w:val="none"/>
        </w:rPr>
        <w:t>处理后，经</w:t>
      </w:r>
      <w:r>
        <w:rPr>
          <w:rFonts w:hint="eastAsia"/>
          <w:bCs/>
          <w:sz w:val="24"/>
          <w:szCs w:val="24"/>
          <w:highlight w:val="none"/>
        </w:rPr>
        <w:t>20</w:t>
      </w:r>
      <w:r>
        <w:rPr>
          <w:bCs/>
          <w:sz w:val="24"/>
          <w:szCs w:val="24"/>
          <w:highlight w:val="none"/>
        </w:rPr>
        <w:t>m高排气筒排放。</w:t>
      </w:r>
    </w:p>
    <w:p>
      <w:pPr>
        <w:ind w:firstLine="480"/>
        <w:rPr>
          <w:bCs/>
          <w:sz w:val="24"/>
          <w:szCs w:val="24"/>
          <w:highlight w:val="none"/>
        </w:rPr>
      </w:pPr>
      <w:r>
        <w:rPr>
          <w:rFonts w:hint="eastAsia"/>
          <w:bCs/>
          <w:sz w:val="24"/>
          <w:szCs w:val="24"/>
          <w:highlight w:val="none"/>
        </w:rPr>
        <w:t>①粉尘收集</w:t>
      </w:r>
    </w:p>
    <w:p>
      <w:pPr>
        <w:ind w:left="140" w:leftChars="50" w:firstLine="360" w:firstLineChars="150"/>
        <w:rPr>
          <w:bCs/>
          <w:sz w:val="24"/>
          <w:szCs w:val="24"/>
          <w:highlight w:val="none"/>
        </w:rPr>
      </w:pPr>
      <w:r>
        <w:rPr>
          <w:rFonts w:hint="eastAsia"/>
          <w:bCs/>
          <w:sz w:val="24"/>
          <w:szCs w:val="24"/>
          <w:highlight w:val="none"/>
        </w:rPr>
        <w:t>a.颚式破碎机入料口设置皮质软帘封闭，出料口设置1个集气罩</w:t>
      </w:r>
      <w:r>
        <w:rPr>
          <w:bCs/>
          <w:sz w:val="24"/>
          <w:szCs w:val="24"/>
          <w:highlight w:val="none"/>
        </w:rPr>
        <w:t>+集尘管道</w:t>
      </w:r>
      <w:r>
        <w:rPr>
          <w:rFonts w:hint="eastAsia"/>
          <w:bCs/>
          <w:sz w:val="24"/>
          <w:szCs w:val="24"/>
          <w:highlight w:val="none"/>
        </w:rPr>
        <w:t>；</w:t>
      </w:r>
    </w:p>
    <w:p>
      <w:pPr>
        <w:ind w:left="140" w:leftChars="50" w:firstLine="360" w:firstLineChars="150"/>
        <w:rPr>
          <w:bCs/>
          <w:sz w:val="24"/>
          <w:szCs w:val="24"/>
          <w:highlight w:val="none"/>
        </w:rPr>
      </w:pPr>
      <w:r>
        <w:rPr>
          <w:rFonts w:hint="eastAsia"/>
          <w:bCs/>
          <w:sz w:val="24"/>
          <w:szCs w:val="24"/>
          <w:highlight w:val="none"/>
        </w:rPr>
        <w:t>B</w:t>
      </w:r>
      <w:r>
        <w:rPr>
          <w:rFonts w:hint="eastAsia"/>
          <w:bCs/>
          <w:sz w:val="24"/>
          <w:szCs w:val="24"/>
          <w:highlight w:val="none"/>
          <w:lang w:val="en-US" w:eastAsia="zh-CN"/>
        </w:rPr>
        <w:t>圆锥</w:t>
      </w:r>
      <w:r>
        <w:rPr>
          <w:rFonts w:hint="eastAsia"/>
          <w:bCs/>
          <w:sz w:val="24"/>
          <w:szCs w:val="24"/>
          <w:highlight w:val="none"/>
        </w:rPr>
        <w:t>破碎机入料口设置1个集气罩</w:t>
      </w:r>
      <w:r>
        <w:rPr>
          <w:bCs/>
          <w:sz w:val="24"/>
          <w:szCs w:val="24"/>
          <w:highlight w:val="none"/>
        </w:rPr>
        <w:t>+集尘管道</w:t>
      </w:r>
      <w:r>
        <w:rPr>
          <w:rFonts w:hint="eastAsia"/>
          <w:bCs/>
          <w:sz w:val="24"/>
          <w:szCs w:val="24"/>
          <w:highlight w:val="none"/>
        </w:rPr>
        <w:t>，出料口设置1个集气罩</w:t>
      </w:r>
      <w:r>
        <w:rPr>
          <w:bCs/>
          <w:sz w:val="24"/>
          <w:szCs w:val="24"/>
          <w:highlight w:val="none"/>
        </w:rPr>
        <w:t>+集尘管道</w:t>
      </w:r>
      <w:r>
        <w:rPr>
          <w:rFonts w:hint="eastAsia"/>
          <w:bCs/>
          <w:sz w:val="24"/>
          <w:szCs w:val="24"/>
          <w:highlight w:val="none"/>
        </w:rPr>
        <w:t>；</w:t>
      </w:r>
    </w:p>
    <w:p>
      <w:pPr>
        <w:ind w:left="140" w:leftChars="50" w:firstLine="360" w:firstLineChars="150"/>
        <w:rPr>
          <w:bCs/>
          <w:sz w:val="24"/>
          <w:szCs w:val="24"/>
          <w:highlight w:val="none"/>
        </w:rPr>
      </w:pPr>
      <w:r>
        <w:rPr>
          <w:rFonts w:hint="eastAsia"/>
          <w:bCs/>
          <w:sz w:val="24"/>
          <w:szCs w:val="24"/>
          <w:highlight w:val="none"/>
        </w:rPr>
        <w:t>c.振动筛</w:t>
      </w:r>
      <w:r>
        <w:rPr>
          <w:bCs/>
          <w:sz w:val="24"/>
          <w:szCs w:val="24"/>
          <w:highlight w:val="none"/>
        </w:rPr>
        <w:t>入料口设置</w:t>
      </w:r>
      <w:r>
        <w:rPr>
          <w:rFonts w:hint="eastAsia"/>
          <w:bCs/>
          <w:sz w:val="24"/>
          <w:szCs w:val="24"/>
          <w:highlight w:val="none"/>
        </w:rPr>
        <w:t>1个</w:t>
      </w:r>
      <w:r>
        <w:rPr>
          <w:bCs/>
          <w:sz w:val="24"/>
          <w:szCs w:val="24"/>
          <w:highlight w:val="none"/>
        </w:rPr>
        <w:t>集气罩</w:t>
      </w:r>
      <w:r>
        <w:rPr>
          <w:rFonts w:hint="eastAsia"/>
          <w:bCs/>
          <w:sz w:val="24"/>
          <w:szCs w:val="24"/>
          <w:highlight w:val="none"/>
        </w:rPr>
        <w:t>+</w:t>
      </w:r>
      <w:r>
        <w:rPr>
          <w:bCs/>
          <w:sz w:val="24"/>
          <w:szCs w:val="24"/>
          <w:highlight w:val="none"/>
        </w:rPr>
        <w:t>筛面封闭+集尘管道</w:t>
      </w:r>
      <w:r>
        <w:rPr>
          <w:rFonts w:hint="eastAsia"/>
          <w:bCs/>
          <w:sz w:val="24"/>
          <w:szCs w:val="24"/>
          <w:highlight w:val="none"/>
        </w:rPr>
        <w:t>，振动筛</w:t>
      </w:r>
      <w:r>
        <w:rPr>
          <w:bCs/>
          <w:sz w:val="24"/>
          <w:szCs w:val="24"/>
          <w:highlight w:val="none"/>
        </w:rPr>
        <w:t>出料口设置</w:t>
      </w:r>
      <w:r>
        <w:rPr>
          <w:rFonts w:hint="eastAsia"/>
          <w:bCs/>
          <w:sz w:val="24"/>
          <w:szCs w:val="24"/>
          <w:highlight w:val="none"/>
        </w:rPr>
        <w:t>1个</w:t>
      </w:r>
      <w:r>
        <w:rPr>
          <w:bCs/>
          <w:sz w:val="24"/>
          <w:szCs w:val="24"/>
          <w:highlight w:val="none"/>
        </w:rPr>
        <w:t>集气罩+集尘管</w:t>
      </w:r>
      <w:r>
        <w:rPr>
          <w:rFonts w:hint="eastAsia"/>
          <w:bCs/>
          <w:sz w:val="24"/>
          <w:szCs w:val="24"/>
          <w:highlight w:val="none"/>
        </w:rPr>
        <w:t>；</w:t>
      </w:r>
    </w:p>
    <w:p>
      <w:pPr>
        <w:ind w:left="140" w:leftChars="50" w:firstLine="360" w:firstLineChars="150"/>
        <w:rPr>
          <w:bCs/>
          <w:sz w:val="24"/>
          <w:szCs w:val="24"/>
          <w:highlight w:val="none"/>
        </w:rPr>
      </w:pPr>
      <w:r>
        <w:rPr>
          <w:rFonts w:hint="eastAsia"/>
          <w:bCs/>
          <w:sz w:val="24"/>
          <w:szCs w:val="24"/>
          <w:highlight w:val="none"/>
        </w:rPr>
        <w:t>d.中转</w:t>
      </w:r>
      <w:r>
        <w:rPr>
          <w:bCs/>
          <w:sz w:val="24"/>
          <w:szCs w:val="24"/>
          <w:highlight w:val="none"/>
        </w:rPr>
        <w:t>料仓出料口设置</w:t>
      </w:r>
      <w:r>
        <w:rPr>
          <w:rFonts w:hint="eastAsia"/>
          <w:bCs/>
          <w:sz w:val="24"/>
          <w:szCs w:val="24"/>
          <w:highlight w:val="none"/>
        </w:rPr>
        <w:t>1个</w:t>
      </w:r>
      <w:r>
        <w:rPr>
          <w:bCs/>
          <w:sz w:val="24"/>
          <w:szCs w:val="24"/>
          <w:highlight w:val="none"/>
        </w:rPr>
        <w:t>集气罩+集尘管道</w:t>
      </w:r>
      <w:r>
        <w:rPr>
          <w:rFonts w:hint="eastAsia"/>
          <w:bCs/>
          <w:sz w:val="24"/>
          <w:szCs w:val="24"/>
          <w:highlight w:val="none"/>
        </w:rPr>
        <w:t>。</w:t>
      </w:r>
    </w:p>
    <w:p>
      <w:pPr>
        <w:ind w:firstLine="480"/>
        <w:rPr>
          <w:bCs/>
          <w:sz w:val="24"/>
          <w:szCs w:val="24"/>
          <w:highlight w:val="none"/>
        </w:rPr>
      </w:pPr>
      <w:r>
        <w:rPr>
          <w:rFonts w:hint="eastAsia"/>
          <w:bCs/>
          <w:sz w:val="24"/>
          <w:szCs w:val="24"/>
          <w:highlight w:val="none"/>
        </w:rPr>
        <w:t>②脉冲布袋收尘器</w:t>
      </w:r>
    </w:p>
    <w:p>
      <w:pPr>
        <w:ind w:firstLine="480"/>
        <w:rPr>
          <w:bCs/>
          <w:sz w:val="24"/>
          <w:szCs w:val="24"/>
          <w:highlight w:val="none"/>
        </w:rPr>
      </w:pPr>
      <w:r>
        <w:rPr>
          <w:rFonts w:hint="eastAsia"/>
          <w:bCs/>
          <w:sz w:val="24"/>
          <w:szCs w:val="24"/>
          <w:highlight w:val="none"/>
        </w:rPr>
        <w:t>脉冲布袋收尘器由灰门、中箱体、上箱体等部分组成，中箱体为分室或分组结构。工作时，含尘气体由尘气集合管进入灰门，粗尘粒直接落入灰门底部，细尘粒随气流转折向上进入中箱体，灰尘积附在滤袋外表面，过滤后的气体进入净气集合管经风机排至大气。</w:t>
      </w:r>
    </w:p>
    <w:p>
      <w:pPr>
        <w:ind w:firstLine="480"/>
        <w:rPr>
          <w:bCs/>
          <w:sz w:val="24"/>
          <w:szCs w:val="24"/>
          <w:highlight w:val="none"/>
        </w:rPr>
      </w:pPr>
      <w:r>
        <w:rPr>
          <w:rFonts w:hint="eastAsia"/>
          <w:bCs/>
          <w:sz w:val="24"/>
          <w:szCs w:val="24"/>
          <w:highlight w:val="none"/>
        </w:rPr>
        <w:t>脉冲布袋收尘器是以压缩空气为清灰动力，利用脉冲喷吹机构在瞬间放出压缩空气，高速射入滤袋，使滤袋急剧膨胀，依靠冲击振动和反向气流而清灰的布袋除尘器。除尘器清灰方式为离线清灰，除尘效率99%。</w:t>
      </w:r>
    </w:p>
    <w:p>
      <w:pPr>
        <w:widowControl/>
        <w:ind w:firstLine="480"/>
        <w:textAlignment w:val="auto"/>
        <w:rPr>
          <w:bCs/>
          <w:sz w:val="24"/>
          <w:szCs w:val="24"/>
          <w:highlight w:val="none"/>
        </w:rPr>
      </w:pPr>
      <w:r>
        <w:rPr>
          <w:rFonts w:hint="eastAsia"/>
          <w:bCs/>
          <w:sz w:val="24"/>
          <w:szCs w:val="24"/>
          <w:highlight w:val="none"/>
        </w:rPr>
        <w:t>本项目破碎车间设置一套离线清灰脉冲布袋收尘器，风量为40000m</w:t>
      </w:r>
      <w:r>
        <w:rPr>
          <w:rFonts w:hint="eastAsia"/>
          <w:bCs/>
          <w:sz w:val="24"/>
          <w:szCs w:val="24"/>
          <w:highlight w:val="none"/>
          <w:vertAlign w:val="superscript"/>
        </w:rPr>
        <w:t>3</w:t>
      </w:r>
      <w:r>
        <w:rPr>
          <w:rFonts w:hint="eastAsia"/>
          <w:bCs/>
          <w:sz w:val="24"/>
          <w:szCs w:val="24"/>
          <w:highlight w:val="none"/>
        </w:rPr>
        <w:t>/h。</w:t>
      </w:r>
      <w:r>
        <w:rPr>
          <w:bCs/>
          <w:sz w:val="24"/>
          <w:szCs w:val="24"/>
          <w:highlight w:val="none"/>
        </w:rPr>
        <w:t>经计算，</w:t>
      </w:r>
      <w:r>
        <w:rPr>
          <w:rFonts w:hint="eastAsia"/>
          <w:bCs/>
          <w:sz w:val="24"/>
          <w:szCs w:val="24"/>
          <w:highlight w:val="none"/>
        </w:rPr>
        <w:t>本项目</w:t>
      </w:r>
      <w:r>
        <w:rPr>
          <w:sz w:val="24"/>
          <w:szCs w:val="24"/>
          <w:highlight w:val="none"/>
        </w:rPr>
        <w:t>有组织</w:t>
      </w:r>
      <w:r>
        <w:rPr>
          <w:bCs/>
          <w:sz w:val="24"/>
          <w:szCs w:val="24"/>
          <w:highlight w:val="none"/>
        </w:rPr>
        <w:t>颗粒物排放浓度及排放速率均能满足</w:t>
      </w:r>
      <w:r>
        <w:rPr>
          <w:sz w:val="24"/>
          <w:szCs w:val="24"/>
          <w:highlight w:val="none"/>
        </w:rPr>
        <w:t>《铁矿采选工业污染物排放标准》(GB28661-2012)表6大气污染物特别排放限值10mg/m</w:t>
      </w:r>
      <w:r>
        <w:rPr>
          <w:sz w:val="24"/>
          <w:szCs w:val="24"/>
          <w:highlight w:val="none"/>
          <w:vertAlign w:val="superscript"/>
        </w:rPr>
        <w:t>3</w:t>
      </w:r>
      <w:r>
        <w:rPr>
          <w:sz w:val="24"/>
          <w:szCs w:val="24"/>
          <w:highlight w:val="none"/>
        </w:rPr>
        <w:t>的要求。</w:t>
      </w:r>
    </w:p>
    <w:p>
      <w:pPr>
        <w:ind w:firstLine="480"/>
        <w:rPr>
          <w:sz w:val="24"/>
          <w:szCs w:val="24"/>
          <w:highlight w:val="none"/>
        </w:rPr>
      </w:pPr>
      <w:r>
        <w:rPr>
          <w:rFonts w:hint="eastAsia"/>
          <w:sz w:val="24"/>
          <w:szCs w:val="24"/>
          <w:highlight w:val="none"/>
        </w:rPr>
        <w:t>综上所述，本项目破碎筛分过程产生的粉尘经离线清灰高效脉冲布袋除尘器处理，可以达标排放，措施可行。</w:t>
      </w:r>
    </w:p>
    <w:p>
      <w:pPr>
        <w:ind w:firstLine="480"/>
        <w:jc w:val="both"/>
        <w:rPr>
          <w:bCs/>
          <w:sz w:val="24"/>
          <w:szCs w:val="24"/>
          <w:highlight w:val="none"/>
        </w:rPr>
      </w:pPr>
      <w:r>
        <w:rPr>
          <w:bCs/>
          <w:sz w:val="24"/>
          <w:szCs w:val="24"/>
          <w:highlight w:val="none"/>
        </w:rPr>
        <w:t>（</w:t>
      </w:r>
      <w:r>
        <w:rPr>
          <w:rFonts w:hint="eastAsia"/>
          <w:bCs/>
          <w:sz w:val="24"/>
          <w:szCs w:val="24"/>
          <w:highlight w:val="none"/>
        </w:rPr>
        <w:t>2</w:t>
      </w:r>
      <w:r>
        <w:rPr>
          <w:bCs/>
          <w:sz w:val="24"/>
          <w:szCs w:val="24"/>
          <w:highlight w:val="none"/>
        </w:rPr>
        <w:t>）上料粉尘</w:t>
      </w:r>
      <w:r>
        <w:rPr>
          <w:rFonts w:hint="eastAsia"/>
          <w:bCs/>
          <w:sz w:val="24"/>
          <w:szCs w:val="24"/>
          <w:highlight w:val="none"/>
        </w:rPr>
        <w:t>控制措施</w:t>
      </w:r>
    </w:p>
    <w:p>
      <w:pPr>
        <w:autoSpaceDE w:val="0"/>
        <w:autoSpaceDN w:val="0"/>
        <w:ind w:firstLine="480"/>
        <w:jc w:val="both"/>
        <w:textAlignment w:val="auto"/>
        <w:rPr>
          <w:bCs/>
          <w:sz w:val="24"/>
          <w:szCs w:val="24"/>
          <w:highlight w:val="none"/>
        </w:rPr>
      </w:pPr>
      <w:r>
        <w:rPr>
          <w:bCs/>
          <w:sz w:val="24"/>
          <w:szCs w:val="24"/>
          <w:highlight w:val="none"/>
        </w:rPr>
        <w:t>本项目上料仓均设置于</w:t>
      </w:r>
      <w:r>
        <w:rPr>
          <w:rFonts w:hint="eastAsia"/>
          <w:bCs/>
          <w:sz w:val="24"/>
          <w:szCs w:val="24"/>
          <w:highlight w:val="none"/>
          <w:lang w:val="en-US" w:eastAsia="zh-CN"/>
        </w:rPr>
        <w:t>原料棚内</w:t>
      </w:r>
      <w:r>
        <w:rPr>
          <w:bCs/>
          <w:sz w:val="24"/>
          <w:szCs w:val="24"/>
          <w:highlight w:val="none"/>
        </w:rPr>
        <w:t>，并设置喷淋抑尘装置。</w:t>
      </w:r>
      <w:r>
        <w:rPr>
          <w:rFonts w:hint="eastAsia"/>
          <w:bCs/>
          <w:sz w:val="24"/>
          <w:szCs w:val="24"/>
          <w:highlight w:val="none"/>
        </w:rPr>
        <w:t>喷雾口辐射面积为</w:t>
      </w:r>
      <w:r>
        <w:rPr>
          <w:bCs/>
          <w:sz w:val="24"/>
          <w:szCs w:val="24"/>
          <w:highlight w:val="none"/>
        </w:rPr>
        <w:t>5m×3.5m</w:t>
      </w:r>
      <w:r>
        <w:rPr>
          <w:rFonts w:hint="eastAsia"/>
          <w:bCs/>
          <w:sz w:val="24"/>
          <w:szCs w:val="24"/>
          <w:highlight w:val="none"/>
        </w:rPr>
        <w:t>，在投料过程中喷雾抑尘。</w:t>
      </w:r>
    </w:p>
    <w:p>
      <w:pPr>
        <w:autoSpaceDE w:val="0"/>
        <w:autoSpaceDN w:val="0"/>
        <w:ind w:firstLine="480"/>
        <w:jc w:val="both"/>
        <w:textAlignment w:val="auto"/>
        <w:rPr>
          <w:sz w:val="24"/>
          <w:szCs w:val="24"/>
          <w:highlight w:val="none"/>
        </w:rPr>
      </w:pPr>
      <w:r>
        <w:rPr>
          <w:bCs/>
          <w:sz w:val="24"/>
          <w:szCs w:val="24"/>
          <w:highlight w:val="none"/>
        </w:rPr>
        <w:t>（</w:t>
      </w:r>
      <w:r>
        <w:rPr>
          <w:rFonts w:hint="eastAsia"/>
          <w:bCs/>
          <w:sz w:val="24"/>
          <w:szCs w:val="24"/>
          <w:highlight w:val="none"/>
        </w:rPr>
        <w:t>3</w:t>
      </w:r>
      <w:r>
        <w:rPr>
          <w:bCs/>
          <w:sz w:val="24"/>
          <w:szCs w:val="24"/>
          <w:highlight w:val="none"/>
        </w:rPr>
        <w:t>）</w:t>
      </w:r>
      <w:r>
        <w:rPr>
          <w:rFonts w:hint="eastAsia"/>
          <w:bCs/>
          <w:sz w:val="24"/>
          <w:szCs w:val="24"/>
          <w:highlight w:val="none"/>
          <w:lang w:val="en-US" w:eastAsia="zh-CN"/>
        </w:rPr>
        <w:t>成品</w:t>
      </w:r>
      <w:r>
        <w:rPr>
          <w:rFonts w:hint="eastAsia"/>
          <w:bCs/>
          <w:sz w:val="24"/>
          <w:szCs w:val="24"/>
          <w:highlight w:val="none"/>
        </w:rPr>
        <w:t>库物料堆存</w:t>
      </w:r>
      <w:r>
        <w:rPr>
          <w:bCs/>
          <w:sz w:val="24"/>
          <w:szCs w:val="24"/>
          <w:highlight w:val="none"/>
        </w:rPr>
        <w:t>粉尘</w:t>
      </w:r>
      <w:r>
        <w:rPr>
          <w:rFonts w:hint="eastAsia"/>
          <w:bCs/>
          <w:sz w:val="24"/>
          <w:szCs w:val="24"/>
          <w:highlight w:val="none"/>
        </w:rPr>
        <w:t>控制措施</w:t>
      </w:r>
    </w:p>
    <w:p>
      <w:pPr>
        <w:ind w:firstLine="480"/>
        <w:jc w:val="both"/>
        <w:rPr>
          <w:bCs/>
          <w:sz w:val="24"/>
          <w:szCs w:val="24"/>
          <w:highlight w:val="none"/>
        </w:rPr>
      </w:pPr>
      <w:r>
        <w:rPr>
          <w:bCs/>
          <w:sz w:val="24"/>
          <w:szCs w:val="24"/>
          <w:highlight w:val="none"/>
        </w:rPr>
        <w:t>本项目</w:t>
      </w:r>
      <w:r>
        <w:rPr>
          <w:rFonts w:hint="eastAsia"/>
          <w:bCs/>
          <w:sz w:val="24"/>
          <w:szCs w:val="24"/>
          <w:highlight w:val="none"/>
          <w:lang w:val="en-US" w:eastAsia="zh-CN"/>
        </w:rPr>
        <w:t>新建</w:t>
      </w:r>
      <w:r>
        <w:rPr>
          <w:rFonts w:hint="eastAsia"/>
          <w:bCs/>
          <w:sz w:val="24"/>
          <w:szCs w:val="24"/>
          <w:highlight w:val="none"/>
        </w:rPr>
        <w:t>1</w:t>
      </w:r>
      <w:r>
        <w:rPr>
          <w:rFonts w:hint="eastAsia"/>
          <w:bCs/>
          <w:sz w:val="24"/>
          <w:szCs w:val="24"/>
          <w:highlight w:val="none"/>
          <w:lang w:val="en-US" w:eastAsia="zh-CN"/>
        </w:rPr>
        <w:t>座全封闭</w:t>
      </w:r>
      <w:r>
        <w:rPr>
          <w:rFonts w:hint="eastAsia"/>
          <w:bCs/>
          <w:sz w:val="24"/>
          <w:szCs w:val="24"/>
          <w:highlight w:val="none"/>
        </w:rPr>
        <w:t>成品库</w:t>
      </w:r>
      <w:r>
        <w:rPr>
          <w:bCs/>
          <w:sz w:val="24"/>
          <w:szCs w:val="24"/>
          <w:highlight w:val="none"/>
        </w:rPr>
        <w:t>，同时设有喷淋装置。</w:t>
      </w:r>
    </w:p>
    <w:p>
      <w:pPr>
        <w:ind w:firstLine="480"/>
        <w:jc w:val="both"/>
        <w:rPr>
          <w:bCs/>
          <w:sz w:val="24"/>
          <w:szCs w:val="24"/>
          <w:highlight w:val="none"/>
        </w:rPr>
      </w:pPr>
      <w:r>
        <w:rPr>
          <w:bCs/>
          <w:sz w:val="24"/>
          <w:szCs w:val="24"/>
          <w:highlight w:val="none"/>
        </w:rPr>
        <w:t>在原料</w:t>
      </w:r>
      <w:r>
        <w:rPr>
          <w:rFonts w:hint="eastAsia"/>
          <w:bCs/>
          <w:sz w:val="24"/>
          <w:szCs w:val="24"/>
          <w:highlight w:val="none"/>
          <w:lang w:val="en-US" w:eastAsia="zh-CN"/>
        </w:rPr>
        <w:t>棚受料仓顶部、成品库</w:t>
      </w:r>
      <w:r>
        <w:rPr>
          <w:bCs/>
          <w:sz w:val="24"/>
          <w:szCs w:val="24"/>
          <w:highlight w:val="none"/>
        </w:rPr>
        <w:t>设置喷雾抑尘装置，喷淋管路使用保温棉包裹，每隔5m设置1个喷雾口，喷雾口辐射面积为5m×3.5m，</w:t>
      </w:r>
      <w:r>
        <w:rPr>
          <w:rFonts w:hint="eastAsia"/>
          <w:bCs/>
          <w:sz w:val="24"/>
          <w:szCs w:val="24"/>
          <w:highlight w:val="none"/>
        </w:rPr>
        <w:t>共设置64个喷雾口，</w:t>
      </w:r>
      <w:r>
        <w:rPr>
          <w:bCs/>
          <w:sz w:val="24"/>
          <w:szCs w:val="24"/>
          <w:highlight w:val="none"/>
        </w:rPr>
        <w:t>定期向料堆喷水，并在原料卸车过程中增加喷淋次数。</w:t>
      </w:r>
    </w:p>
    <w:p>
      <w:pPr>
        <w:ind w:firstLine="480"/>
        <w:jc w:val="both"/>
        <w:rPr>
          <w:bCs/>
          <w:sz w:val="24"/>
          <w:szCs w:val="24"/>
          <w:highlight w:val="none"/>
        </w:rPr>
      </w:pPr>
      <w:r>
        <w:rPr>
          <w:bCs/>
          <w:sz w:val="24"/>
          <w:szCs w:val="24"/>
          <w:highlight w:val="none"/>
        </w:rPr>
        <w:t>（</w:t>
      </w:r>
      <w:r>
        <w:rPr>
          <w:rFonts w:hint="eastAsia"/>
          <w:bCs/>
          <w:sz w:val="24"/>
          <w:szCs w:val="24"/>
          <w:highlight w:val="none"/>
        </w:rPr>
        <w:t>4</w:t>
      </w:r>
      <w:r>
        <w:rPr>
          <w:bCs/>
          <w:sz w:val="24"/>
          <w:szCs w:val="24"/>
          <w:highlight w:val="none"/>
        </w:rPr>
        <w:t>）运输道路扬尘</w:t>
      </w:r>
      <w:r>
        <w:rPr>
          <w:rFonts w:hint="eastAsia"/>
          <w:bCs/>
          <w:sz w:val="24"/>
          <w:szCs w:val="24"/>
          <w:highlight w:val="none"/>
        </w:rPr>
        <w:t>治理措施</w:t>
      </w:r>
    </w:p>
    <w:p>
      <w:pPr>
        <w:ind w:firstLine="480"/>
        <w:rPr>
          <w:sz w:val="24"/>
          <w:szCs w:val="24"/>
          <w:highlight w:val="none"/>
        </w:rPr>
      </w:pPr>
      <w:r>
        <w:rPr>
          <w:rFonts w:hint="eastAsia"/>
          <w:sz w:val="24"/>
          <w:szCs w:val="24"/>
          <w:highlight w:val="none"/>
        </w:rPr>
        <w:t>项目在厂区出口设置红外控制全自动洗车系统，洗车系统包括红外控制系统、清洗系统、导流系统和沉淀系统等，清洗系统包括车身冲洗系统和轮胎冲洗系统，导流系统位于清洗车辆下方，避免洗车废水积存。当运输车辆进入洗车系统后红外控制系统自动启动发出开启指令控制清洗系统开启，车身清洗系统和轮胎冲洗系统喷头进行喷水作业，自动冲洗车身及轮胎等，洗车废水通过水篦子流入导流系统然后自流入沉淀系统，洗车废水经沉淀系统澄清后循环利用。车辆冲洗结束后，运输车辆驶离洗车系统，红外控制系统发出关闭指令控制清洗系统关闭。运输车辆经苫布覆盖后离开厂区，</w:t>
      </w:r>
      <w:r>
        <w:rPr>
          <w:sz w:val="24"/>
          <w:szCs w:val="24"/>
          <w:highlight w:val="none"/>
        </w:rPr>
        <w:t>厂区地面全部硬化，洒水降尘、保持清洁</w:t>
      </w:r>
      <w:r>
        <w:rPr>
          <w:rFonts w:hint="eastAsia"/>
          <w:sz w:val="24"/>
          <w:szCs w:val="24"/>
          <w:highlight w:val="none"/>
        </w:rPr>
        <w:t>。</w:t>
      </w:r>
    </w:p>
    <w:p>
      <w:pPr>
        <w:ind w:firstLine="480"/>
        <w:rPr>
          <w:sz w:val="24"/>
          <w:szCs w:val="24"/>
          <w:highlight w:val="none"/>
        </w:rPr>
      </w:pPr>
      <w:r>
        <w:rPr>
          <w:rFonts w:hint="eastAsia"/>
          <w:sz w:val="24"/>
          <w:szCs w:val="24"/>
          <w:highlight w:val="none"/>
        </w:rPr>
        <w:t>精粉库门口设车轮清洗装置。</w:t>
      </w:r>
    </w:p>
    <w:p>
      <w:pPr>
        <w:ind w:firstLine="480"/>
        <w:jc w:val="both"/>
        <w:rPr>
          <w:bCs/>
          <w:sz w:val="24"/>
          <w:szCs w:val="24"/>
          <w:highlight w:val="none"/>
        </w:rPr>
      </w:pPr>
      <w:r>
        <w:rPr>
          <w:bCs/>
          <w:sz w:val="24"/>
          <w:szCs w:val="24"/>
          <w:highlight w:val="none"/>
        </w:rPr>
        <w:t>本项目</w:t>
      </w:r>
      <w:r>
        <w:rPr>
          <w:rFonts w:hint="eastAsia"/>
          <w:bCs/>
          <w:sz w:val="24"/>
          <w:szCs w:val="24"/>
          <w:highlight w:val="none"/>
        </w:rPr>
        <w:t>铁</w:t>
      </w:r>
      <w:r>
        <w:rPr>
          <w:bCs/>
          <w:sz w:val="24"/>
          <w:szCs w:val="24"/>
          <w:highlight w:val="none"/>
        </w:rPr>
        <w:t>矿石、</w:t>
      </w:r>
      <w:r>
        <w:rPr>
          <w:rFonts w:hint="eastAsia"/>
          <w:bCs/>
          <w:sz w:val="24"/>
          <w:szCs w:val="24"/>
          <w:highlight w:val="none"/>
          <w:lang w:val="en-US" w:eastAsia="zh-CN"/>
        </w:rPr>
        <w:t>砂石料等物料</w:t>
      </w:r>
      <w:r>
        <w:rPr>
          <w:bCs/>
          <w:sz w:val="24"/>
          <w:szCs w:val="24"/>
          <w:highlight w:val="none"/>
        </w:rPr>
        <w:t>外运过程中，会产生道路扬尘。本次评价要求：</w:t>
      </w:r>
    </w:p>
    <w:p>
      <w:pPr>
        <w:ind w:firstLine="480"/>
        <w:jc w:val="both"/>
        <w:rPr>
          <w:bCs/>
          <w:sz w:val="24"/>
          <w:szCs w:val="24"/>
          <w:highlight w:val="none"/>
        </w:rPr>
      </w:pPr>
      <w:r>
        <w:rPr>
          <w:rFonts w:hint="eastAsia" w:ascii="宋体" w:hAnsi="宋体" w:cs="宋体"/>
          <w:bCs/>
          <w:sz w:val="24"/>
          <w:szCs w:val="24"/>
          <w:highlight w:val="none"/>
        </w:rPr>
        <w:t>①</w:t>
      </w:r>
      <w:r>
        <w:rPr>
          <w:bCs/>
          <w:sz w:val="24"/>
          <w:szCs w:val="24"/>
          <w:highlight w:val="none"/>
        </w:rPr>
        <w:t>厂区道路路面全部进行硬化处理；</w:t>
      </w:r>
    </w:p>
    <w:p>
      <w:pPr>
        <w:ind w:firstLine="480"/>
        <w:jc w:val="both"/>
        <w:rPr>
          <w:bCs/>
          <w:sz w:val="24"/>
          <w:szCs w:val="24"/>
          <w:highlight w:val="none"/>
        </w:rPr>
      </w:pPr>
      <w:r>
        <w:rPr>
          <w:rFonts w:hint="eastAsia" w:ascii="宋体" w:hAnsi="宋体" w:cs="宋体"/>
          <w:bCs/>
          <w:sz w:val="24"/>
          <w:szCs w:val="24"/>
          <w:highlight w:val="none"/>
        </w:rPr>
        <w:t>②</w:t>
      </w:r>
      <w:r>
        <w:rPr>
          <w:bCs/>
          <w:sz w:val="24"/>
          <w:szCs w:val="24"/>
          <w:highlight w:val="none"/>
        </w:rPr>
        <w:t>企业在运输过程中要注意保持可控道路路面的清洁和相对湿度，当路面出现损坏及时修复，同时对运输道路要进行定时洒水，并应视路面状况调整洒水频次。</w:t>
      </w:r>
    </w:p>
    <w:p>
      <w:pPr>
        <w:ind w:firstLine="480"/>
        <w:jc w:val="both"/>
        <w:rPr>
          <w:bCs/>
          <w:sz w:val="24"/>
          <w:szCs w:val="24"/>
          <w:highlight w:val="none"/>
        </w:rPr>
      </w:pPr>
      <w:r>
        <w:rPr>
          <w:rFonts w:hint="eastAsia" w:ascii="宋体" w:hAnsi="宋体" w:cs="宋体"/>
          <w:bCs/>
          <w:sz w:val="24"/>
          <w:szCs w:val="24"/>
          <w:highlight w:val="none"/>
        </w:rPr>
        <w:t>③</w:t>
      </w:r>
      <w:r>
        <w:rPr>
          <w:bCs/>
          <w:sz w:val="24"/>
          <w:szCs w:val="24"/>
          <w:highlight w:val="none"/>
        </w:rPr>
        <w:t>为了严格控制运输扬尘的污染，厂方与运输单位或个人签订包含以下内容的相关协议：按照国家核定的汽车装载能力，严格控制汽车装载量；运输过程中车顶要加盖篷布；限制车速，特别是经过村庄时，要低速行驶，最大限度减少车辆沿路抛洒。采取上述措施后，可减少运输扬尘量80%，减轻对沿途村庄</w:t>
      </w:r>
      <w:r>
        <w:rPr>
          <w:rFonts w:hint="eastAsia"/>
          <w:bCs/>
          <w:sz w:val="24"/>
          <w:szCs w:val="24"/>
          <w:highlight w:val="none"/>
        </w:rPr>
        <w:t>环境</w:t>
      </w:r>
      <w:r>
        <w:rPr>
          <w:bCs/>
          <w:sz w:val="24"/>
          <w:szCs w:val="24"/>
          <w:highlight w:val="none"/>
        </w:rPr>
        <w:t>的影响。</w:t>
      </w:r>
    </w:p>
    <w:p>
      <w:pPr>
        <w:ind w:firstLine="439" w:firstLineChars="183"/>
        <w:jc w:val="both"/>
        <w:textAlignment w:val="auto"/>
        <w:rPr>
          <w:bCs/>
          <w:sz w:val="24"/>
          <w:szCs w:val="24"/>
          <w:highlight w:val="none"/>
        </w:rPr>
      </w:pPr>
      <w:r>
        <w:rPr>
          <w:bCs/>
          <w:sz w:val="24"/>
          <w:szCs w:val="24"/>
          <w:highlight w:val="none"/>
        </w:rPr>
        <w:t>（</w:t>
      </w:r>
      <w:r>
        <w:rPr>
          <w:rFonts w:hint="eastAsia"/>
          <w:bCs/>
          <w:sz w:val="24"/>
          <w:szCs w:val="24"/>
          <w:highlight w:val="none"/>
        </w:rPr>
        <w:t>5</w:t>
      </w:r>
      <w:r>
        <w:rPr>
          <w:bCs/>
          <w:sz w:val="24"/>
          <w:szCs w:val="24"/>
          <w:highlight w:val="none"/>
        </w:rPr>
        <w:t>）</w:t>
      </w:r>
      <w:r>
        <w:rPr>
          <w:snapToGrid w:val="0"/>
          <w:sz w:val="24"/>
          <w:szCs w:val="24"/>
          <w:highlight w:val="none"/>
        </w:rPr>
        <w:t>物料转运过程产生的颗粒物</w:t>
      </w:r>
    </w:p>
    <w:p>
      <w:pPr>
        <w:widowControl/>
        <w:ind w:firstLine="480"/>
        <w:textAlignment w:val="auto"/>
        <w:rPr>
          <w:kern w:val="2"/>
          <w:sz w:val="24"/>
          <w:highlight w:val="none"/>
        </w:rPr>
      </w:pPr>
      <w:r>
        <w:rPr>
          <w:kern w:val="2"/>
          <w:sz w:val="24"/>
          <w:highlight w:val="none"/>
        </w:rPr>
        <w:t>物料不在厂区内进行露天转运，转运过程设置在封闭皮带内或封闭廊道转运，只有少量从封闭廊道的缝隙中逸散，</w:t>
      </w:r>
      <w:r>
        <w:rPr>
          <w:bCs/>
          <w:sz w:val="24"/>
          <w:szCs w:val="24"/>
          <w:highlight w:val="none"/>
        </w:rPr>
        <w:t>采取上述措施后基本不起尘</w:t>
      </w:r>
      <w:r>
        <w:rPr>
          <w:rFonts w:hint="eastAsia"/>
          <w:bCs/>
          <w:sz w:val="24"/>
          <w:szCs w:val="24"/>
          <w:highlight w:val="none"/>
        </w:rPr>
        <w:t>，措施可行。</w:t>
      </w:r>
    </w:p>
    <w:p>
      <w:pPr>
        <w:pStyle w:val="3"/>
        <w:rPr>
          <w:highlight w:val="none"/>
        </w:rPr>
      </w:pPr>
      <w:r>
        <w:rPr>
          <w:highlight w:val="none"/>
        </w:rPr>
        <w:t>6.2.1.2废气污染防治措施可行性分析</w:t>
      </w:r>
    </w:p>
    <w:p>
      <w:pPr>
        <w:widowControl/>
        <w:ind w:firstLine="439" w:firstLineChars="183"/>
        <w:textAlignment w:val="auto"/>
        <w:rPr>
          <w:bCs/>
          <w:sz w:val="24"/>
          <w:szCs w:val="24"/>
          <w:highlight w:val="none"/>
        </w:rPr>
      </w:pPr>
      <w:r>
        <w:rPr>
          <w:bCs/>
          <w:sz w:val="24"/>
          <w:szCs w:val="24"/>
          <w:highlight w:val="none"/>
        </w:rPr>
        <w:t>本项目破碎筛分工序均在封闭的车间内，在各破碎机、振动筛</w:t>
      </w:r>
      <w:r>
        <w:rPr>
          <w:rFonts w:hint="eastAsia"/>
          <w:bCs/>
          <w:sz w:val="24"/>
          <w:szCs w:val="24"/>
          <w:highlight w:val="none"/>
        </w:rPr>
        <w:t>（干式筛分）</w:t>
      </w:r>
      <w:r>
        <w:rPr>
          <w:bCs/>
          <w:sz w:val="24"/>
          <w:szCs w:val="24"/>
          <w:highlight w:val="none"/>
        </w:rPr>
        <w:t>进料、出料口、入料口分别设置1个集气罩，粉尘经集气管收集进入</w:t>
      </w:r>
      <w:r>
        <w:rPr>
          <w:rFonts w:hint="eastAsia"/>
          <w:bCs/>
          <w:sz w:val="24"/>
          <w:szCs w:val="24"/>
          <w:highlight w:val="none"/>
        </w:rPr>
        <w:t>离线清灰脉冲布袋收尘器</w:t>
      </w:r>
      <w:r>
        <w:rPr>
          <w:bCs/>
          <w:sz w:val="24"/>
          <w:szCs w:val="24"/>
          <w:highlight w:val="none"/>
        </w:rPr>
        <w:t>处理后，经</w:t>
      </w:r>
      <w:r>
        <w:rPr>
          <w:rFonts w:hint="eastAsia"/>
          <w:bCs/>
          <w:sz w:val="24"/>
          <w:szCs w:val="24"/>
          <w:highlight w:val="none"/>
        </w:rPr>
        <w:t>20</w:t>
      </w:r>
      <w:r>
        <w:rPr>
          <w:bCs/>
          <w:sz w:val="24"/>
          <w:szCs w:val="24"/>
          <w:highlight w:val="none"/>
        </w:rPr>
        <w:t>m高排气筒排放</w:t>
      </w:r>
      <w:r>
        <w:rPr>
          <w:rFonts w:hint="eastAsia"/>
          <w:bCs/>
          <w:sz w:val="24"/>
          <w:szCs w:val="24"/>
          <w:highlight w:val="none"/>
        </w:rPr>
        <w:t>；</w:t>
      </w:r>
      <w:r>
        <w:rPr>
          <w:bCs/>
          <w:sz w:val="24"/>
          <w:szCs w:val="24"/>
          <w:highlight w:val="none"/>
        </w:rPr>
        <w:t>对各颗粒物无组织排放源根据其特性分别采取了封闭、地面硬化、洒水抑尘等抑尘措施</w:t>
      </w:r>
      <w:r>
        <w:rPr>
          <w:rFonts w:hint="eastAsia"/>
          <w:bCs/>
          <w:sz w:val="24"/>
          <w:szCs w:val="24"/>
          <w:highlight w:val="none"/>
        </w:rPr>
        <w:t>。</w:t>
      </w:r>
      <w:r>
        <w:rPr>
          <w:bCs/>
          <w:sz w:val="24"/>
          <w:szCs w:val="24"/>
          <w:highlight w:val="none"/>
        </w:rPr>
        <w:t>上述措施在同类企业广泛使用，且效果显著。</w:t>
      </w:r>
    </w:p>
    <w:p>
      <w:pPr>
        <w:widowControl/>
        <w:ind w:firstLine="439" w:firstLineChars="183"/>
        <w:textAlignment w:val="auto"/>
        <w:rPr>
          <w:bCs/>
          <w:sz w:val="24"/>
          <w:szCs w:val="24"/>
          <w:highlight w:val="none"/>
        </w:rPr>
      </w:pPr>
      <w:r>
        <w:rPr>
          <w:bCs/>
          <w:sz w:val="24"/>
          <w:szCs w:val="24"/>
          <w:highlight w:val="none"/>
        </w:rPr>
        <w:t>项目采取的封闭库房、封闭通廊及地面硬化、洒水抑尘等污染措施均为唐山市人民政府关于印发《唐山市露天铁矿环境保护专项整治技术要求》的通知（唐环呈〔2016〕99号）、《唐山市人民政府办公厅关于印发唐山市露天矿山污染整治专项行动方案的通知》（唐政办字[2016]113号）、《煤场、料场、渣场扬尘污染控制技术规范》（DB13/T2352-2016）文件中要求的污染防治措施，并在同行业中得到广泛应用，运行效果良好，因此项目</w:t>
      </w:r>
      <w:r>
        <w:rPr>
          <w:rFonts w:hint="eastAsia"/>
          <w:bCs/>
          <w:sz w:val="24"/>
          <w:szCs w:val="24"/>
          <w:highlight w:val="none"/>
        </w:rPr>
        <w:t>废气</w:t>
      </w:r>
      <w:r>
        <w:rPr>
          <w:bCs/>
          <w:sz w:val="24"/>
          <w:szCs w:val="24"/>
          <w:highlight w:val="none"/>
        </w:rPr>
        <w:t>污染防治措施可行。</w:t>
      </w:r>
    </w:p>
    <w:p>
      <w:pPr>
        <w:pStyle w:val="6"/>
        <w:numPr>
          <w:ilvl w:val="2"/>
          <w:numId w:val="1"/>
        </w:numPr>
        <w:spacing w:before="0" w:after="0"/>
        <w:ind w:left="567"/>
        <w:rPr>
          <w:szCs w:val="28"/>
          <w:highlight w:val="green"/>
        </w:rPr>
      </w:pPr>
      <w:bookmarkStart w:id="550" w:name="_Toc521591812"/>
      <w:bookmarkStart w:id="551" w:name="_Toc3605"/>
      <w:r>
        <w:rPr>
          <w:szCs w:val="28"/>
          <w:highlight w:val="green"/>
        </w:rPr>
        <w:t>运营期地表水污染防治措施</w:t>
      </w:r>
      <w:bookmarkEnd w:id="550"/>
      <w:bookmarkEnd w:id="551"/>
    </w:p>
    <w:p>
      <w:pPr>
        <w:pStyle w:val="3"/>
        <w:rPr>
          <w:highlight w:val="green"/>
        </w:rPr>
      </w:pPr>
      <w:r>
        <w:rPr>
          <w:highlight w:val="green"/>
        </w:rPr>
        <w:t>6.2.2.1废水处理措施</w:t>
      </w:r>
    </w:p>
    <w:p>
      <w:pPr>
        <w:pStyle w:val="19"/>
        <w:spacing w:after="0" w:line="480" w:lineRule="exact"/>
        <w:ind w:firstLine="480"/>
        <w:jc w:val="both"/>
        <w:rPr>
          <w:rFonts w:hint="eastAsia"/>
          <w:sz w:val="24"/>
          <w:szCs w:val="24"/>
          <w:highlight w:val="none"/>
          <w:lang w:val="en-US" w:eastAsia="zh-CN"/>
        </w:rPr>
      </w:pPr>
      <w:r>
        <w:rPr>
          <w:rFonts w:hint="eastAsia"/>
          <w:sz w:val="24"/>
          <w:szCs w:val="24"/>
          <w:highlight w:val="none"/>
          <w:lang w:val="en-US" w:eastAsia="zh-CN"/>
        </w:rPr>
        <w:t>本项目用水主要为振筛湿式作业用水，产生的废水泵入浓缩罐后经管道自流至北厂区干排系统处理，处理后作为球磨磁选用水回用、不外排。</w:t>
      </w:r>
    </w:p>
    <w:p>
      <w:pPr>
        <w:ind w:firstLine="480"/>
        <w:jc w:val="both"/>
      </w:pPr>
      <w:r>
        <w:rPr>
          <w:rFonts w:hint="eastAsia"/>
          <w:sz w:val="24"/>
          <w:szCs w:val="24"/>
          <w:highlight w:val="none"/>
          <w:lang w:val="en-US" w:eastAsia="zh-CN"/>
        </w:rPr>
        <w:t>改扩建项目实施后全厂</w:t>
      </w:r>
      <w:r>
        <w:rPr>
          <w:sz w:val="24"/>
          <w:szCs w:val="24"/>
          <w:highlight w:val="none"/>
        </w:rPr>
        <w:t>生产废水经尾矿泵送至旋流罐、高效深锥浓密器，再经过沉淀池澄清、压滤机压滤后返回清水池，全部回用于生产</w:t>
      </w:r>
      <w:r>
        <w:rPr>
          <w:rFonts w:hint="eastAsia"/>
          <w:sz w:val="24"/>
          <w:szCs w:val="24"/>
          <w:highlight w:val="none"/>
          <w:lang w:eastAsia="zh-CN"/>
        </w:rPr>
        <w:t>；</w:t>
      </w:r>
      <w:r>
        <w:rPr>
          <w:rFonts w:hint="eastAsia"/>
          <w:bCs/>
          <w:sz w:val="24"/>
          <w:szCs w:val="24"/>
          <w:highlight w:val="none"/>
        </w:rPr>
        <w:t>车间地面清洗废水经管道排入浓密池，经沉淀处理后，上清液排入清水池，回用于生产工序，不外排</w:t>
      </w:r>
      <w:r>
        <w:rPr>
          <w:rFonts w:hint="eastAsia"/>
          <w:bCs/>
          <w:sz w:val="24"/>
          <w:szCs w:val="24"/>
          <w:highlight w:val="none"/>
          <w:lang w:eastAsia="zh-CN"/>
        </w:rPr>
        <w:t>；</w:t>
      </w:r>
      <w:r>
        <w:rPr>
          <w:bCs/>
          <w:sz w:val="24"/>
          <w:szCs w:val="24"/>
          <w:highlight w:val="none"/>
        </w:rPr>
        <w:t>洗车废水经沉淀池沉淀后，回用于洗车，不外排</w:t>
      </w:r>
      <w:r>
        <w:rPr>
          <w:rFonts w:hint="eastAsia"/>
          <w:bCs/>
          <w:sz w:val="24"/>
          <w:szCs w:val="24"/>
          <w:highlight w:val="none"/>
          <w:lang w:eastAsia="zh-CN"/>
        </w:rPr>
        <w:t>；</w:t>
      </w:r>
      <w:r>
        <w:rPr>
          <w:bCs/>
          <w:sz w:val="24"/>
          <w:szCs w:val="24"/>
          <w:highlight w:val="none"/>
        </w:rPr>
        <w:t>员工生活污水</w:t>
      </w:r>
      <w:r>
        <w:rPr>
          <w:rFonts w:hint="eastAsia"/>
          <w:bCs/>
          <w:sz w:val="24"/>
          <w:szCs w:val="24"/>
          <w:highlight w:val="none"/>
        </w:rPr>
        <w:t>仅为少量</w:t>
      </w:r>
      <w:r>
        <w:rPr>
          <w:bCs/>
          <w:sz w:val="24"/>
          <w:szCs w:val="24"/>
          <w:highlight w:val="none"/>
        </w:rPr>
        <w:t>盥洗废水，经收集后，用于厂区道路洒水抑尘，不外排；</w:t>
      </w:r>
      <w:r>
        <w:rPr>
          <w:sz w:val="24"/>
          <w:szCs w:val="24"/>
          <w:highlight w:val="none"/>
        </w:rPr>
        <w:t>厂区设防渗旱厕，定期清掏用于肥田，不外排。</w:t>
      </w:r>
    </w:p>
    <w:p>
      <w:pPr>
        <w:pStyle w:val="3"/>
        <w:rPr>
          <w:highlight w:val="none"/>
        </w:rPr>
      </w:pPr>
      <w:r>
        <w:rPr>
          <w:highlight w:val="none"/>
        </w:rPr>
        <w:t>6.2.2.2废水综合利用可行性分析</w:t>
      </w:r>
    </w:p>
    <w:p>
      <w:pPr>
        <w:ind w:firstLine="480"/>
        <w:jc w:val="both"/>
        <w:rPr>
          <w:bCs/>
          <w:sz w:val="24"/>
          <w:szCs w:val="24"/>
          <w:highlight w:val="none"/>
        </w:rPr>
      </w:pPr>
      <w:bookmarkStart w:id="552" w:name="_Toc174877426"/>
      <w:r>
        <w:rPr>
          <w:rFonts w:hint="eastAsia"/>
          <w:bCs/>
          <w:sz w:val="24"/>
          <w:szCs w:val="24"/>
          <w:highlight w:val="none"/>
        </w:rPr>
        <w:t>（1）生活污水</w:t>
      </w:r>
    </w:p>
    <w:p>
      <w:pPr>
        <w:ind w:firstLine="480"/>
        <w:jc w:val="both"/>
        <w:rPr>
          <w:bCs/>
          <w:sz w:val="24"/>
          <w:szCs w:val="24"/>
          <w:highlight w:val="none"/>
        </w:rPr>
      </w:pPr>
      <w:r>
        <w:rPr>
          <w:bCs/>
          <w:sz w:val="24"/>
          <w:szCs w:val="24"/>
          <w:highlight w:val="none"/>
        </w:rPr>
        <w:t>区域无污水集中处理设施，生活废水主要是员工盥洗废水，排放量较少，成份简单，且污染物浓度较低，用于厂区道路降尘，不会对外环境产生污染，措施可行。</w:t>
      </w:r>
    </w:p>
    <w:p>
      <w:pPr>
        <w:ind w:firstLine="480"/>
        <w:jc w:val="both"/>
        <w:rPr>
          <w:bCs/>
          <w:sz w:val="24"/>
          <w:szCs w:val="24"/>
          <w:highlight w:val="none"/>
        </w:rPr>
      </w:pPr>
      <w:r>
        <w:rPr>
          <w:rFonts w:hint="eastAsia"/>
          <w:bCs/>
          <w:sz w:val="24"/>
          <w:szCs w:val="24"/>
          <w:highlight w:val="none"/>
        </w:rPr>
        <w:t>（2）生产废水</w:t>
      </w:r>
    </w:p>
    <w:p>
      <w:pPr>
        <w:ind w:firstLine="480"/>
        <w:jc w:val="both"/>
        <w:rPr>
          <w:bCs/>
          <w:sz w:val="24"/>
          <w:szCs w:val="24"/>
          <w:highlight w:val="none"/>
        </w:rPr>
      </w:pPr>
      <w:r>
        <w:rPr>
          <w:bCs/>
          <w:sz w:val="24"/>
          <w:szCs w:val="24"/>
          <w:highlight w:val="none"/>
        </w:rPr>
        <w:t>磁选过程中，使用大量的水，磁选后的水随尾矿浆一同进入</w:t>
      </w:r>
      <w:r>
        <w:rPr>
          <w:rFonts w:hint="eastAsia"/>
          <w:bCs/>
          <w:sz w:val="24"/>
          <w:szCs w:val="24"/>
          <w:highlight w:val="none"/>
        </w:rPr>
        <w:t>浓密池进行沉淀、脱水处理，浓密池中的上清液由泵抽排至选矿区域的清水池中回用于选矿过程。选矿水废水主要污染物为</w:t>
      </w:r>
      <w:r>
        <w:rPr>
          <w:bCs/>
          <w:sz w:val="24"/>
          <w:szCs w:val="24"/>
          <w:highlight w:val="none"/>
        </w:rPr>
        <w:t>SS</w:t>
      </w:r>
      <w:r>
        <w:rPr>
          <w:rFonts w:hint="eastAsia"/>
          <w:bCs/>
          <w:sz w:val="24"/>
          <w:szCs w:val="24"/>
          <w:highlight w:val="none"/>
        </w:rPr>
        <w:t>，经沉淀后可以满足选矿用水的要求。</w:t>
      </w:r>
    </w:p>
    <w:p>
      <w:pPr>
        <w:ind w:firstLine="480"/>
        <w:jc w:val="both"/>
        <w:rPr>
          <w:bCs/>
          <w:sz w:val="24"/>
          <w:szCs w:val="24"/>
          <w:highlight w:val="none"/>
        </w:rPr>
      </w:pPr>
      <w:r>
        <w:rPr>
          <w:bCs/>
          <w:sz w:val="24"/>
          <w:szCs w:val="24"/>
          <w:highlight w:val="none"/>
        </w:rPr>
        <w:t>根据《铁矿石采选企业污水处理技术规范》（GB/T33815-2017），选矿废水通常伴随尾矿产出。根据企业选矿工艺特点，对选矿废水处理后回用至选矿生产，回用废水的水质不应影响精矿的主要技术指标。单一磁选工艺选矿废水水质通常主要污染物为悬浮物，通过对悬浮的沉淀去除，废水回用于生产。</w:t>
      </w:r>
    </w:p>
    <w:p>
      <w:pPr>
        <w:ind w:firstLine="480"/>
        <w:jc w:val="both"/>
        <w:rPr>
          <w:bCs/>
          <w:sz w:val="24"/>
          <w:szCs w:val="24"/>
          <w:highlight w:val="none"/>
        </w:rPr>
      </w:pPr>
      <w:r>
        <w:rPr>
          <w:rFonts w:hint="eastAsia"/>
          <w:bCs/>
          <w:sz w:val="24"/>
          <w:szCs w:val="24"/>
          <w:highlight w:val="none"/>
        </w:rPr>
        <w:t>生产用水工序主要为筛分、球磨和磁选，主要用于输送矿浆，对水质无特殊要求。尾矿砂中污染物主要为SS，尾矿砂在浓密池中可以得到充分的沉淀，其出水SS浓度可降到30mg/L以下，COD浓度可降到60mg/L以下，因此，由浓密池排入清水池的出水完全可以满足生产过程筛分、球磨和磁选工序对水质的要求。</w:t>
      </w:r>
    </w:p>
    <w:p>
      <w:pPr>
        <w:ind w:firstLine="480"/>
        <w:jc w:val="both"/>
        <w:rPr>
          <w:bCs/>
          <w:sz w:val="24"/>
          <w:szCs w:val="24"/>
          <w:highlight w:val="none"/>
        </w:rPr>
      </w:pPr>
      <w:r>
        <w:rPr>
          <w:rFonts w:hint="eastAsia"/>
          <w:bCs/>
          <w:sz w:val="24"/>
          <w:szCs w:val="24"/>
          <w:highlight w:val="none"/>
        </w:rPr>
        <w:t>类比调查可知，遵化市各铁选厂尾矿浓密池澄清水均采用回收利用措施，并通过加强管理，大部分已实现生产废水零排放。由此可知，通过设置必要的生产废水回收暂存及回输设施，并辅以严格的管理，完全可以实现生产废水闭路循环不外排，措施可行。</w:t>
      </w:r>
    </w:p>
    <w:p>
      <w:pPr>
        <w:ind w:firstLine="480"/>
        <w:jc w:val="both"/>
        <w:rPr>
          <w:bCs/>
          <w:sz w:val="24"/>
          <w:szCs w:val="24"/>
          <w:highlight w:val="none"/>
        </w:rPr>
      </w:pPr>
      <w:r>
        <w:rPr>
          <w:bCs/>
          <w:sz w:val="24"/>
          <w:szCs w:val="24"/>
          <w:highlight w:val="none"/>
        </w:rPr>
        <w:t>因此，选矿废水不外排，不会对周边地表水环境造成影响，措施可行。</w:t>
      </w:r>
    </w:p>
    <w:p>
      <w:pPr>
        <w:ind w:firstLine="480"/>
        <w:rPr>
          <w:rFonts w:hAnsi="宋体"/>
          <w:sz w:val="24"/>
          <w:szCs w:val="24"/>
          <w:highlight w:val="none"/>
        </w:rPr>
      </w:pPr>
      <w:r>
        <w:rPr>
          <w:rFonts w:hint="eastAsia" w:hAnsi="宋体"/>
          <w:sz w:val="24"/>
          <w:szCs w:val="24"/>
          <w:highlight w:val="none"/>
        </w:rPr>
        <w:t>（3）车间地面冲洗废水治理措施可行性论证</w:t>
      </w:r>
    </w:p>
    <w:p>
      <w:pPr>
        <w:ind w:firstLine="480"/>
        <w:rPr>
          <w:rFonts w:hAnsi="宋体"/>
          <w:sz w:val="24"/>
          <w:szCs w:val="24"/>
          <w:highlight w:val="none"/>
        </w:rPr>
      </w:pPr>
      <w:r>
        <w:rPr>
          <w:rFonts w:hint="eastAsia" w:hAnsi="宋体"/>
          <w:sz w:val="24"/>
          <w:szCs w:val="24"/>
          <w:highlight w:val="none"/>
        </w:rPr>
        <w:t>车间地面冲洗废水，排入浓密池</w:t>
      </w:r>
      <w:r>
        <w:rPr>
          <w:rFonts w:hint="eastAsia"/>
          <w:sz w:val="24"/>
          <w:szCs w:val="24"/>
          <w:highlight w:val="none"/>
        </w:rPr>
        <w:t>，沉淀后回用于生产，措施可行。</w:t>
      </w:r>
    </w:p>
    <w:p>
      <w:pPr>
        <w:ind w:firstLine="480"/>
        <w:jc w:val="both"/>
        <w:rPr>
          <w:bCs/>
          <w:sz w:val="24"/>
          <w:szCs w:val="24"/>
          <w:highlight w:val="none"/>
        </w:rPr>
      </w:pPr>
      <w:r>
        <w:rPr>
          <w:rFonts w:hint="eastAsia"/>
          <w:bCs/>
          <w:sz w:val="24"/>
          <w:szCs w:val="24"/>
          <w:highlight w:val="none"/>
        </w:rPr>
        <w:t>（4）洗车废水</w:t>
      </w:r>
    </w:p>
    <w:p>
      <w:pPr>
        <w:ind w:firstLine="480"/>
        <w:rPr>
          <w:bCs/>
          <w:sz w:val="24"/>
          <w:szCs w:val="24"/>
          <w:highlight w:val="none"/>
        </w:rPr>
      </w:pPr>
      <w:r>
        <w:rPr>
          <w:rFonts w:hint="eastAsia"/>
          <w:bCs/>
          <w:sz w:val="24"/>
          <w:szCs w:val="24"/>
          <w:highlight w:val="none"/>
        </w:rPr>
        <w:t>精粉库门口及厂区进出口设置洗车装置清洗运输车辆，洗车平台四周设置防溢座，洗车过程中产生的废水经废水导流渠流入沉淀池内，经沉淀后的洗车废水流入清水池内，循环使用，不外排，各池体做好严格防渗，措施可行。</w:t>
      </w:r>
    </w:p>
    <w:bookmarkEnd w:id="552"/>
    <w:p>
      <w:pPr>
        <w:pStyle w:val="6"/>
        <w:numPr>
          <w:ilvl w:val="2"/>
          <w:numId w:val="1"/>
        </w:numPr>
        <w:spacing w:before="0" w:after="0"/>
        <w:ind w:left="567"/>
        <w:rPr>
          <w:szCs w:val="28"/>
          <w:highlight w:val="none"/>
        </w:rPr>
      </w:pPr>
      <w:bookmarkStart w:id="553" w:name="_Toc31574"/>
      <w:bookmarkStart w:id="554" w:name="_Toc521591813"/>
      <w:r>
        <w:rPr>
          <w:szCs w:val="28"/>
          <w:highlight w:val="none"/>
        </w:rPr>
        <w:t>运营期地下水污染防治措施</w:t>
      </w:r>
      <w:bookmarkEnd w:id="553"/>
      <w:bookmarkEnd w:id="554"/>
    </w:p>
    <w:p>
      <w:pPr>
        <w:pStyle w:val="3"/>
        <w:rPr>
          <w:highlight w:val="none"/>
        </w:rPr>
      </w:pPr>
      <w:bookmarkStart w:id="555" w:name="_Toc26295"/>
      <w:bookmarkStart w:id="556" w:name="_Toc468693006"/>
      <w:r>
        <w:rPr>
          <w:highlight w:val="none"/>
        </w:rPr>
        <w:t>6.2.3.1地下水污染控制原则</w:t>
      </w:r>
      <w:bookmarkEnd w:id="555"/>
      <w:bookmarkEnd w:id="556"/>
    </w:p>
    <w:p>
      <w:pPr>
        <w:widowControl/>
        <w:autoSpaceDN w:val="0"/>
        <w:ind w:firstLine="480"/>
        <w:rPr>
          <w:sz w:val="24"/>
          <w:szCs w:val="24"/>
          <w:highlight w:val="none"/>
        </w:rPr>
      </w:pPr>
      <w:bookmarkStart w:id="557" w:name="_Hlk3214070"/>
      <w:r>
        <w:rPr>
          <w:rFonts w:hint="eastAsia"/>
          <w:sz w:val="24"/>
          <w:szCs w:val="24"/>
          <w:highlight w:val="none"/>
          <w:lang w:val="en-US" w:eastAsia="zh-CN"/>
        </w:rPr>
        <w:t>现有工程</w:t>
      </w:r>
      <w:r>
        <w:rPr>
          <w:sz w:val="24"/>
          <w:szCs w:val="24"/>
          <w:highlight w:val="none"/>
        </w:rPr>
        <w:t>针对项目可能发生的地下水污染，</w:t>
      </w:r>
      <w:r>
        <w:rPr>
          <w:rFonts w:hint="eastAsia"/>
          <w:sz w:val="24"/>
          <w:szCs w:val="24"/>
          <w:highlight w:val="none"/>
          <w:lang w:val="en-US" w:eastAsia="zh-CN"/>
        </w:rPr>
        <w:t>已</w:t>
      </w:r>
      <w:r>
        <w:rPr>
          <w:sz w:val="24"/>
          <w:szCs w:val="24"/>
          <w:highlight w:val="none"/>
        </w:rPr>
        <w:t>按照“源头控制、</w:t>
      </w:r>
      <w:r>
        <w:rPr>
          <w:rFonts w:hint="eastAsia"/>
          <w:sz w:val="24"/>
          <w:szCs w:val="24"/>
          <w:highlight w:val="none"/>
        </w:rPr>
        <w:t>分区防控</w:t>
      </w:r>
      <w:r>
        <w:rPr>
          <w:sz w:val="24"/>
          <w:szCs w:val="24"/>
          <w:highlight w:val="none"/>
        </w:rPr>
        <w:t>、污染监控、应急响应”</w:t>
      </w:r>
      <w:r>
        <w:rPr>
          <w:rFonts w:hint="eastAsia"/>
          <w:sz w:val="24"/>
          <w:szCs w:val="24"/>
          <w:highlight w:val="none"/>
        </w:rPr>
        <w:t>，重点突出饮用水水质安全</w:t>
      </w:r>
      <w:r>
        <w:rPr>
          <w:sz w:val="24"/>
          <w:szCs w:val="24"/>
          <w:highlight w:val="none"/>
        </w:rPr>
        <w:t>的原则，从污染物的产生、入渗、扩散、应急响应全阶段进行</w:t>
      </w:r>
      <w:r>
        <w:rPr>
          <w:rFonts w:hint="eastAsia"/>
          <w:sz w:val="24"/>
          <w:szCs w:val="24"/>
          <w:highlight w:val="none"/>
          <w:lang w:val="en-US" w:eastAsia="zh-CN"/>
        </w:rPr>
        <w:t>了</w:t>
      </w:r>
      <w:r>
        <w:rPr>
          <w:sz w:val="24"/>
          <w:szCs w:val="24"/>
          <w:highlight w:val="none"/>
        </w:rPr>
        <w:t>控制。</w:t>
      </w:r>
      <w:bookmarkEnd w:id="557"/>
      <w:r>
        <w:rPr>
          <w:rFonts w:hint="eastAsia"/>
          <w:sz w:val="24"/>
          <w:szCs w:val="24"/>
          <w:highlight w:val="none"/>
        </w:rPr>
        <w:t xml:space="preserve"> </w:t>
      </w:r>
    </w:p>
    <w:p>
      <w:pPr>
        <w:widowControl/>
        <w:autoSpaceDN w:val="0"/>
        <w:ind w:firstLine="480"/>
        <w:rPr>
          <w:sz w:val="24"/>
          <w:szCs w:val="24"/>
          <w:highlight w:val="none"/>
        </w:rPr>
      </w:pPr>
      <w:r>
        <w:rPr>
          <w:sz w:val="24"/>
          <w:szCs w:val="24"/>
          <w:highlight w:val="none"/>
        </w:rPr>
        <w:t>（1）源头控制措施：主要包括在工艺、管道、设备、污水储存及处理构筑物采取相应措施，防止和降低污染物跑、冒、滴、漏，将污染物泄漏的环境风险事故降到最低程度；管线敷设尽量采用“可视化”原则，即管道尽可能地上敷设，做到污染物“早发现、早处理”，减少由于埋地管道泄漏而造成的地下水污染。</w:t>
      </w:r>
    </w:p>
    <w:p>
      <w:pPr>
        <w:widowControl/>
        <w:autoSpaceDN w:val="0"/>
        <w:ind w:firstLine="480"/>
        <w:rPr>
          <w:sz w:val="24"/>
          <w:szCs w:val="24"/>
          <w:highlight w:val="none"/>
        </w:rPr>
      </w:pPr>
      <w:r>
        <w:rPr>
          <w:sz w:val="24"/>
          <w:szCs w:val="24"/>
          <w:highlight w:val="none"/>
        </w:rPr>
        <w:t>（2）</w:t>
      </w:r>
      <w:bookmarkStart w:id="558" w:name="_Hlk3214079"/>
      <w:r>
        <w:rPr>
          <w:rFonts w:hint="eastAsia"/>
          <w:sz w:val="24"/>
          <w:szCs w:val="24"/>
          <w:highlight w:val="none"/>
        </w:rPr>
        <w:t>分区防控</w:t>
      </w:r>
      <w:bookmarkEnd w:id="558"/>
      <w:r>
        <w:rPr>
          <w:sz w:val="24"/>
          <w:szCs w:val="24"/>
          <w:highlight w:val="none"/>
        </w:rPr>
        <w:t>措施：主要包括厂内污染区地面的防渗措施和泄漏、渗漏污染物收集措施，即在污染区地面进行防渗处理，防止洒落地面的污染物渗入地下，并把滞留在地面的污染物收集起来，集中处理；</w:t>
      </w:r>
      <w:r>
        <w:rPr>
          <w:rFonts w:hint="eastAsia"/>
          <w:sz w:val="24"/>
          <w:szCs w:val="24"/>
          <w:highlight w:val="none"/>
        </w:rPr>
        <w:t>分区防控</w:t>
      </w:r>
      <w:r>
        <w:rPr>
          <w:sz w:val="24"/>
          <w:szCs w:val="24"/>
          <w:highlight w:val="none"/>
        </w:rPr>
        <w:t>采取分区防渗，重点污染防治区、一般污染防治区和非污染区防渗措施有区别的防渗原则。</w:t>
      </w:r>
    </w:p>
    <w:p>
      <w:pPr>
        <w:widowControl/>
        <w:autoSpaceDN w:val="0"/>
        <w:ind w:firstLine="480"/>
        <w:rPr>
          <w:sz w:val="24"/>
          <w:szCs w:val="24"/>
          <w:highlight w:val="none"/>
        </w:rPr>
      </w:pPr>
      <w:r>
        <w:rPr>
          <w:sz w:val="24"/>
          <w:szCs w:val="24"/>
          <w:highlight w:val="none"/>
        </w:rPr>
        <w:t>（3）污染监控体系：实施覆盖生产区的地下水污染监控系统，包括建立完善的监测制度、配备先进的检测仪器和设备、科学、合理设置地下水污染监控井，及时发现污染、及时控制；</w:t>
      </w:r>
    </w:p>
    <w:p>
      <w:pPr>
        <w:widowControl/>
        <w:autoSpaceDN w:val="0"/>
        <w:ind w:firstLine="480"/>
        <w:rPr>
          <w:sz w:val="24"/>
          <w:szCs w:val="24"/>
          <w:highlight w:val="none"/>
        </w:rPr>
      </w:pPr>
      <w:r>
        <w:rPr>
          <w:sz w:val="24"/>
          <w:szCs w:val="24"/>
          <w:highlight w:val="none"/>
        </w:rPr>
        <w:t>（4）应急响应措施：包括一旦发现地下水污染事故，立即启动应急预案、采取应急措施控制地下水污染，并使污染得到治理。</w:t>
      </w:r>
    </w:p>
    <w:p>
      <w:pPr>
        <w:pStyle w:val="3"/>
        <w:rPr>
          <w:highlight w:val="none"/>
        </w:rPr>
      </w:pPr>
      <w:bookmarkStart w:id="559" w:name="_Toc1917"/>
      <w:bookmarkStart w:id="560" w:name="_Toc468693007"/>
      <w:r>
        <w:rPr>
          <w:highlight w:val="none"/>
        </w:rPr>
        <w:t>6.2.3.2污染物源头控制</w:t>
      </w:r>
      <w:bookmarkEnd w:id="559"/>
      <w:bookmarkEnd w:id="560"/>
    </w:p>
    <w:p>
      <w:pPr>
        <w:widowControl/>
        <w:autoSpaceDN w:val="0"/>
        <w:ind w:firstLine="480"/>
        <w:rPr>
          <w:sz w:val="24"/>
          <w:szCs w:val="24"/>
          <w:highlight w:val="none"/>
        </w:rPr>
      </w:pPr>
      <w:r>
        <w:rPr>
          <w:sz w:val="24"/>
          <w:szCs w:val="24"/>
          <w:highlight w:val="none"/>
        </w:rPr>
        <w:t>（1）对工艺、管道、设备、污水储存及处理构筑物等严格检查，有质量问题的及时更换，阀门采用优质产品，防止和降低“跑、冒、滴、漏”。</w:t>
      </w:r>
    </w:p>
    <w:p>
      <w:pPr>
        <w:widowControl/>
        <w:autoSpaceDN w:val="0"/>
        <w:ind w:firstLine="480"/>
        <w:rPr>
          <w:sz w:val="24"/>
          <w:szCs w:val="24"/>
          <w:highlight w:val="none"/>
        </w:rPr>
      </w:pPr>
      <w:r>
        <w:rPr>
          <w:sz w:val="24"/>
          <w:szCs w:val="24"/>
          <w:highlight w:val="none"/>
        </w:rPr>
        <w:t>（2）所有生产中的储槽、容器均做</w:t>
      </w:r>
      <w:r>
        <w:rPr>
          <w:rFonts w:hint="eastAsia"/>
          <w:sz w:val="24"/>
          <w:szCs w:val="24"/>
          <w:highlight w:val="none"/>
        </w:rPr>
        <w:t>防渗和</w:t>
      </w:r>
      <w:r>
        <w:rPr>
          <w:sz w:val="24"/>
          <w:szCs w:val="24"/>
          <w:highlight w:val="none"/>
        </w:rPr>
        <w:t>防腐处理。禁止在厂区内任意设置排污水口，全封闭，防止流入环境中。</w:t>
      </w:r>
    </w:p>
    <w:p>
      <w:pPr>
        <w:widowControl/>
        <w:autoSpaceDN w:val="0"/>
        <w:ind w:firstLine="480"/>
        <w:rPr>
          <w:sz w:val="24"/>
          <w:szCs w:val="24"/>
          <w:highlight w:val="none"/>
        </w:rPr>
      </w:pPr>
      <w:r>
        <w:rPr>
          <w:sz w:val="24"/>
          <w:szCs w:val="24"/>
          <w:highlight w:val="none"/>
        </w:rPr>
        <w:t>（3）对工艺要求必须地下走管的管道、阀门设专用防渗管沟，管沟上设活动观察顶盖，以便出现渗漏问题及时观察、解决</w:t>
      </w:r>
      <w:r>
        <w:rPr>
          <w:rFonts w:hint="eastAsia"/>
          <w:sz w:val="24"/>
          <w:szCs w:val="24"/>
          <w:highlight w:val="none"/>
        </w:rPr>
        <w:t>。</w:t>
      </w:r>
    </w:p>
    <w:p>
      <w:pPr>
        <w:widowControl/>
        <w:autoSpaceDN w:val="0"/>
        <w:ind w:firstLine="480"/>
        <w:rPr>
          <w:sz w:val="24"/>
          <w:szCs w:val="24"/>
          <w:highlight w:val="none"/>
        </w:rPr>
      </w:pPr>
      <w:r>
        <w:rPr>
          <w:sz w:val="24"/>
          <w:szCs w:val="24"/>
          <w:highlight w:val="none"/>
        </w:rPr>
        <w:t>（4）厂区内设置生活垃圾收集点，集中收集后的生活垃圾运至城市规划的生活垃圾填埋场。生活垃圾运输基本实现收集容器化、运输密封化。</w:t>
      </w:r>
    </w:p>
    <w:p>
      <w:pPr>
        <w:widowControl/>
        <w:autoSpaceDN w:val="0"/>
        <w:ind w:firstLine="480"/>
        <w:rPr>
          <w:sz w:val="24"/>
          <w:szCs w:val="24"/>
          <w:highlight w:val="none"/>
        </w:rPr>
      </w:pPr>
      <w:r>
        <w:rPr>
          <w:sz w:val="24"/>
          <w:szCs w:val="24"/>
          <w:highlight w:val="none"/>
        </w:rPr>
        <w:t>（5）为了防止突发事故，污染物外泄，造成对环境的污染，</w:t>
      </w:r>
      <w:r>
        <w:rPr>
          <w:rFonts w:hint="eastAsia"/>
          <w:sz w:val="24"/>
          <w:szCs w:val="24"/>
          <w:highlight w:val="none"/>
        </w:rPr>
        <w:t>球磨车间</w:t>
      </w:r>
      <w:r>
        <w:rPr>
          <w:sz w:val="24"/>
          <w:szCs w:val="24"/>
          <w:highlight w:val="none"/>
        </w:rPr>
        <w:t>设置专门的事故水池及安全事故报警系统，一旦有事故发生，</w:t>
      </w:r>
      <w:r>
        <w:rPr>
          <w:rFonts w:hint="eastAsia"/>
          <w:sz w:val="24"/>
          <w:szCs w:val="24"/>
          <w:highlight w:val="none"/>
        </w:rPr>
        <w:t>未经磁选的尾矿浆</w:t>
      </w:r>
      <w:r>
        <w:rPr>
          <w:sz w:val="24"/>
          <w:szCs w:val="24"/>
          <w:highlight w:val="none"/>
        </w:rPr>
        <w:t>直接流入事故水池，等待处理，以防止超标污水外泄。</w:t>
      </w:r>
    </w:p>
    <w:p>
      <w:pPr>
        <w:pStyle w:val="3"/>
        <w:rPr>
          <w:highlight w:val="none"/>
        </w:rPr>
      </w:pPr>
      <w:bookmarkStart w:id="561" w:name="_Toc20537"/>
      <w:bookmarkStart w:id="562" w:name="_Toc468693008"/>
      <w:r>
        <w:rPr>
          <w:highlight w:val="none"/>
        </w:rPr>
        <w:t>6.2.3.3地面防渗措施</w:t>
      </w:r>
      <w:bookmarkEnd w:id="561"/>
      <w:bookmarkEnd w:id="562"/>
    </w:p>
    <w:p>
      <w:pPr>
        <w:widowControl/>
        <w:autoSpaceDN w:val="0"/>
        <w:ind w:firstLine="480"/>
        <w:rPr>
          <w:sz w:val="24"/>
          <w:szCs w:val="24"/>
          <w:highlight w:val="none"/>
        </w:rPr>
      </w:pPr>
      <w:r>
        <w:rPr>
          <w:sz w:val="24"/>
          <w:szCs w:val="24"/>
          <w:highlight w:val="none"/>
        </w:rPr>
        <w:t>（1）防渗分区确定</w:t>
      </w:r>
    </w:p>
    <w:p>
      <w:pPr>
        <w:ind w:firstLine="480"/>
        <w:rPr>
          <w:sz w:val="24"/>
          <w:highlight w:val="none"/>
        </w:rPr>
      </w:pPr>
      <w:r>
        <w:rPr>
          <w:sz w:val="24"/>
          <w:highlight w:val="none"/>
        </w:rPr>
        <w:t>根据野外现场调查及试验，可知项目场地包气带平均厚度16m，岩（土）单层厚度Mb＞1.0m，且分布连续、稳定，渗透系数为10</w:t>
      </w:r>
      <w:r>
        <w:rPr>
          <w:sz w:val="24"/>
          <w:highlight w:val="none"/>
          <w:vertAlign w:val="superscript"/>
        </w:rPr>
        <w:t>-5</w:t>
      </w:r>
      <w:r>
        <w:rPr>
          <w:sz w:val="24"/>
          <w:highlight w:val="none"/>
        </w:rPr>
        <w:t>cm/s数量级，故根据《环境影响评价导则—地下水环境》（HJ610-2016）表6 《天然包气带防污性能分级表》，包气带防污性能为中。</w:t>
      </w:r>
    </w:p>
    <w:p>
      <w:pPr>
        <w:pStyle w:val="20"/>
        <w:spacing w:after="0"/>
        <w:ind w:left="0" w:leftChars="0" w:firstLine="480"/>
        <w:jc w:val="center"/>
        <w:rPr>
          <w:rFonts w:eastAsia="黑体"/>
          <w:sz w:val="21"/>
          <w:szCs w:val="21"/>
          <w:highlight w:val="green"/>
        </w:rPr>
      </w:pPr>
      <w:r>
        <w:rPr>
          <w:rFonts w:eastAsia="黑体"/>
          <w:sz w:val="21"/>
          <w:szCs w:val="21"/>
          <w:highlight w:val="green"/>
        </w:rPr>
        <w:t>表6.2-1天然包气带防污性能分级表</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738"/>
        <w:gridCol w:w="779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397" w:hRule="atLeast"/>
          <w:jc w:val="center"/>
        </w:trPr>
        <w:tc>
          <w:tcPr>
            <w:tcW w:w="738" w:type="dxa"/>
            <w:shd w:val="clear" w:color="auto" w:fill="FFFFFF"/>
            <w:vAlign w:val="center"/>
          </w:tcPr>
          <w:p>
            <w:pPr>
              <w:ind w:firstLine="0" w:firstLineChars="0"/>
              <w:rPr>
                <w:sz w:val="21"/>
                <w:szCs w:val="21"/>
                <w:highlight w:val="green"/>
              </w:rPr>
            </w:pPr>
            <w:r>
              <w:rPr>
                <w:sz w:val="21"/>
                <w:szCs w:val="21"/>
                <w:highlight w:val="green"/>
              </w:rPr>
              <w:t>分级</w:t>
            </w:r>
          </w:p>
        </w:tc>
        <w:tc>
          <w:tcPr>
            <w:tcW w:w="7790" w:type="dxa"/>
            <w:shd w:val="clear" w:color="auto" w:fill="FFFFFF"/>
            <w:vAlign w:val="center"/>
          </w:tcPr>
          <w:p>
            <w:pPr>
              <w:ind w:firstLine="420"/>
              <w:jc w:val="center"/>
              <w:rPr>
                <w:sz w:val="21"/>
                <w:szCs w:val="21"/>
                <w:highlight w:val="green"/>
              </w:rPr>
            </w:pPr>
            <w:r>
              <w:rPr>
                <w:sz w:val="21"/>
                <w:szCs w:val="21"/>
                <w:highlight w:val="green"/>
              </w:rPr>
              <w:t>主要特征</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jc w:val="center"/>
        </w:trPr>
        <w:tc>
          <w:tcPr>
            <w:tcW w:w="738" w:type="dxa"/>
            <w:shd w:val="clear" w:color="auto" w:fill="FFFFFF"/>
            <w:vAlign w:val="center"/>
          </w:tcPr>
          <w:p>
            <w:pPr>
              <w:ind w:firstLine="2" w:firstLineChars="1"/>
              <w:jc w:val="center"/>
              <w:rPr>
                <w:sz w:val="21"/>
                <w:szCs w:val="21"/>
                <w:highlight w:val="green"/>
              </w:rPr>
            </w:pPr>
            <w:r>
              <w:rPr>
                <w:sz w:val="21"/>
                <w:szCs w:val="21"/>
                <w:highlight w:val="green"/>
              </w:rPr>
              <w:t>强</w:t>
            </w:r>
          </w:p>
        </w:tc>
        <w:tc>
          <w:tcPr>
            <w:tcW w:w="7790" w:type="dxa"/>
            <w:shd w:val="clear" w:color="auto" w:fill="FFFFFF"/>
            <w:vAlign w:val="center"/>
          </w:tcPr>
          <w:p>
            <w:pPr>
              <w:spacing w:line="240" w:lineRule="auto"/>
              <w:ind w:firstLine="0" w:firstLineChars="0"/>
              <w:jc w:val="center"/>
              <w:rPr>
                <w:sz w:val="21"/>
                <w:szCs w:val="21"/>
                <w:highlight w:val="green"/>
              </w:rPr>
            </w:pPr>
            <w:r>
              <w:rPr>
                <w:sz w:val="21"/>
                <w:szCs w:val="21"/>
                <w:highlight w:val="green"/>
              </w:rPr>
              <w:t>岩（土）层单层厚度Mb≥1.0m，渗透系数K≤1×10</w:t>
            </w:r>
            <w:r>
              <w:rPr>
                <w:sz w:val="21"/>
                <w:szCs w:val="21"/>
                <w:highlight w:val="green"/>
                <w:vertAlign w:val="superscript"/>
              </w:rPr>
              <w:t>-6</w:t>
            </w:r>
            <w:r>
              <w:rPr>
                <w:sz w:val="21"/>
                <w:szCs w:val="21"/>
                <w:highlight w:val="green"/>
              </w:rPr>
              <w:t>cm/s，且分布连续、稳定。</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jc w:val="center"/>
        </w:trPr>
        <w:tc>
          <w:tcPr>
            <w:tcW w:w="738" w:type="dxa"/>
            <w:vMerge w:val="restart"/>
            <w:shd w:val="clear" w:color="auto" w:fill="FFFFFF"/>
            <w:vAlign w:val="center"/>
          </w:tcPr>
          <w:p>
            <w:pPr>
              <w:ind w:firstLine="2" w:firstLineChars="1"/>
              <w:jc w:val="center"/>
              <w:rPr>
                <w:sz w:val="21"/>
                <w:szCs w:val="21"/>
                <w:highlight w:val="green"/>
              </w:rPr>
            </w:pPr>
            <w:r>
              <w:rPr>
                <w:sz w:val="21"/>
                <w:szCs w:val="21"/>
                <w:highlight w:val="green"/>
              </w:rPr>
              <w:t>中</w:t>
            </w:r>
          </w:p>
        </w:tc>
        <w:tc>
          <w:tcPr>
            <w:tcW w:w="7790" w:type="dxa"/>
            <w:shd w:val="clear" w:color="auto" w:fill="FFFFFF"/>
            <w:vAlign w:val="center"/>
          </w:tcPr>
          <w:p>
            <w:pPr>
              <w:spacing w:line="240" w:lineRule="auto"/>
              <w:ind w:firstLine="0" w:firstLineChars="0"/>
              <w:jc w:val="center"/>
              <w:rPr>
                <w:sz w:val="21"/>
                <w:szCs w:val="21"/>
                <w:highlight w:val="green"/>
              </w:rPr>
            </w:pPr>
            <w:r>
              <w:rPr>
                <w:sz w:val="21"/>
                <w:szCs w:val="21"/>
                <w:highlight w:val="green"/>
              </w:rPr>
              <w:t>岩（土）层单层厚度0.5m≤Mb&lt;1.0m，渗透系数K≤1×10</w:t>
            </w:r>
            <w:r>
              <w:rPr>
                <w:sz w:val="21"/>
                <w:szCs w:val="21"/>
                <w:highlight w:val="green"/>
                <w:vertAlign w:val="superscript"/>
              </w:rPr>
              <w:t>-6</w:t>
            </w:r>
            <w:r>
              <w:rPr>
                <w:sz w:val="21"/>
                <w:szCs w:val="21"/>
                <w:highlight w:val="green"/>
              </w:rPr>
              <w:t>cm/s，且分布连续、稳定。</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jc w:val="center"/>
        </w:trPr>
        <w:tc>
          <w:tcPr>
            <w:tcW w:w="738" w:type="dxa"/>
            <w:vMerge w:val="continue"/>
            <w:shd w:val="clear" w:color="auto" w:fill="FFFFFF"/>
            <w:vAlign w:val="center"/>
          </w:tcPr>
          <w:p>
            <w:pPr>
              <w:ind w:firstLine="2" w:firstLineChars="1"/>
              <w:jc w:val="center"/>
              <w:rPr>
                <w:sz w:val="21"/>
                <w:szCs w:val="21"/>
                <w:highlight w:val="green"/>
              </w:rPr>
            </w:pPr>
          </w:p>
        </w:tc>
        <w:tc>
          <w:tcPr>
            <w:tcW w:w="7790" w:type="dxa"/>
            <w:shd w:val="clear" w:color="auto" w:fill="FFFFFF"/>
            <w:vAlign w:val="center"/>
          </w:tcPr>
          <w:p>
            <w:pPr>
              <w:spacing w:line="240" w:lineRule="auto"/>
              <w:ind w:firstLine="0" w:firstLineChars="0"/>
              <w:jc w:val="center"/>
              <w:rPr>
                <w:sz w:val="21"/>
                <w:szCs w:val="21"/>
                <w:highlight w:val="green"/>
              </w:rPr>
            </w:pPr>
            <w:r>
              <w:rPr>
                <w:sz w:val="21"/>
                <w:szCs w:val="21"/>
                <w:highlight w:val="green"/>
              </w:rPr>
              <w:t>岩（土）层单层厚度Mb≥1.0m，渗透系数1×10</w:t>
            </w:r>
            <w:r>
              <w:rPr>
                <w:sz w:val="21"/>
                <w:szCs w:val="21"/>
                <w:highlight w:val="green"/>
                <w:vertAlign w:val="superscript"/>
              </w:rPr>
              <w:t>-6</w:t>
            </w:r>
            <w:r>
              <w:rPr>
                <w:sz w:val="21"/>
                <w:szCs w:val="21"/>
                <w:highlight w:val="green"/>
              </w:rPr>
              <w:t>cm/s&lt;K≤1×10</w:t>
            </w:r>
            <w:r>
              <w:rPr>
                <w:sz w:val="21"/>
                <w:szCs w:val="21"/>
                <w:highlight w:val="green"/>
                <w:vertAlign w:val="superscript"/>
              </w:rPr>
              <w:t>-4</w:t>
            </w:r>
            <w:r>
              <w:rPr>
                <w:sz w:val="21"/>
                <w:szCs w:val="21"/>
                <w:highlight w:val="green"/>
              </w:rPr>
              <w:t>cm/s，且分布连续、稳定。</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jc w:val="center"/>
        </w:trPr>
        <w:tc>
          <w:tcPr>
            <w:tcW w:w="738" w:type="dxa"/>
            <w:shd w:val="clear" w:color="auto" w:fill="FFFFFF"/>
            <w:vAlign w:val="center"/>
          </w:tcPr>
          <w:p>
            <w:pPr>
              <w:ind w:firstLine="2" w:firstLineChars="1"/>
              <w:jc w:val="center"/>
              <w:rPr>
                <w:sz w:val="21"/>
                <w:szCs w:val="21"/>
                <w:highlight w:val="green"/>
              </w:rPr>
            </w:pPr>
            <w:r>
              <w:rPr>
                <w:sz w:val="21"/>
                <w:szCs w:val="21"/>
                <w:highlight w:val="green"/>
              </w:rPr>
              <w:t>弱</w:t>
            </w:r>
          </w:p>
        </w:tc>
        <w:tc>
          <w:tcPr>
            <w:tcW w:w="7790" w:type="dxa"/>
            <w:shd w:val="clear" w:color="auto" w:fill="FFFFFF"/>
            <w:vAlign w:val="center"/>
          </w:tcPr>
          <w:p>
            <w:pPr>
              <w:spacing w:line="240" w:lineRule="auto"/>
              <w:ind w:firstLine="0" w:firstLineChars="0"/>
              <w:jc w:val="center"/>
              <w:rPr>
                <w:sz w:val="21"/>
                <w:szCs w:val="21"/>
                <w:highlight w:val="green"/>
              </w:rPr>
            </w:pPr>
            <w:r>
              <w:rPr>
                <w:sz w:val="21"/>
                <w:szCs w:val="21"/>
                <w:highlight w:val="green"/>
              </w:rPr>
              <w:t>岩（土）层不满足上述“强”和“中”条件。</w:t>
            </w:r>
          </w:p>
        </w:tc>
      </w:tr>
    </w:tbl>
    <w:p>
      <w:pPr>
        <w:ind w:firstLine="480"/>
        <w:rPr>
          <w:spacing w:val="-10"/>
          <w:sz w:val="24"/>
          <w:szCs w:val="24"/>
          <w:highlight w:val="green"/>
        </w:rPr>
      </w:pPr>
      <w:r>
        <w:rPr>
          <w:sz w:val="24"/>
          <w:szCs w:val="24"/>
          <w:highlight w:val="green"/>
        </w:rPr>
        <w:t>同时，根据《环境影响评价导则—地下水环境》（HJ610-2016）《表5 污染控制难易程度分级参照表》：将项目区原矿堆场、精矿库、原料堆场、球磨车间、生产车间、浓密池</w:t>
      </w:r>
      <w:r>
        <w:rPr>
          <w:spacing w:val="-10"/>
          <w:sz w:val="24"/>
          <w:szCs w:val="24"/>
          <w:highlight w:val="green"/>
        </w:rPr>
        <w:t>，污染控制难易程度确定为“难”；</w:t>
      </w:r>
      <w:r>
        <w:rPr>
          <w:sz w:val="24"/>
          <w:szCs w:val="24"/>
          <w:highlight w:val="green"/>
        </w:rPr>
        <w:t>将项目区办公区</w:t>
      </w:r>
      <w:r>
        <w:rPr>
          <w:spacing w:val="-10"/>
          <w:sz w:val="24"/>
          <w:szCs w:val="24"/>
          <w:highlight w:val="green"/>
        </w:rPr>
        <w:t>等</w:t>
      </w:r>
      <w:r>
        <w:rPr>
          <w:sz w:val="24"/>
          <w:szCs w:val="24"/>
          <w:highlight w:val="green"/>
        </w:rPr>
        <w:t>污染物泄露后，可及时发现和处理的地面以上设备或建筑物，</w:t>
      </w:r>
      <w:r>
        <w:rPr>
          <w:spacing w:val="-10"/>
          <w:sz w:val="24"/>
          <w:szCs w:val="24"/>
          <w:highlight w:val="green"/>
        </w:rPr>
        <w:t>污染控制难易程度确定为“易”。</w:t>
      </w:r>
    </w:p>
    <w:p>
      <w:pPr>
        <w:pStyle w:val="20"/>
        <w:spacing w:after="0"/>
        <w:ind w:left="0" w:leftChars="0"/>
        <w:jc w:val="center"/>
        <w:rPr>
          <w:rFonts w:eastAsia="黑体"/>
          <w:sz w:val="21"/>
          <w:szCs w:val="21"/>
          <w:highlight w:val="green"/>
        </w:rPr>
      </w:pPr>
      <w:r>
        <w:rPr>
          <w:rFonts w:eastAsia="黑体"/>
          <w:sz w:val="21"/>
          <w:szCs w:val="21"/>
          <w:highlight w:val="green"/>
        </w:rPr>
        <w:t>表6.2-2污染控制难易程度分级参照表</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56"/>
        <w:gridCol w:w="656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56" w:type="dxa"/>
            <w:vAlign w:val="center"/>
          </w:tcPr>
          <w:p>
            <w:pPr>
              <w:spacing w:line="240" w:lineRule="auto"/>
              <w:ind w:firstLine="0" w:firstLineChars="0"/>
              <w:rPr>
                <w:sz w:val="21"/>
                <w:szCs w:val="21"/>
                <w:highlight w:val="green"/>
              </w:rPr>
            </w:pPr>
            <w:r>
              <w:rPr>
                <w:sz w:val="21"/>
                <w:szCs w:val="21"/>
                <w:highlight w:val="green"/>
              </w:rPr>
              <w:t>污染控制难易程度</w:t>
            </w:r>
          </w:p>
        </w:tc>
        <w:tc>
          <w:tcPr>
            <w:tcW w:w="6566" w:type="dxa"/>
            <w:vAlign w:val="center"/>
          </w:tcPr>
          <w:p>
            <w:pPr>
              <w:spacing w:line="240" w:lineRule="auto"/>
              <w:ind w:firstLine="420"/>
              <w:jc w:val="center"/>
              <w:rPr>
                <w:sz w:val="21"/>
                <w:szCs w:val="21"/>
                <w:highlight w:val="green"/>
              </w:rPr>
            </w:pPr>
            <w:r>
              <w:rPr>
                <w:sz w:val="21"/>
                <w:szCs w:val="21"/>
                <w:highlight w:val="green"/>
              </w:rPr>
              <w:t>主要特征</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56" w:type="dxa"/>
            <w:vAlign w:val="center"/>
          </w:tcPr>
          <w:p>
            <w:pPr>
              <w:spacing w:line="240" w:lineRule="auto"/>
              <w:ind w:firstLine="0" w:firstLineChars="0"/>
              <w:jc w:val="center"/>
              <w:rPr>
                <w:sz w:val="21"/>
                <w:szCs w:val="21"/>
                <w:highlight w:val="green"/>
              </w:rPr>
            </w:pPr>
            <w:r>
              <w:rPr>
                <w:sz w:val="21"/>
                <w:szCs w:val="21"/>
                <w:highlight w:val="green"/>
              </w:rPr>
              <w:t>难</w:t>
            </w:r>
          </w:p>
        </w:tc>
        <w:tc>
          <w:tcPr>
            <w:tcW w:w="6566" w:type="dxa"/>
            <w:vAlign w:val="center"/>
          </w:tcPr>
          <w:p>
            <w:pPr>
              <w:spacing w:line="240" w:lineRule="auto"/>
              <w:ind w:firstLine="0" w:firstLineChars="0"/>
              <w:jc w:val="center"/>
              <w:rPr>
                <w:sz w:val="21"/>
                <w:szCs w:val="21"/>
                <w:highlight w:val="green"/>
              </w:rPr>
            </w:pPr>
            <w:r>
              <w:rPr>
                <w:sz w:val="21"/>
                <w:szCs w:val="21"/>
                <w:highlight w:val="green"/>
              </w:rPr>
              <w:t>对地下水环境有污染的物料或污染物泄露后，不能及时发现和处理</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56" w:type="dxa"/>
            <w:vAlign w:val="center"/>
          </w:tcPr>
          <w:p>
            <w:pPr>
              <w:spacing w:line="240" w:lineRule="auto"/>
              <w:ind w:firstLine="0" w:firstLineChars="0"/>
              <w:jc w:val="center"/>
              <w:rPr>
                <w:sz w:val="21"/>
                <w:szCs w:val="21"/>
                <w:highlight w:val="green"/>
              </w:rPr>
            </w:pPr>
            <w:r>
              <w:rPr>
                <w:sz w:val="21"/>
                <w:szCs w:val="21"/>
                <w:highlight w:val="green"/>
              </w:rPr>
              <w:t>易</w:t>
            </w:r>
          </w:p>
        </w:tc>
        <w:tc>
          <w:tcPr>
            <w:tcW w:w="6566" w:type="dxa"/>
            <w:vAlign w:val="center"/>
          </w:tcPr>
          <w:p>
            <w:pPr>
              <w:spacing w:line="240" w:lineRule="auto"/>
              <w:ind w:firstLine="0" w:firstLineChars="0"/>
              <w:jc w:val="center"/>
              <w:rPr>
                <w:sz w:val="21"/>
                <w:szCs w:val="21"/>
                <w:highlight w:val="green"/>
              </w:rPr>
            </w:pPr>
            <w:r>
              <w:rPr>
                <w:sz w:val="21"/>
                <w:szCs w:val="21"/>
                <w:highlight w:val="green"/>
              </w:rPr>
              <w:t>对地下水环境有污染的物料或污染物泄露后，可及时发现和处理</w:t>
            </w:r>
          </w:p>
        </w:tc>
      </w:tr>
    </w:tbl>
    <w:p>
      <w:pPr>
        <w:pStyle w:val="20"/>
        <w:spacing w:after="0" w:line="360" w:lineRule="auto"/>
        <w:ind w:left="0" w:leftChars="0" w:firstLine="480" w:firstLineChars="200"/>
        <w:rPr>
          <w:sz w:val="24"/>
          <w:highlight w:val="green"/>
        </w:rPr>
      </w:pPr>
      <w:r>
        <w:rPr>
          <w:sz w:val="24"/>
          <w:highlight w:val="green"/>
        </w:rPr>
        <w:t>最终参照</w:t>
      </w:r>
      <w:r>
        <w:rPr>
          <w:rFonts w:hint="eastAsia"/>
          <w:sz w:val="24"/>
          <w:highlight w:val="green"/>
        </w:rPr>
        <w:t>导则</w:t>
      </w:r>
      <w:r>
        <w:rPr>
          <w:sz w:val="24"/>
          <w:highlight w:val="green"/>
        </w:rPr>
        <w:t>《表7 地下水污染防渗分区参照表》，将本项目厂区划分为重点防渗区、一般防渗分区和简单防渗区，划分结果详见表6.2-3和表6.2-4。</w:t>
      </w:r>
    </w:p>
    <w:p>
      <w:pPr>
        <w:pStyle w:val="20"/>
        <w:spacing w:after="0"/>
        <w:ind w:left="0" w:leftChars="0"/>
        <w:jc w:val="center"/>
        <w:rPr>
          <w:rFonts w:eastAsia="黑体"/>
          <w:sz w:val="21"/>
          <w:szCs w:val="21"/>
          <w:highlight w:val="green"/>
        </w:rPr>
      </w:pPr>
      <w:r>
        <w:rPr>
          <w:rFonts w:eastAsia="黑体"/>
          <w:sz w:val="21"/>
          <w:szCs w:val="21"/>
          <w:highlight w:val="green"/>
        </w:rPr>
        <w:t>表6.2-3 地下水污染防渗分区参照表</w:t>
      </w:r>
    </w:p>
    <w:tbl>
      <w:tblPr>
        <w:tblStyle w:val="48"/>
        <w:tblW w:w="8666"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9"/>
        <w:gridCol w:w="1202"/>
        <w:gridCol w:w="1105"/>
        <w:gridCol w:w="1606"/>
        <w:gridCol w:w="3794"/>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Align w:val="center"/>
          </w:tcPr>
          <w:p>
            <w:pPr>
              <w:spacing w:line="240" w:lineRule="auto"/>
              <w:ind w:firstLine="0" w:firstLineChars="0"/>
              <w:jc w:val="center"/>
              <w:rPr>
                <w:sz w:val="21"/>
                <w:szCs w:val="21"/>
                <w:highlight w:val="green"/>
              </w:rPr>
            </w:pPr>
            <w:r>
              <w:rPr>
                <w:sz w:val="21"/>
                <w:szCs w:val="21"/>
                <w:highlight w:val="green"/>
              </w:rPr>
              <w:t>防渗分区</w:t>
            </w:r>
          </w:p>
        </w:tc>
        <w:tc>
          <w:tcPr>
            <w:tcW w:w="1202" w:type="dxa"/>
            <w:vAlign w:val="center"/>
          </w:tcPr>
          <w:p>
            <w:pPr>
              <w:spacing w:line="240" w:lineRule="auto"/>
              <w:ind w:firstLine="0" w:firstLineChars="0"/>
              <w:jc w:val="center"/>
              <w:rPr>
                <w:sz w:val="21"/>
                <w:szCs w:val="21"/>
                <w:highlight w:val="green"/>
              </w:rPr>
            </w:pPr>
            <w:r>
              <w:rPr>
                <w:sz w:val="21"/>
                <w:szCs w:val="21"/>
                <w:highlight w:val="green"/>
              </w:rPr>
              <w:t>天然包气带防污性能</w:t>
            </w:r>
          </w:p>
        </w:tc>
        <w:tc>
          <w:tcPr>
            <w:tcW w:w="1105" w:type="dxa"/>
            <w:vAlign w:val="center"/>
          </w:tcPr>
          <w:p>
            <w:pPr>
              <w:spacing w:line="240" w:lineRule="auto"/>
              <w:ind w:firstLine="0" w:firstLineChars="0"/>
              <w:jc w:val="center"/>
              <w:rPr>
                <w:sz w:val="21"/>
                <w:szCs w:val="21"/>
                <w:highlight w:val="green"/>
              </w:rPr>
            </w:pPr>
            <w:r>
              <w:rPr>
                <w:sz w:val="21"/>
                <w:szCs w:val="21"/>
                <w:highlight w:val="green"/>
              </w:rPr>
              <w:t>污染控制难易程度</w:t>
            </w:r>
          </w:p>
        </w:tc>
        <w:tc>
          <w:tcPr>
            <w:tcW w:w="1606" w:type="dxa"/>
            <w:vAlign w:val="center"/>
          </w:tcPr>
          <w:p>
            <w:pPr>
              <w:spacing w:line="240" w:lineRule="auto"/>
              <w:ind w:firstLine="210" w:firstLineChars="100"/>
              <w:jc w:val="center"/>
              <w:rPr>
                <w:sz w:val="21"/>
                <w:szCs w:val="21"/>
                <w:highlight w:val="green"/>
              </w:rPr>
            </w:pPr>
            <w:r>
              <w:rPr>
                <w:sz w:val="21"/>
                <w:szCs w:val="21"/>
                <w:highlight w:val="green"/>
              </w:rPr>
              <w:t>污染物类型</w:t>
            </w:r>
          </w:p>
        </w:tc>
        <w:tc>
          <w:tcPr>
            <w:tcW w:w="3794" w:type="dxa"/>
            <w:vAlign w:val="center"/>
          </w:tcPr>
          <w:p>
            <w:pPr>
              <w:spacing w:line="240" w:lineRule="auto"/>
              <w:ind w:firstLine="0" w:firstLineChars="0"/>
              <w:jc w:val="center"/>
              <w:rPr>
                <w:sz w:val="21"/>
                <w:szCs w:val="21"/>
                <w:highlight w:val="green"/>
              </w:rPr>
            </w:pPr>
            <w:r>
              <w:rPr>
                <w:sz w:val="21"/>
                <w:szCs w:val="21"/>
                <w:highlight w:val="green"/>
              </w:rPr>
              <w:t>防渗技术要求</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restart"/>
            <w:vAlign w:val="center"/>
          </w:tcPr>
          <w:p>
            <w:pPr>
              <w:spacing w:line="240" w:lineRule="auto"/>
              <w:ind w:firstLine="0" w:firstLineChars="0"/>
              <w:jc w:val="center"/>
              <w:rPr>
                <w:sz w:val="21"/>
                <w:szCs w:val="21"/>
                <w:highlight w:val="green"/>
              </w:rPr>
            </w:pPr>
            <w:r>
              <w:rPr>
                <w:sz w:val="21"/>
                <w:szCs w:val="21"/>
                <w:highlight w:val="green"/>
              </w:rPr>
              <w:t>重点防渗区</w:t>
            </w:r>
          </w:p>
        </w:tc>
        <w:tc>
          <w:tcPr>
            <w:tcW w:w="1202" w:type="dxa"/>
            <w:vAlign w:val="center"/>
          </w:tcPr>
          <w:p>
            <w:pPr>
              <w:spacing w:line="240" w:lineRule="auto"/>
              <w:ind w:firstLine="0" w:firstLineChars="0"/>
              <w:jc w:val="center"/>
              <w:rPr>
                <w:sz w:val="21"/>
                <w:szCs w:val="21"/>
                <w:highlight w:val="green"/>
              </w:rPr>
            </w:pPr>
            <w:r>
              <w:rPr>
                <w:sz w:val="21"/>
                <w:szCs w:val="21"/>
                <w:highlight w:val="green"/>
              </w:rPr>
              <w:t>弱</w:t>
            </w:r>
          </w:p>
        </w:tc>
        <w:tc>
          <w:tcPr>
            <w:tcW w:w="1105" w:type="dxa"/>
            <w:vAlign w:val="center"/>
          </w:tcPr>
          <w:p>
            <w:pPr>
              <w:spacing w:line="240" w:lineRule="auto"/>
              <w:ind w:firstLine="0" w:firstLineChars="0"/>
              <w:jc w:val="center"/>
              <w:rPr>
                <w:sz w:val="21"/>
                <w:szCs w:val="21"/>
                <w:highlight w:val="green"/>
              </w:rPr>
            </w:pPr>
            <w:r>
              <w:rPr>
                <w:sz w:val="21"/>
                <w:szCs w:val="21"/>
                <w:highlight w:val="green"/>
              </w:rPr>
              <w:t>难</w:t>
            </w:r>
          </w:p>
        </w:tc>
        <w:tc>
          <w:tcPr>
            <w:tcW w:w="1606" w:type="dxa"/>
            <w:vMerge w:val="restart"/>
            <w:vAlign w:val="center"/>
          </w:tcPr>
          <w:p>
            <w:pPr>
              <w:spacing w:line="240" w:lineRule="auto"/>
              <w:ind w:firstLine="0" w:firstLineChars="0"/>
              <w:jc w:val="center"/>
              <w:rPr>
                <w:sz w:val="21"/>
                <w:szCs w:val="21"/>
                <w:highlight w:val="green"/>
              </w:rPr>
            </w:pPr>
            <w:r>
              <w:rPr>
                <w:sz w:val="21"/>
                <w:szCs w:val="21"/>
                <w:highlight w:val="green"/>
              </w:rPr>
              <w:t>重金属、持久性有机污染物</w:t>
            </w:r>
          </w:p>
        </w:tc>
        <w:tc>
          <w:tcPr>
            <w:tcW w:w="3794" w:type="dxa"/>
            <w:vMerge w:val="restart"/>
            <w:vAlign w:val="center"/>
          </w:tcPr>
          <w:p>
            <w:pPr>
              <w:spacing w:line="240" w:lineRule="auto"/>
              <w:ind w:firstLine="0" w:firstLineChars="0"/>
              <w:jc w:val="center"/>
              <w:rPr>
                <w:sz w:val="21"/>
                <w:szCs w:val="21"/>
                <w:highlight w:val="green"/>
              </w:rPr>
            </w:pPr>
            <w:r>
              <w:rPr>
                <w:sz w:val="21"/>
                <w:szCs w:val="21"/>
                <w:highlight w:val="green"/>
              </w:rPr>
              <w:t>等效黏土防渗层Mb≥6.0m，K≤1</w:t>
            </w:r>
            <w:r>
              <w:rPr>
                <w:rFonts w:hint="eastAsia"/>
                <w:sz w:val="21"/>
                <w:szCs w:val="21"/>
                <w:highlight w:val="green"/>
              </w:rPr>
              <w:t>.</w:t>
            </w:r>
            <w:r>
              <w:rPr>
                <w:sz w:val="21"/>
                <w:szCs w:val="21"/>
                <w:highlight w:val="green"/>
              </w:rPr>
              <w:t>0×10</w:t>
            </w:r>
            <w:r>
              <w:rPr>
                <w:sz w:val="21"/>
                <w:szCs w:val="21"/>
                <w:highlight w:val="green"/>
                <w:vertAlign w:val="superscript"/>
              </w:rPr>
              <w:t>-10</w:t>
            </w:r>
            <w:r>
              <w:rPr>
                <w:sz w:val="21"/>
                <w:szCs w:val="21"/>
                <w:highlight w:val="green"/>
              </w:rPr>
              <w:t>cm/s；或参照GB18598执行</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green"/>
              </w:rPr>
            </w:pPr>
          </w:p>
        </w:tc>
        <w:tc>
          <w:tcPr>
            <w:tcW w:w="1202" w:type="dxa"/>
            <w:vAlign w:val="center"/>
          </w:tcPr>
          <w:p>
            <w:pPr>
              <w:spacing w:line="240" w:lineRule="auto"/>
              <w:ind w:firstLine="0" w:firstLineChars="0"/>
              <w:jc w:val="center"/>
              <w:rPr>
                <w:sz w:val="21"/>
                <w:szCs w:val="21"/>
                <w:highlight w:val="green"/>
              </w:rPr>
            </w:pPr>
            <w:r>
              <w:rPr>
                <w:sz w:val="21"/>
                <w:szCs w:val="21"/>
                <w:highlight w:val="green"/>
              </w:rPr>
              <w:t>中-强</w:t>
            </w:r>
          </w:p>
        </w:tc>
        <w:tc>
          <w:tcPr>
            <w:tcW w:w="1105" w:type="dxa"/>
            <w:vAlign w:val="center"/>
          </w:tcPr>
          <w:p>
            <w:pPr>
              <w:spacing w:line="240" w:lineRule="auto"/>
              <w:ind w:firstLine="0" w:firstLineChars="0"/>
              <w:jc w:val="center"/>
              <w:rPr>
                <w:sz w:val="21"/>
                <w:szCs w:val="21"/>
                <w:highlight w:val="green"/>
              </w:rPr>
            </w:pPr>
            <w:r>
              <w:rPr>
                <w:sz w:val="21"/>
                <w:szCs w:val="21"/>
                <w:highlight w:val="green"/>
              </w:rPr>
              <w:t>难</w:t>
            </w:r>
          </w:p>
        </w:tc>
        <w:tc>
          <w:tcPr>
            <w:tcW w:w="1606" w:type="dxa"/>
            <w:vMerge w:val="continue"/>
            <w:vAlign w:val="center"/>
          </w:tcPr>
          <w:p>
            <w:pPr>
              <w:spacing w:line="240" w:lineRule="auto"/>
              <w:ind w:firstLine="0" w:firstLineChars="0"/>
              <w:jc w:val="center"/>
              <w:rPr>
                <w:sz w:val="21"/>
                <w:szCs w:val="21"/>
                <w:highlight w:val="green"/>
              </w:rPr>
            </w:pPr>
          </w:p>
        </w:tc>
        <w:tc>
          <w:tcPr>
            <w:tcW w:w="3794" w:type="dxa"/>
            <w:vMerge w:val="continue"/>
            <w:vAlign w:val="center"/>
          </w:tcPr>
          <w:p>
            <w:pPr>
              <w:spacing w:line="240" w:lineRule="auto"/>
              <w:ind w:firstLine="0" w:firstLineChars="0"/>
              <w:jc w:val="center"/>
              <w:rPr>
                <w:sz w:val="21"/>
                <w:szCs w:val="21"/>
                <w:highlight w:val="gree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green"/>
              </w:rPr>
            </w:pPr>
          </w:p>
        </w:tc>
        <w:tc>
          <w:tcPr>
            <w:tcW w:w="1202" w:type="dxa"/>
            <w:vAlign w:val="center"/>
          </w:tcPr>
          <w:p>
            <w:pPr>
              <w:spacing w:line="240" w:lineRule="auto"/>
              <w:ind w:firstLine="0" w:firstLineChars="0"/>
              <w:jc w:val="center"/>
              <w:rPr>
                <w:sz w:val="21"/>
                <w:szCs w:val="21"/>
                <w:highlight w:val="green"/>
              </w:rPr>
            </w:pPr>
            <w:r>
              <w:rPr>
                <w:sz w:val="21"/>
                <w:szCs w:val="21"/>
                <w:highlight w:val="green"/>
              </w:rPr>
              <w:t>弱</w:t>
            </w:r>
          </w:p>
        </w:tc>
        <w:tc>
          <w:tcPr>
            <w:tcW w:w="1105" w:type="dxa"/>
            <w:vAlign w:val="center"/>
          </w:tcPr>
          <w:p>
            <w:pPr>
              <w:spacing w:line="240" w:lineRule="auto"/>
              <w:ind w:firstLine="0" w:firstLineChars="0"/>
              <w:jc w:val="center"/>
              <w:rPr>
                <w:sz w:val="21"/>
                <w:szCs w:val="21"/>
                <w:highlight w:val="green"/>
              </w:rPr>
            </w:pPr>
            <w:r>
              <w:rPr>
                <w:sz w:val="21"/>
                <w:szCs w:val="21"/>
                <w:highlight w:val="green"/>
              </w:rPr>
              <w:t>易</w:t>
            </w:r>
          </w:p>
        </w:tc>
        <w:tc>
          <w:tcPr>
            <w:tcW w:w="1606" w:type="dxa"/>
            <w:vMerge w:val="continue"/>
            <w:vAlign w:val="center"/>
          </w:tcPr>
          <w:p>
            <w:pPr>
              <w:spacing w:line="240" w:lineRule="auto"/>
              <w:ind w:firstLine="0" w:firstLineChars="0"/>
              <w:jc w:val="center"/>
              <w:rPr>
                <w:sz w:val="21"/>
                <w:szCs w:val="21"/>
                <w:highlight w:val="green"/>
              </w:rPr>
            </w:pPr>
          </w:p>
        </w:tc>
        <w:tc>
          <w:tcPr>
            <w:tcW w:w="3794" w:type="dxa"/>
            <w:vMerge w:val="continue"/>
            <w:vAlign w:val="center"/>
          </w:tcPr>
          <w:p>
            <w:pPr>
              <w:spacing w:line="240" w:lineRule="auto"/>
              <w:ind w:firstLine="0" w:firstLineChars="0"/>
              <w:jc w:val="center"/>
              <w:rPr>
                <w:sz w:val="21"/>
                <w:szCs w:val="21"/>
                <w:highlight w:val="gree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restart"/>
            <w:vAlign w:val="center"/>
          </w:tcPr>
          <w:p>
            <w:pPr>
              <w:spacing w:line="240" w:lineRule="auto"/>
              <w:ind w:firstLine="0" w:firstLineChars="0"/>
              <w:jc w:val="center"/>
              <w:rPr>
                <w:sz w:val="21"/>
                <w:szCs w:val="21"/>
                <w:highlight w:val="green"/>
              </w:rPr>
            </w:pPr>
            <w:r>
              <w:rPr>
                <w:sz w:val="21"/>
                <w:szCs w:val="21"/>
                <w:highlight w:val="green"/>
              </w:rPr>
              <w:t>一般防渗区</w:t>
            </w:r>
          </w:p>
        </w:tc>
        <w:tc>
          <w:tcPr>
            <w:tcW w:w="1202" w:type="dxa"/>
            <w:vAlign w:val="center"/>
          </w:tcPr>
          <w:p>
            <w:pPr>
              <w:spacing w:line="240" w:lineRule="auto"/>
              <w:ind w:firstLine="0" w:firstLineChars="0"/>
              <w:jc w:val="center"/>
              <w:rPr>
                <w:sz w:val="21"/>
                <w:szCs w:val="21"/>
                <w:highlight w:val="green"/>
              </w:rPr>
            </w:pPr>
            <w:r>
              <w:rPr>
                <w:sz w:val="21"/>
                <w:szCs w:val="21"/>
                <w:highlight w:val="green"/>
              </w:rPr>
              <w:t>弱</w:t>
            </w:r>
          </w:p>
        </w:tc>
        <w:tc>
          <w:tcPr>
            <w:tcW w:w="1105" w:type="dxa"/>
            <w:vAlign w:val="center"/>
          </w:tcPr>
          <w:p>
            <w:pPr>
              <w:spacing w:line="240" w:lineRule="auto"/>
              <w:ind w:firstLine="0" w:firstLineChars="0"/>
              <w:jc w:val="center"/>
              <w:rPr>
                <w:sz w:val="21"/>
                <w:szCs w:val="21"/>
                <w:highlight w:val="green"/>
              </w:rPr>
            </w:pPr>
            <w:r>
              <w:rPr>
                <w:sz w:val="21"/>
                <w:szCs w:val="21"/>
                <w:highlight w:val="green"/>
              </w:rPr>
              <w:t>易-难</w:t>
            </w:r>
          </w:p>
        </w:tc>
        <w:tc>
          <w:tcPr>
            <w:tcW w:w="1606" w:type="dxa"/>
            <w:vMerge w:val="restart"/>
            <w:vAlign w:val="center"/>
          </w:tcPr>
          <w:p>
            <w:pPr>
              <w:spacing w:line="240" w:lineRule="auto"/>
              <w:ind w:firstLine="0" w:firstLineChars="0"/>
              <w:jc w:val="center"/>
              <w:rPr>
                <w:sz w:val="21"/>
                <w:szCs w:val="21"/>
                <w:highlight w:val="green"/>
              </w:rPr>
            </w:pPr>
            <w:r>
              <w:rPr>
                <w:sz w:val="21"/>
                <w:szCs w:val="21"/>
                <w:highlight w:val="green"/>
              </w:rPr>
              <w:t>其他类型</w:t>
            </w:r>
          </w:p>
        </w:tc>
        <w:tc>
          <w:tcPr>
            <w:tcW w:w="3794" w:type="dxa"/>
            <w:vMerge w:val="restart"/>
            <w:vAlign w:val="center"/>
          </w:tcPr>
          <w:p>
            <w:pPr>
              <w:spacing w:line="240" w:lineRule="auto"/>
              <w:ind w:firstLine="0" w:firstLineChars="0"/>
              <w:jc w:val="center"/>
              <w:rPr>
                <w:sz w:val="21"/>
                <w:szCs w:val="21"/>
                <w:highlight w:val="green"/>
              </w:rPr>
            </w:pPr>
            <w:r>
              <w:rPr>
                <w:sz w:val="21"/>
                <w:szCs w:val="21"/>
                <w:highlight w:val="green"/>
              </w:rPr>
              <w:t>等效黏土防渗层Mb≥1.5m，K≤1</w:t>
            </w:r>
            <w:r>
              <w:rPr>
                <w:rFonts w:hint="eastAsia"/>
                <w:sz w:val="21"/>
                <w:szCs w:val="21"/>
                <w:highlight w:val="green"/>
              </w:rPr>
              <w:t>.</w:t>
            </w:r>
            <w:r>
              <w:rPr>
                <w:sz w:val="21"/>
                <w:szCs w:val="21"/>
                <w:highlight w:val="green"/>
              </w:rPr>
              <w:t>0×10</w:t>
            </w:r>
            <w:r>
              <w:rPr>
                <w:sz w:val="21"/>
                <w:szCs w:val="21"/>
                <w:highlight w:val="green"/>
                <w:vertAlign w:val="superscript"/>
              </w:rPr>
              <w:t>-7</w:t>
            </w:r>
            <w:r>
              <w:rPr>
                <w:sz w:val="21"/>
                <w:szCs w:val="21"/>
                <w:highlight w:val="green"/>
              </w:rPr>
              <w:t>cm/s；或参照GB18599执行</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green"/>
              </w:rPr>
            </w:pPr>
          </w:p>
        </w:tc>
        <w:tc>
          <w:tcPr>
            <w:tcW w:w="1202" w:type="dxa"/>
            <w:vAlign w:val="center"/>
          </w:tcPr>
          <w:p>
            <w:pPr>
              <w:spacing w:line="240" w:lineRule="auto"/>
              <w:ind w:firstLine="0" w:firstLineChars="0"/>
              <w:jc w:val="center"/>
              <w:rPr>
                <w:sz w:val="21"/>
                <w:szCs w:val="21"/>
                <w:highlight w:val="green"/>
              </w:rPr>
            </w:pPr>
            <w:r>
              <w:rPr>
                <w:sz w:val="21"/>
                <w:szCs w:val="21"/>
                <w:highlight w:val="green"/>
              </w:rPr>
              <w:t>中-强</w:t>
            </w:r>
          </w:p>
        </w:tc>
        <w:tc>
          <w:tcPr>
            <w:tcW w:w="1105" w:type="dxa"/>
            <w:vAlign w:val="center"/>
          </w:tcPr>
          <w:p>
            <w:pPr>
              <w:spacing w:line="240" w:lineRule="auto"/>
              <w:ind w:firstLine="0" w:firstLineChars="0"/>
              <w:jc w:val="center"/>
              <w:rPr>
                <w:sz w:val="21"/>
                <w:szCs w:val="21"/>
                <w:highlight w:val="green"/>
              </w:rPr>
            </w:pPr>
            <w:r>
              <w:rPr>
                <w:sz w:val="21"/>
                <w:szCs w:val="21"/>
                <w:highlight w:val="green"/>
              </w:rPr>
              <w:t>难</w:t>
            </w:r>
          </w:p>
        </w:tc>
        <w:tc>
          <w:tcPr>
            <w:tcW w:w="1606" w:type="dxa"/>
            <w:vMerge w:val="continue"/>
            <w:vAlign w:val="center"/>
          </w:tcPr>
          <w:p>
            <w:pPr>
              <w:spacing w:line="240" w:lineRule="auto"/>
              <w:ind w:firstLine="0" w:firstLineChars="0"/>
              <w:jc w:val="center"/>
              <w:rPr>
                <w:sz w:val="21"/>
                <w:szCs w:val="21"/>
                <w:highlight w:val="green"/>
              </w:rPr>
            </w:pPr>
          </w:p>
        </w:tc>
        <w:tc>
          <w:tcPr>
            <w:tcW w:w="3794" w:type="dxa"/>
            <w:vMerge w:val="continue"/>
            <w:vAlign w:val="center"/>
          </w:tcPr>
          <w:p>
            <w:pPr>
              <w:spacing w:line="240" w:lineRule="auto"/>
              <w:ind w:firstLine="0" w:firstLineChars="0"/>
              <w:jc w:val="center"/>
              <w:rPr>
                <w:sz w:val="21"/>
                <w:szCs w:val="21"/>
                <w:highlight w:val="gree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green"/>
              </w:rPr>
            </w:pPr>
          </w:p>
        </w:tc>
        <w:tc>
          <w:tcPr>
            <w:tcW w:w="1202" w:type="dxa"/>
            <w:vAlign w:val="center"/>
          </w:tcPr>
          <w:p>
            <w:pPr>
              <w:spacing w:line="240" w:lineRule="auto"/>
              <w:ind w:firstLine="0" w:firstLineChars="0"/>
              <w:jc w:val="center"/>
              <w:rPr>
                <w:sz w:val="21"/>
                <w:szCs w:val="21"/>
                <w:highlight w:val="green"/>
              </w:rPr>
            </w:pPr>
            <w:r>
              <w:rPr>
                <w:sz w:val="21"/>
                <w:szCs w:val="21"/>
                <w:highlight w:val="green"/>
              </w:rPr>
              <w:t>中</w:t>
            </w:r>
          </w:p>
        </w:tc>
        <w:tc>
          <w:tcPr>
            <w:tcW w:w="1105" w:type="dxa"/>
            <w:vAlign w:val="center"/>
          </w:tcPr>
          <w:p>
            <w:pPr>
              <w:spacing w:line="240" w:lineRule="auto"/>
              <w:ind w:firstLine="0" w:firstLineChars="0"/>
              <w:jc w:val="center"/>
              <w:rPr>
                <w:sz w:val="21"/>
                <w:szCs w:val="21"/>
                <w:highlight w:val="green"/>
              </w:rPr>
            </w:pPr>
            <w:r>
              <w:rPr>
                <w:sz w:val="21"/>
                <w:szCs w:val="21"/>
                <w:highlight w:val="green"/>
              </w:rPr>
              <w:t>易</w:t>
            </w:r>
          </w:p>
        </w:tc>
        <w:tc>
          <w:tcPr>
            <w:tcW w:w="1606" w:type="dxa"/>
            <w:vMerge w:val="restart"/>
            <w:vAlign w:val="center"/>
          </w:tcPr>
          <w:p>
            <w:pPr>
              <w:spacing w:line="240" w:lineRule="auto"/>
              <w:ind w:firstLine="0" w:firstLineChars="0"/>
              <w:jc w:val="center"/>
              <w:rPr>
                <w:sz w:val="21"/>
                <w:szCs w:val="21"/>
                <w:highlight w:val="green"/>
              </w:rPr>
            </w:pPr>
            <w:r>
              <w:rPr>
                <w:sz w:val="21"/>
                <w:szCs w:val="21"/>
                <w:highlight w:val="green"/>
              </w:rPr>
              <w:t>重金属、持久性有机污染物</w:t>
            </w:r>
          </w:p>
        </w:tc>
        <w:tc>
          <w:tcPr>
            <w:tcW w:w="3794" w:type="dxa"/>
            <w:vMerge w:val="continue"/>
            <w:vAlign w:val="center"/>
          </w:tcPr>
          <w:p>
            <w:pPr>
              <w:spacing w:line="240" w:lineRule="auto"/>
              <w:ind w:firstLine="0" w:firstLineChars="0"/>
              <w:jc w:val="center"/>
              <w:rPr>
                <w:sz w:val="21"/>
                <w:szCs w:val="21"/>
                <w:highlight w:val="gree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green"/>
              </w:rPr>
            </w:pPr>
          </w:p>
        </w:tc>
        <w:tc>
          <w:tcPr>
            <w:tcW w:w="1202" w:type="dxa"/>
            <w:vAlign w:val="center"/>
          </w:tcPr>
          <w:p>
            <w:pPr>
              <w:spacing w:line="240" w:lineRule="auto"/>
              <w:ind w:firstLine="0" w:firstLineChars="0"/>
              <w:jc w:val="center"/>
              <w:rPr>
                <w:sz w:val="21"/>
                <w:szCs w:val="21"/>
                <w:highlight w:val="green"/>
              </w:rPr>
            </w:pPr>
            <w:r>
              <w:rPr>
                <w:sz w:val="21"/>
                <w:szCs w:val="21"/>
                <w:highlight w:val="green"/>
              </w:rPr>
              <w:t>强</w:t>
            </w:r>
          </w:p>
        </w:tc>
        <w:tc>
          <w:tcPr>
            <w:tcW w:w="1105" w:type="dxa"/>
            <w:vAlign w:val="center"/>
          </w:tcPr>
          <w:p>
            <w:pPr>
              <w:spacing w:line="240" w:lineRule="auto"/>
              <w:ind w:firstLine="0" w:firstLineChars="0"/>
              <w:jc w:val="center"/>
              <w:rPr>
                <w:sz w:val="21"/>
                <w:szCs w:val="21"/>
                <w:highlight w:val="green"/>
              </w:rPr>
            </w:pPr>
            <w:r>
              <w:rPr>
                <w:sz w:val="21"/>
                <w:szCs w:val="21"/>
                <w:highlight w:val="green"/>
              </w:rPr>
              <w:t>易</w:t>
            </w:r>
          </w:p>
        </w:tc>
        <w:tc>
          <w:tcPr>
            <w:tcW w:w="1606" w:type="dxa"/>
            <w:vMerge w:val="continue"/>
            <w:vAlign w:val="center"/>
          </w:tcPr>
          <w:p>
            <w:pPr>
              <w:spacing w:line="240" w:lineRule="auto"/>
              <w:ind w:firstLine="0" w:firstLineChars="0"/>
              <w:jc w:val="center"/>
              <w:rPr>
                <w:sz w:val="21"/>
                <w:szCs w:val="21"/>
                <w:highlight w:val="green"/>
              </w:rPr>
            </w:pPr>
          </w:p>
        </w:tc>
        <w:tc>
          <w:tcPr>
            <w:tcW w:w="3794" w:type="dxa"/>
            <w:vMerge w:val="continue"/>
            <w:vAlign w:val="center"/>
          </w:tcPr>
          <w:p>
            <w:pPr>
              <w:spacing w:line="240" w:lineRule="auto"/>
              <w:ind w:firstLine="0" w:firstLineChars="0"/>
              <w:jc w:val="center"/>
              <w:rPr>
                <w:sz w:val="21"/>
                <w:szCs w:val="21"/>
                <w:highlight w:val="gree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Align w:val="center"/>
          </w:tcPr>
          <w:p>
            <w:pPr>
              <w:spacing w:line="240" w:lineRule="auto"/>
              <w:ind w:firstLine="0" w:firstLineChars="0"/>
              <w:jc w:val="center"/>
              <w:rPr>
                <w:sz w:val="21"/>
                <w:szCs w:val="21"/>
                <w:highlight w:val="green"/>
              </w:rPr>
            </w:pPr>
            <w:r>
              <w:rPr>
                <w:sz w:val="21"/>
                <w:szCs w:val="21"/>
                <w:highlight w:val="green"/>
              </w:rPr>
              <w:t>简单防渗区</w:t>
            </w:r>
          </w:p>
        </w:tc>
        <w:tc>
          <w:tcPr>
            <w:tcW w:w="1202" w:type="dxa"/>
            <w:vAlign w:val="center"/>
          </w:tcPr>
          <w:p>
            <w:pPr>
              <w:spacing w:line="240" w:lineRule="auto"/>
              <w:ind w:firstLine="0" w:firstLineChars="0"/>
              <w:jc w:val="center"/>
              <w:rPr>
                <w:sz w:val="21"/>
                <w:szCs w:val="21"/>
                <w:highlight w:val="green"/>
              </w:rPr>
            </w:pPr>
            <w:r>
              <w:rPr>
                <w:sz w:val="21"/>
                <w:szCs w:val="21"/>
                <w:highlight w:val="green"/>
              </w:rPr>
              <w:t>中-强</w:t>
            </w:r>
          </w:p>
        </w:tc>
        <w:tc>
          <w:tcPr>
            <w:tcW w:w="1105" w:type="dxa"/>
            <w:vAlign w:val="center"/>
          </w:tcPr>
          <w:p>
            <w:pPr>
              <w:spacing w:line="240" w:lineRule="auto"/>
              <w:ind w:firstLine="0" w:firstLineChars="0"/>
              <w:jc w:val="center"/>
              <w:rPr>
                <w:sz w:val="21"/>
                <w:szCs w:val="21"/>
                <w:highlight w:val="green"/>
              </w:rPr>
            </w:pPr>
            <w:r>
              <w:rPr>
                <w:sz w:val="21"/>
                <w:szCs w:val="21"/>
                <w:highlight w:val="green"/>
              </w:rPr>
              <w:t>易</w:t>
            </w:r>
          </w:p>
        </w:tc>
        <w:tc>
          <w:tcPr>
            <w:tcW w:w="1606" w:type="dxa"/>
            <w:vAlign w:val="center"/>
          </w:tcPr>
          <w:p>
            <w:pPr>
              <w:spacing w:line="240" w:lineRule="auto"/>
              <w:ind w:firstLine="0" w:firstLineChars="0"/>
              <w:jc w:val="center"/>
              <w:rPr>
                <w:sz w:val="21"/>
                <w:szCs w:val="21"/>
                <w:highlight w:val="green"/>
              </w:rPr>
            </w:pPr>
            <w:r>
              <w:rPr>
                <w:sz w:val="21"/>
                <w:szCs w:val="21"/>
                <w:highlight w:val="green"/>
              </w:rPr>
              <w:t>其他类型</w:t>
            </w:r>
          </w:p>
        </w:tc>
        <w:tc>
          <w:tcPr>
            <w:tcW w:w="3794" w:type="dxa"/>
            <w:vAlign w:val="center"/>
          </w:tcPr>
          <w:p>
            <w:pPr>
              <w:spacing w:line="240" w:lineRule="auto"/>
              <w:ind w:firstLine="0" w:firstLineChars="0"/>
              <w:jc w:val="center"/>
              <w:rPr>
                <w:sz w:val="21"/>
                <w:szCs w:val="21"/>
                <w:highlight w:val="green"/>
              </w:rPr>
            </w:pPr>
            <w:r>
              <w:rPr>
                <w:sz w:val="21"/>
                <w:szCs w:val="21"/>
                <w:highlight w:val="green"/>
              </w:rPr>
              <w:t>一般地面硬化</w:t>
            </w:r>
          </w:p>
        </w:tc>
      </w:tr>
    </w:tbl>
    <w:p>
      <w:pPr>
        <w:pStyle w:val="20"/>
        <w:spacing w:before="120" w:beforeLines="50" w:after="0"/>
        <w:ind w:left="0" w:leftChars="0"/>
        <w:jc w:val="center"/>
        <w:rPr>
          <w:rFonts w:eastAsia="黑体"/>
          <w:sz w:val="21"/>
          <w:szCs w:val="21"/>
          <w:highlight w:val="green"/>
        </w:rPr>
      </w:pPr>
    </w:p>
    <w:p>
      <w:pPr>
        <w:pStyle w:val="20"/>
        <w:spacing w:before="120" w:beforeLines="50" w:after="0"/>
        <w:ind w:left="0" w:leftChars="0"/>
        <w:jc w:val="center"/>
        <w:rPr>
          <w:rFonts w:eastAsia="黑体"/>
          <w:sz w:val="21"/>
          <w:szCs w:val="21"/>
          <w:highlight w:val="green"/>
        </w:rPr>
      </w:pPr>
      <w:r>
        <w:rPr>
          <w:rFonts w:eastAsia="黑体"/>
          <w:sz w:val="21"/>
          <w:szCs w:val="21"/>
          <w:highlight w:val="green"/>
        </w:rPr>
        <w:t>表6.2-4防渗分区一览表</w:t>
      </w:r>
    </w:p>
    <w:tbl>
      <w:tblPr>
        <w:tblStyle w:val="48"/>
        <w:tblW w:w="8368"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2438"/>
        <w:gridCol w:w="1135"/>
        <w:gridCol w:w="1035"/>
        <w:gridCol w:w="2089"/>
        <w:gridCol w:w="1671"/>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PrEx>
        <w:trPr>
          <w:tblHeader/>
          <w:jc w:val="center"/>
        </w:trPr>
        <w:tc>
          <w:tcPr>
            <w:tcW w:w="2438" w:type="dxa"/>
            <w:vAlign w:val="center"/>
          </w:tcPr>
          <w:p>
            <w:pPr>
              <w:spacing w:line="240" w:lineRule="auto"/>
              <w:ind w:firstLine="2" w:firstLineChars="1"/>
              <w:jc w:val="center"/>
              <w:rPr>
                <w:sz w:val="21"/>
                <w:szCs w:val="21"/>
                <w:highlight w:val="green"/>
              </w:rPr>
            </w:pPr>
            <w:r>
              <w:rPr>
                <w:sz w:val="21"/>
                <w:szCs w:val="21"/>
                <w:highlight w:val="green"/>
              </w:rPr>
              <w:t>防渗区域</w:t>
            </w:r>
          </w:p>
        </w:tc>
        <w:tc>
          <w:tcPr>
            <w:tcW w:w="1135" w:type="dxa"/>
            <w:vAlign w:val="center"/>
          </w:tcPr>
          <w:p>
            <w:pPr>
              <w:spacing w:line="240" w:lineRule="auto"/>
              <w:ind w:firstLine="0" w:firstLineChars="0"/>
              <w:rPr>
                <w:sz w:val="21"/>
                <w:szCs w:val="21"/>
                <w:highlight w:val="green"/>
              </w:rPr>
            </w:pPr>
            <w:r>
              <w:rPr>
                <w:sz w:val="21"/>
                <w:szCs w:val="21"/>
                <w:highlight w:val="green"/>
              </w:rPr>
              <w:t>天然包气带防污性能</w:t>
            </w:r>
          </w:p>
        </w:tc>
        <w:tc>
          <w:tcPr>
            <w:tcW w:w="1035" w:type="dxa"/>
            <w:vAlign w:val="center"/>
          </w:tcPr>
          <w:p>
            <w:pPr>
              <w:spacing w:line="240" w:lineRule="auto"/>
              <w:ind w:firstLine="0" w:firstLineChars="0"/>
              <w:rPr>
                <w:sz w:val="21"/>
                <w:szCs w:val="21"/>
                <w:highlight w:val="green"/>
              </w:rPr>
            </w:pPr>
            <w:r>
              <w:rPr>
                <w:sz w:val="21"/>
                <w:szCs w:val="21"/>
                <w:highlight w:val="green"/>
              </w:rPr>
              <w:t>污染控制难易程度</w:t>
            </w:r>
          </w:p>
        </w:tc>
        <w:tc>
          <w:tcPr>
            <w:tcW w:w="2089" w:type="dxa"/>
            <w:vAlign w:val="center"/>
          </w:tcPr>
          <w:p>
            <w:pPr>
              <w:spacing w:line="240" w:lineRule="auto"/>
              <w:ind w:firstLine="420"/>
              <w:rPr>
                <w:sz w:val="21"/>
                <w:szCs w:val="21"/>
                <w:highlight w:val="green"/>
              </w:rPr>
            </w:pPr>
            <w:r>
              <w:rPr>
                <w:sz w:val="21"/>
                <w:szCs w:val="21"/>
                <w:highlight w:val="green"/>
              </w:rPr>
              <w:t>污染物类型</w:t>
            </w:r>
          </w:p>
        </w:tc>
        <w:tc>
          <w:tcPr>
            <w:tcW w:w="1671" w:type="dxa"/>
            <w:vAlign w:val="center"/>
          </w:tcPr>
          <w:p>
            <w:pPr>
              <w:spacing w:line="240" w:lineRule="auto"/>
              <w:ind w:firstLine="420"/>
              <w:rPr>
                <w:sz w:val="21"/>
                <w:szCs w:val="21"/>
                <w:highlight w:val="green"/>
              </w:rPr>
            </w:pPr>
            <w:r>
              <w:rPr>
                <w:sz w:val="21"/>
                <w:szCs w:val="21"/>
                <w:highlight w:val="green"/>
              </w:rPr>
              <w:t>防渗分区</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2438" w:type="dxa"/>
            <w:vAlign w:val="center"/>
          </w:tcPr>
          <w:p>
            <w:pPr>
              <w:spacing w:line="240" w:lineRule="auto"/>
              <w:ind w:firstLine="2" w:firstLineChars="1"/>
              <w:jc w:val="center"/>
              <w:rPr>
                <w:sz w:val="21"/>
                <w:szCs w:val="21"/>
                <w:highlight w:val="green"/>
              </w:rPr>
            </w:pPr>
            <w:r>
              <w:rPr>
                <w:sz w:val="21"/>
                <w:szCs w:val="21"/>
                <w:highlight w:val="green"/>
              </w:rPr>
              <w:t>危废暂存间</w:t>
            </w:r>
          </w:p>
        </w:tc>
        <w:tc>
          <w:tcPr>
            <w:tcW w:w="1135" w:type="dxa"/>
            <w:vAlign w:val="center"/>
          </w:tcPr>
          <w:p>
            <w:pPr>
              <w:spacing w:line="240" w:lineRule="auto"/>
              <w:ind w:firstLine="0" w:firstLineChars="0"/>
              <w:jc w:val="center"/>
              <w:rPr>
                <w:sz w:val="21"/>
                <w:szCs w:val="21"/>
                <w:highlight w:val="green"/>
              </w:rPr>
            </w:pPr>
            <w:r>
              <w:rPr>
                <w:sz w:val="21"/>
                <w:szCs w:val="21"/>
                <w:highlight w:val="green"/>
              </w:rPr>
              <w:t>中</w:t>
            </w:r>
          </w:p>
        </w:tc>
        <w:tc>
          <w:tcPr>
            <w:tcW w:w="1035" w:type="dxa"/>
            <w:vAlign w:val="center"/>
          </w:tcPr>
          <w:p>
            <w:pPr>
              <w:spacing w:line="240" w:lineRule="auto"/>
              <w:ind w:firstLine="0" w:firstLineChars="0"/>
              <w:jc w:val="center"/>
              <w:rPr>
                <w:sz w:val="21"/>
                <w:szCs w:val="21"/>
                <w:highlight w:val="green"/>
              </w:rPr>
            </w:pPr>
            <w:r>
              <w:rPr>
                <w:sz w:val="21"/>
                <w:szCs w:val="21"/>
                <w:highlight w:val="green"/>
              </w:rPr>
              <w:t>难</w:t>
            </w:r>
          </w:p>
        </w:tc>
        <w:tc>
          <w:tcPr>
            <w:tcW w:w="2089" w:type="dxa"/>
            <w:vAlign w:val="center"/>
          </w:tcPr>
          <w:p>
            <w:pPr>
              <w:spacing w:line="240" w:lineRule="auto"/>
              <w:ind w:firstLine="420"/>
              <w:rPr>
                <w:sz w:val="21"/>
                <w:szCs w:val="21"/>
                <w:highlight w:val="green"/>
              </w:rPr>
            </w:pPr>
            <w:r>
              <w:rPr>
                <w:sz w:val="21"/>
                <w:szCs w:val="21"/>
                <w:highlight w:val="green"/>
              </w:rPr>
              <w:t>持久性污染物</w:t>
            </w:r>
          </w:p>
        </w:tc>
        <w:tc>
          <w:tcPr>
            <w:tcW w:w="1671" w:type="dxa"/>
            <w:vAlign w:val="center"/>
          </w:tcPr>
          <w:p>
            <w:pPr>
              <w:spacing w:line="240" w:lineRule="auto"/>
              <w:ind w:firstLine="420"/>
              <w:rPr>
                <w:sz w:val="21"/>
                <w:szCs w:val="21"/>
                <w:highlight w:val="green"/>
              </w:rPr>
            </w:pPr>
            <w:r>
              <w:rPr>
                <w:sz w:val="21"/>
                <w:szCs w:val="21"/>
                <w:highlight w:val="green"/>
              </w:rPr>
              <w:t>重点防渗区</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771" w:hRule="atLeast"/>
          <w:jc w:val="center"/>
        </w:trPr>
        <w:tc>
          <w:tcPr>
            <w:tcW w:w="2438" w:type="dxa"/>
            <w:vAlign w:val="center"/>
          </w:tcPr>
          <w:p>
            <w:pPr>
              <w:spacing w:line="240" w:lineRule="auto"/>
              <w:ind w:firstLine="2" w:firstLineChars="1"/>
              <w:jc w:val="center"/>
              <w:rPr>
                <w:sz w:val="21"/>
                <w:szCs w:val="21"/>
                <w:highlight w:val="green"/>
              </w:rPr>
            </w:pPr>
            <w:r>
              <w:rPr>
                <w:rFonts w:hint="eastAsia"/>
                <w:sz w:val="21"/>
                <w:szCs w:val="21"/>
                <w:highlight w:val="green"/>
              </w:rPr>
              <w:t>粗</w:t>
            </w:r>
            <w:r>
              <w:rPr>
                <w:sz w:val="21"/>
                <w:szCs w:val="21"/>
                <w:highlight w:val="green"/>
              </w:rPr>
              <w:t>精粉库、破碎车间、球磨车间、尾矿</w:t>
            </w:r>
            <w:r>
              <w:rPr>
                <w:rFonts w:hint="eastAsia"/>
                <w:sz w:val="21"/>
                <w:szCs w:val="21"/>
                <w:highlight w:val="green"/>
              </w:rPr>
              <w:t>砂库</w:t>
            </w:r>
            <w:r>
              <w:rPr>
                <w:sz w:val="21"/>
                <w:szCs w:val="21"/>
                <w:highlight w:val="green"/>
              </w:rPr>
              <w:t>、浓密池、压滤</w:t>
            </w:r>
            <w:r>
              <w:rPr>
                <w:rFonts w:hint="eastAsia"/>
                <w:sz w:val="21"/>
                <w:szCs w:val="21"/>
                <w:highlight w:val="green"/>
              </w:rPr>
              <w:t>车间</w:t>
            </w:r>
            <w:r>
              <w:rPr>
                <w:sz w:val="21"/>
                <w:szCs w:val="21"/>
                <w:highlight w:val="green"/>
              </w:rPr>
              <w:t>、</w:t>
            </w:r>
            <w:r>
              <w:rPr>
                <w:rFonts w:hint="eastAsia"/>
                <w:sz w:val="21"/>
                <w:szCs w:val="21"/>
                <w:highlight w:val="green"/>
              </w:rPr>
              <w:t>精选车间、成品库、</w:t>
            </w:r>
            <w:r>
              <w:rPr>
                <w:sz w:val="21"/>
                <w:szCs w:val="21"/>
                <w:highlight w:val="green"/>
              </w:rPr>
              <w:t>事故池</w:t>
            </w:r>
            <w:r>
              <w:rPr>
                <w:rFonts w:hint="eastAsia"/>
                <w:sz w:val="21"/>
                <w:szCs w:val="21"/>
                <w:highlight w:val="green"/>
              </w:rPr>
              <w:t>、清水池</w:t>
            </w:r>
            <w:r>
              <w:rPr>
                <w:sz w:val="21"/>
                <w:szCs w:val="21"/>
                <w:highlight w:val="green"/>
              </w:rPr>
              <w:t>、洗车平台</w:t>
            </w:r>
          </w:p>
        </w:tc>
        <w:tc>
          <w:tcPr>
            <w:tcW w:w="1135" w:type="dxa"/>
            <w:vAlign w:val="center"/>
          </w:tcPr>
          <w:p>
            <w:pPr>
              <w:spacing w:line="240" w:lineRule="auto"/>
              <w:ind w:firstLine="2" w:firstLineChars="1"/>
              <w:jc w:val="center"/>
              <w:rPr>
                <w:sz w:val="21"/>
                <w:szCs w:val="21"/>
                <w:highlight w:val="green"/>
              </w:rPr>
            </w:pPr>
            <w:r>
              <w:rPr>
                <w:sz w:val="21"/>
                <w:szCs w:val="21"/>
                <w:highlight w:val="green"/>
              </w:rPr>
              <w:t>中</w:t>
            </w:r>
          </w:p>
        </w:tc>
        <w:tc>
          <w:tcPr>
            <w:tcW w:w="1035" w:type="dxa"/>
            <w:vAlign w:val="center"/>
          </w:tcPr>
          <w:p>
            <w:pPr>
              <w:spacing w:line="240" w:lineRule="auto"/>
              <w:ind w:firstLine="2" w:firstLineChars="1"/>
              <w:jc w:val="center"/>
              <w:rPr>
                <w:sz w:val="21"/>
                <w:szCs w:val="21"/>
                <w:highlight w:val="green"/>
              </w:rPr>
            </w:pPr>
            <w:r>
              <w:rPr>
                <w:sz w:val="21"/>
                <w:szCs w:val="21"/>
                <w:highlight w:val="green"/>
              </w:rPr>
              <w:t>难</w:t>
            </w:r>
          </w:p>
        </w:tc>
        <w:tc>
          <w:tcPr>
            <w:tcW w:w="2089" w:type="dxa"/>
            <w:vMerge w:val="restart"/>
            <w:vAlign w:val="center"/>
          </w:tcPr>
          <w:p>
            <w:pPr>
              <w:spacing w:line="240" w:lineRule="auto"/>
              <w:ind w:firstLine="2" w:firstLineChars="1"/>
              <w:jc w:val="center"/>
              <w:rPr>
                <w:sz w:val="21"/>
                <w:szCs w:val="21"/>
                <w:highlight w:val="green"/>
              </w:rPr>
            </w:pPr>
            <w:r>
              <w:rPr>
                <w:sz w:val="21"/>
                <w:szCs w:val="21"/>
                <w:highlight w:val="green"/>
              </w:rPr>
              <w:t>其他类型</w:t>
            </w:r>
          </w:p>
        </w:tc>
        <w:tc>
          <w:tcPr>
            <w:tcW w:w="1671" w:type="dxa"/>
            <w:vAlign w:val="center"/>
          </w:tcPr>
          <w:p>
            <w:pPr>
              <w:spacing w:line="240" w:lineRule="auto"/>
              <w:ind w:firstLine="2" w:firstLineChars="1"/>
              <w:jc w:val="center"/>
              <w:rPr>
                <w:sz w:val="21"/>
                <w:szCs w:val="21"/>
                <w:highlight w:val="green"/>
              </w:rPr>
            </w:pPr>
            <w:r>
              <w:rPr>
                <w:sz w:val="21"/>
                <w:szCs w:val="21"/>
                <w:highlight w:val="green"/>
              </w:rPr>
              <w:t>一般防渗区</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32" w:hRule="atLeast"/>
          <w:jc w:val="center"/>
        </w:trPr>
        <w:tc>
          <w:tcPr>
            <w:tcW w:w="2438" w:type="dxa"/>
            <w:vAlign w:val="center"/>
          </w:tcPr>
          <w:p>
            <w:pPr>
              <w:spacing w:line="240" w:lineRule="auto"/>
              <w:ind w:firstLine="2" w:firstLineChars="1"/>
              <w:jc w:val="center"/>
              <w:rPr>
                <w:sz w:val="21"/>
                <w:szCs w:val="21"/>
                <w:highlight w:val="green"/>
              </w:rPr>
            </w:pPr>
            <w:r>
              <w:rPr>
                <w:sz w:val="21"/>
                <w:szCs w:val="21"/>
                <w:highlight w:val="green"/>
              </w:rPr>
              <w:t>办公区、库房</w:t>
            </w:r>
          </w:p>
        </w:tc>
        <w:tc>
          <w:tcPr>
            <w:tcW w:w="1135" w:type="dxa"/>
            <w:vAlign w:val="center"/>
          </w:tcPr>
          <w:p>
            <w:pPr>
              <w:spacing w:line="240" w:lineRule="auto"/>
              <w:ind w:firstLine="2" w:firstLineChars="1"/>
              <w:jc w:val="center"/>
              <w:rPr>
                <w:sz w:val="21"/>
                <w:szCs w:val="21"/>
                <w:highlight w:val="green"/>
              </w:rPr>
            </w:pPr>
            <w:r>
              <w:rPr>
                <w:sz w:val="21"/>
                <w:szCs w:val="21"/>
                <w:highlight w:val="green"/>
              </w:rPr>
              <w:t>中</w:t>
            </w:r>
          </w:p>
        </w:tc>
        <w:tc>
          <w:tcPr>
            <w:tcW w:w="1035" w:type="dxa"/>
            <w:vAlign w:val="center"/>
          </w:tcPr>
          <w:p>
            <w:pPr>
              <w:spacing w:line="240" w:lineRule="auto"/>
              <w:ind w:firstLine="2" w:firstLineChars="1"/>
              <w:jc w:val="center"/>
              <w:rPr>
                <w:sz w:val="21"/>
                <w:szCs w:val="21"/>
                <w:highlight w:val="green"/>
              </w:rPr>
            </w:pPr>
            <w:r>
              <w:rPr>
                <w:sz w:val="21"/>
                <w:szCs w:val="21"/>
                <w:highlight w:val="green"/>
              </w:rPr>
              <w:t>易</w:t>
            </w:r>
          </w:p>
        </w:tc>
        <w:tc>
          <w:tcPr>
            <w:tcW w:w="2089" w:type="dxa"/>
            <w:vMerge w:val="continue"/>
            <w:vAlign w:val="center"/>
          </w:tcPr>
          <w:p>
            <w:pPr>
              <w:spacing w:line="240" w:lineRule="auto"/>
              <w:ind w:firstLine="2" w:firstLineChars="1"/>
              <w:jc w:val="center"/>
              <w:rPr>
                <w:sz w:val="21"/>
                <w:szCs w:val="21"/>
                <w:highlight w:val="green"/>
              </w:rPr>
            </w:pPr>
          </w:p>
        </w:tc>
        <w:tc>
          <w:tcPr>
            <w:tcW w:w="1671" w:type="dxa"/>
            <w:vAlign w:val="center"/>
          </w:tcPr>
          <w:p>
            <w:pPr>
              <w:spacing w:line="240" w:lineRule="auto"/>
              <w:ind w:firstLine="2" w:firstLineChars="1"/>
              <w:jc w:val="center"/>
              <w:rPr>
                <w:sz w:val="21"/>
                <w:szCs w:val="21"/>
                <w:highlight w:val="green"/>
              </w:rPr>
            </w:pPr>
            <w:r>
              <w:rPr>
                <w:sz w:val="21"/>
                <w:szCs w:val="21"/>
                <w:highlight w:val="green"/>
              </w:rPr>
              <w:t>简单防渗区</w:t>
            </w:r>
          </w:p>
        </w:tc>
      </w:tr>
    </w:tbl>
    <w:p>
      <w:pPr>
        <w:autoSpaceDE w:val="0"/>
        <w:autoSpaceDN w:val="0"/>
        <w:ind w:firstLine="480"/>
        <w:rPr>
          <w:sz w:val="24"/>
          <w:szCs w:val="24"/>
          <w:highlight w:val="green"/>
        </w:rPr>
      </w:pPr>
      <w:r>
        <w:rPr>
          <w:sz w:val="24"/>
          <w:szCs w:val="24"/>
          <w:highlight w:val="green"/>
        </w:rPr>
        <w:t>（2）具体防渗措施</w:t>
      </w:r>
    </w:p>
    <w:p>
      <w:pPr>
        <w:widowControl/>
        <w:autoSpaceDN w:val="0"/>
        <w:ind w:firstLine="480"/>
        <w:rPr>
          <w:sz w:val="24"/>
          <w:szCs w:val="24"/>
          <w:highlight w:val="green"/>
        </w:rPr>
      </w:pPr>
      <w:r>
        <w:rPr>
          <w:sz w:val="24"/>
          <w:szCs w:val="24"/>
          <w:highlight w:val="green"/>
        </w:rPr>
        <w:t>根据地下水污染防渗分区表6.2-4，本项目按重点防渗区、一般防渗区和简单防渗区分区域进行防渗处理。</w:t>
      </w:r>
    </w:p>
    <w:p>
      <w:pPr>
        <w:widowControl/>
        <w:autoSpaceDN w:val="0"/>
        <w:ind w:firstLine="480"/>
        <w:rPr>
          <w:sz w:val="24"/>
          <w:szCs w:val="24"/>
          <w:highlight w:val="green"/>
        </w:rPr>
      </w:pPr>
      <w:r>
        <w:rPr>
          <w:sz w:val="24"/>
          <w:szCs w:val="24"/>
          <w:highlight w:val="green"/>
        </w:rPr>
        <w:t>重点防渗区：危废暂存间；一般防渗区包括：原料</w:t>
      </w:r>
      <w:r>
        <w:rPr>
          <w:rFonts w:hint="eastAsia"/>
          <w:sz w:val="24"/>
          <w:szCs w:val="24"/>
          <w:highlight w:val="green"/>
          <w:lang w:val="en-US" w:eastAsia="zh-CN"/>
        </w:rPr>
        <w:t>棚</w:t>
      </w:r>
      <w:r>
        <w:rPr>
          <w:sz w:val="24"/>
          <w:szCs w:val="24"/>
          <w:highlight w:val="green"/>
        </w:rPr>
        <w:t>、</w:t>
      </w:r>
      <w:r>
        <w:rPr>
          <w:rFonts w:hint="eastAsia"/>
          <w:sz w:val="24"/>
          <w:szCs w:val="24"/>
          <w:highlight w:val="green"/>
        </w:rPr>
        <w:t>粗</w:t>
      </w:r>
      <w:r>
        <w:rPr>
          <w:sz w:val="24"/>
          <w:szCs w:val="24"/>
          <w:highlight w:val="green"/>
        </w:rPr>
        <w:t>精粉库、破碎车间、球磨车间、</w:t>
      </w:r>
      <w:r>
        <w:rPr>
          <w:rFonts w:hint="eastAsia"/>
          <w:sz w:val="24"/>
          <w:szCs w:val="24"/>
          <w:highlight w:val="green"/>
        </w:rPr>
        <w:t>压滤车间</w:t>
      </w:r>
      <w:r>
        <w:rPr>
          <w:sz w:val="24"/>
          <w:szCs w:val="24"/>
          <w:highlight w:val="green"/>
        </w:rPr>
        <w:t>、</w:t>
      </w:r>
      <w:r>
        <w:rPr>
          <w:rFonts w:hint="eastAsia"/>
          <w:sz w:val="24"/>
          <w:szCs w:val="24"/>
          <w:highlight w:val="green"/>
        </w:rPr>
        <w:t>成品库、</w:t>
      </w:r>
      <w:r>
        <w:rPr>
          <w:sz w:val="24"/>
          <w:szCs w:val="24"/>
          <w:highlight w:val="green"/>
        </w:rPr>
        <w:t>浓密池、事故池</w:t>
      </w:r>
      <w:r>
        <w:rPr>
          <w:rFonts w:hint="eastAsia"/>
          <w:sz w:val="24"/>
          <w:szCs w:val="24"/>
          <w:highlight w:val="green"/>
        </w:rPr>
        <w:t>、清水池</w:t>
      </w:r>
      <w:r>
        <w:rPr>
          <w:sz w:val="24"/>
          <w:szCs w:val="24"/>
          <w:highlight w:val="green"/>
        </w:rPr>
        <w:t>；简单防渗区包括办公区、库房和洗车平台。按照《环境影响评价导则—地下水环境》（HJ610-2016）分区防渗措施要求以及相关规范，并结合厂区实际情况，拟建工程防渗工程设计标准及维护需满足下列要求：</w:t>
      </w:r>
    </w:p>
    <w:p>
      <w:pPr>
        <w:ind w:firstLine="480"/>
        <w:jc w:val="both"/>
        <w:rPr>
          <w:sz w:val="24"/>
          <w:highlight w:val="green"/>
        </w:rPr>
      </w:pPr>
      <w:r>
        <w:rPr>
          <w:rFonts w:hint="eastAsia" w:ascii="宋体" w:hAnsi="宋体" w:cs="宋体"/>
          <w:sz w:val="24"/>
          <w:highlight w:val="green"/>
        </w:rPr>
        <w:t>①</w:t>
      </w:r>
      <w:r>
        <w:rPr>
          <w:sz w:val="24"/>
          <w:highlight w:val="green"/>
        </w:rPr>
        <w:t>重点防渗区：危废储存间按《危险废物贮存污染控制标准》（GB18597-20</w:t>
      </w:r>
      <w:r>
        <w:rPr>
          <w:rFonts w:hint="eastAsia"/>
          <w:sz w:val="24"/>
          <w:highlight w:val="green"/>
          <w:lang w:val="en-US" w:eastAsia="zh-CN"/>
        </w:rPr>
        <w:t>23</w:t>
      </w:r>
      <w:r>
        <w:rPr>
          <w:sz w:val="24"/>
          <w:highlight w:val="green"/>
        </w:rPr>
        <w:t>）关于防渗要求处理：地面与裙脚采用土工膜（2mm）防渗，地面及裙角均采取抗渗水泥防渗，地面水泥厚度为20cm；裙角高度1.5m，厚度20cm，地面及四周裙脚均应耐腐蚀，耐热且表面无裂隙，同时设置泄漏液体的收集装置。防渗层渗透系数小于</w:t>
      </w:r>
      <w:r>
        <w:rPr>
          <w:rFonts w:hint="eastAsia"/>
          <w:sz w:val="24"/>
          <w:highlight w:val="green"/>
        </w:rPr>
        <w:t>1.0</w:t>
      </w:r>
      <w:r>
        <w:rPr>
          <w:rFonts w:hint="eastAsia" w:ascii="宋体" w:hAnsi="宋体"/>
          <w:sz w:val="24"/>
          <w:highlight w:val="green"/>
        </w:rPr>
        <w:t>×</w:t>
      </w:r>
      <w:r>
        <w:rPr>
          <w:sz w:val="24"/>
          <w:highlight w:val="green"/>
        </w:rPr>
        <w:t>10</w:t>
      </w:r>
      <w:r>
        <w:rPr>
          <w:sz w:val="24"/>
          <w:highlight w:val="green"/>
          <w:vertAlign w:val="superscript"/>
        </w:rPr>
        <w:t>-10</w:t>
      </w:r>
      <w:r>
        <w:rPr>
          <w:sz w:val="24"/>
          <w:highlight w:val="green"/>
        </w:rPr>
        <w:t>cm/s。</w:t>
      </w:r>
    </w:p>
    <w:p>
      <w:pPr>
        <w:ind w:firstLine="480"/>
        <w:rPr>
          <w:sz w:val="24"/>
          <w:szCs w:val="24"/>
          <w:highlight w:val="green"/>
        </w:rPr>
      </w:pPr>
      <w:r>
        <w:rPr>
          <w:rFonts w:hint="eastAsia" w:ascii="宋体" w:hAnsi="宋体" w:cs="宋体"/>
          <w:sz w:val="24"/>
          <w:highlight w:val="green"/>
        </w:rPr>
        <w:t>②</w:t>
      </w:r>
      <w:r>
        <w:rPr>
          <w:sz w:val="24"/>
          <w:highlight w:val="green"/>
        </w:rPr>
        <w:t>一般污染防治区：</w:t>
      </w:r>
      <w:r>
        <w:rPr>
          <w:rFonts w:hint="eastAsia"/>
          <w:sz w:val="24"/>
          <w:szCs w:val="24"/>
          <w:highlight w:val="green"/>
        </w:rPr>
        <w:t>粗</w:t>
      </w:r>
      <w:r>
        <w:rPr>
          <w:sz w:val="24"/>
          <w:szCs w:val="24"/>
          <w:highlight w:val="green"/>
        </w:rPr>
        <w:t>精粉库、破碎车间、球磨车间、</w:t>
      </w:r>
      <w:r>
        <w:rPr>
          <w:rFonts w:hint="eastAsia"/>
          <w:sz w:val="24"/>
          <w:szCs w:val="24"/>
          <w:highlight w:val="green"/>
        </w:rPr>
        <w:t>压滤车间</w:t>
      </w:r>
      <w:r>
        <w:rPr>
          <w:sz w:val="24"/>
          <w:szCs w:val="24"/>
          <w:highlight w:val="green"/>
        </w:rPr>
        <w:t>、</w:t>
      </w:r>
      <w:r>
        <w:rPr>
          <w:rFonts w:hint="eastAsia"/>
          <w:sz w:val="24"/>
          <w:szCs w:val="24"/>
          <w:highlight w:val="green"/>
        </w:rPr>
        <w:t>成品库、精选车间、</w:t>
      </w:r>
      <w:r>
        <w:rPr>
          <w:sz w:val="24"/>
          <w:szCs w:val="24"/>
          <w:highlight w:val="green"/>
        </w:rPr>
        <w:t>浓密池、事故池</w:t>
      </w:r>
      <w:r>
        <w:rPr>
          <w:rFonts w:hint="eastAsia"/>
          <w:sz w:val="24"/>
          <w:szCs w:val="24"/>
          <w:highlight w:val="green"/>
        </w:rPr>
        <w:t>、清水池、洗车平台</w:t>
      </w:r>
      <w:r>
        <w:rPr>
          <w:sz w:val="24"/>
          <w:highlight w:val="green"/>
        </w:rPr>
        <w:t>地面采用防渗混凝土结构，厚度为20cm，防渗系数≤</w:t>
      </w:r>
      <w:r>
        <w:rPr>
          <w:rFonts w:hint="eastAsia"/>
          <w:sz w:val="24"/>
          <w:highlight w:val="green"/>
        </w:rPr>
        <w:t>1.0</w:t>
      </w:r>
      <w:r>
        <w:rPr>
          <w:rFonts w:hint="eastAsia" w:ascii="宋体" w:hAnsi="宋体"/>
          <w:sz w:val="24"/>
          <w:highlight w:val="green"/>
        </w:rPr>
        <w:t>×</w:t>
      </w:r>
      <w:r>
        <w:rPr>
          <w:sz w:val="24"/>
          <w:highlight w:val="green"/>
        </w:rPr>
        <w:t>10</w:t>
      </w:r>
      <w:r>
        <w:rPr>
          <w:sz w:val="24"/>
          <w:highlight w:val="green"/>
          <w:vertAlign w:val="superscript"/>
        </w:rPr>
        <w:t>-7</w:t>
      </w:r>
      <w:r>
        <w:rPr>
          <w:sz w:val="24"/>
          <w:highlight w:val="green"/>
        </w:rPr>
        <w:t>cm/s。事故池底部及四壁均采用混凝土浇筑防渗，厚度为20cm，防渗系数小于1×10</w:t>
      </w:r>
      <w:r>
        <w:rPr>
          <w:sz w:val="24"/>
          <w:highlight w:val="green"/>
          <w:vertAlign w:val="superscript"/>
        </w:rPr>
        <w:t>-7</w:t>
      </w:r>
      <w:r>
        <w:rPr>
          <w:sz w:val="24"/>
          <w:highlight w:val="green"/>
        </w:rPr>
        <w:t>cm/s。</w:t>
      </w:r>
    </w:p>
    <w:p>
      <w:pPr>
        <w:widowControl/>
        <w:autoSpaceDN w:val="0"/>
        <w:ind w:firstLine="480"/>
        <w:rPr>
          <w:sz w:val="24"/>
          <w:szCs w:val="24"/>
          <w:highlight w:val="green"/>
        </w:rPr>
      </w:pPr>
      <w:r>
        <w:rPr>
          <w:rFonts w:hint="eastAsia" w:ascii="宋体" w:hAnsi="宋体" w:cs="宋体"/>
          <w:sz w:val="24"/>
          <w:highlight w:val="green"/>
        </w:rPr>
        <w:t>②</w:t>
      </w:r>
      <w:r>
        <w:rPr>
          <w:sz w:val="24"/>
          <w:highlight w:val="green"/>
        </w:rPr>
        <w:t>简单防渗区：一般地面硬化即可</w:t>
      </w:r>
      <w:r>
        <w:rPr>
          <w:sz w:val="24"/>
          <w:szCs w:val="24"/>
          <w:highlight w:val="green"/>
        </w:rPr>
        <w:t>。</w:t>
      </w:r>
    </w:p>
    <w:p>
      <w:pPr>
        <w:pStyle w:val="3"/>
        <w:rPr>
          <w:highlight w:val="green"/>
        </w:rPr>
      </w:pPr>
      <w:bookmarkStart w:id="563" w:name="_Toc7751"/>
      <w:bookmarkStart w:id="564" w:name="_Toc28967"/>
      <w:bookmarkStart w:id="565" w:name="_Toc494006683"/>
      <w:bookmarkStart w:id="566" w:name="_Toc16992"/>
      <w:bookmarkStart w:id="567" w:name="_Toc16679"/>
      <w:r>
        <w:rPr>
          <w:rFonts w:hint="eastAsia"/>
          <w:highlight w:val="green"/>
        </w:rPr>
        <w:t>6.2.3.4</w:t>
      </w:r>
      <w:r>
        <w:rPr>
          <w:highlight w:val="green"/>
        </w:rPr>
        <w:t>地下水环境质量监测、管理</w:t>
      </w:r>
      <w:bookmarkEnd w:id="563"/>
    </w:p>
    <w:p>
      <w:pPr>
        <w:widowControl/>
        <w:autoSpaceDN w:val="0"/>
        <w:ind w:firstLine="480"/>
        <w:rPr>
          <w:sz w:val="24"/>
          <w:szCs w:val="24"/>
          <w:highlight w:val="green"/>
        </w:rPr>
      </w:pPr>
      <w:r>
        <w:rPr>
          <w:sz w:val="24"/>
          <w:szCs w:val="24"/>
          <w:highlight w:val="green"/>
        </w:rPr>
        <w:t>为了及时准确地掌握厂区所在地周围地下水环境质量状况和地下水体中污染物的动态变化情况，应对该厂区所在区域地下水环境质量进行定期的监测，防止或最大限度的减轻厂区对地下水的污染。</w:t>
      </w:r>
    </w:p>
    <w:p>
      <w:pPr>
        <w:widowControl/>
        <w:autoSpaceDN w:val="0"/>
        <w:ind w:firstLine="482"/>
        <w:rPr>
          <w:b/>
          <w:sz w:val="24"/>
          <w:szCs w:val="24"/>
          <w:highlight w:val="green"/>
        </w:rPr>
      </w:pPr>
      <w:bookmarkStart w:id="568" w:name="_Toc494006681"/>
      <w:r>
        <w:rPr>
          <w:b/>
          <w:sz w:val="24"/>
          <w:szCs w:val="24"/>
          <w:highlight w:val="green"/>
        </w:rPr>
        <w:t>（1）厂区及其上下游地下水监测井布设原则</w:t>
      </w:r>
      <w:bookmarkEnd w:id="568"/>
    </w:p>
    <w:p>
      <w:pPr>
        <w:widowControl/>
        <w:autoSpaceDN w:val="0"/>
        <w:ind w:firstLine="480"/>
        <w:rPr>
          <w:sz w:val="24"/>
          <w:szCs w:val="24"/>
          <w:highlight w:val="green"/>
        </w:rPr>
      </w:pPr>
      <w:r>
        <w:rPr>
          <w:sz w:val="24"/>
          <w:szCs w:val="24"/>
          <w:highlight w:val="green"/>
        </w:rPr>
        <w:t>重点污染区加密监测原则；主要监测浅层水；以地下水下游区为主，地下水上游区设置背景点。</w:t>
      </w:r>
    </w:p>
    <w:p>
      <w:pPr>
        <w:widowControl/>
        <w:autoSpaceDN w:val="0"/>
        <w:ind w:firstLine="482"/>
        <w:rPr>
          <w:b/>
          <w:sz w:val="24"/>
          <w:szCs w:val="24"/>
          <w:highlight w:val="green"/>
        </w:rPr>
      </w:pPr>
      <w:bookmarkStart w:id="569" w:name="_Toc21005"/>
      <w:bookmarkStart w:id="570" w:name="_Toc494006682"/>
      <w:bookmarkStart w:id="571" w:name="_Toc355198003"/>
      <w:r>
        <w:rPr>
          <w:b/>
          <w:sz w:val="24"/>
          <w:szCs w:val="24"/>
          <w:highlight w:val="green"/>
        </w:rPr>
        <w:t>（2）监测点布设方案</w:t>
      </w:r>
      <w:bookmarkEnd w:id="569"/>
      <w:bookmarkEnd w:id="570"/>
      <w:bookmarkEnd w:id="571"/>
    </w:p>
    <w:p>
      <w:pPr>
        <w:widowControl/>
        <w:autoSpaceDN w:val="0"/>
        <w:ind w:firstLine="480"/>
        <w:rPr>
          <w:sz w:val="24"/>
          <w:szCs w:val="24"/>
          <w:highlight w:val="green"/>
        </w:rPr>
      </w:pPr>
      <w:r>
        <w:rPr>
          <w:sz w:val="24"/>
          <w:szCs w:val="24"/>
          <w:highlight w:val="green"/>
        </w:rPr>
        <w:t>1）监测井数：</w:t>
      </w:r>
    </w:p>
    <w:p>
      <w:pPr>
        <w:widowControl/>
        <w:autoSpaceDN w:val="0"/>
        <w:ind w:firstLine="480"/>
        <w:rPr>
          <w:sz w:val="24"/>
          <w:szCs w:val="24"/>
          <w:highlight w:val="green"/>
        </w:rPr>
      </w:pPr>
      <w:r>
        <w:rPr>
          <w:sz w:val="24"/>
          <w:szCs w:val="24"/>
          <w:highlight w:val="green"/>
        </w:rPr>
        <w:t>为了掌握本工程周围地下水环境质量状况和地下水体中污染物的动态变化，应对项目所在地周围的地下水水质进行监测，以便及时准确地反馈地下水水质状况，为防止对地下水的污染采取相应的措施提供重要依据。</w:t>
      </w:r>
    </w:p>
    <w:p>
      <w:pPr>
        <w:widowControl/>
        <w:autoSpaceDN w:val="0"/>
        <w:ind w:firstLine="480"/>
        <w:rPr>
          <w:sz w:val="24"/>
          <w:szCs w:val="24"/>
          <w:highlight w:val="green"/>
        </w:rPr>
      </w:pPr>
      <w:r>
        <w:rPr>
          <w:sz w:val="24"/>
          <w:szCs w:val="24"/>
          <w:highlight w:val="green"/>
        </w:rPr>
        <w:t>因为厂区附近相对较易污染的是浅层地下水，因此，此次以浅层地下水为监测对象，根据《地下水环境监测技术规范》HJ164-20</w:t>
      </w:r>
      <w:r>
        <w:rPr>
          <w:rFonts w:hint="eastAsia"/>
          <w:sz w:val="24"/>
          <w:szCs w:val="24"/>
          <w:highlight w:val="green"/>
        </w:rPr>
        <w:t>20</w:t>
      </w:r>
      <w:r>
        <w:rPr>
          <w:sz w:val="24"/>
          <w:szCs w:val="24"/>
          <w:highlight w:val="green"/>
        </w:rPr>
        <w:t>的要求，共布设地下水水质监测井3眼，见图6.2-</w:t>
      </w:r>
      <w:r>
        <w:rPr>
          <w:rFonts w:hint="eastAsia"/>
          <w:sz w:val="24"/>
          <w:szCs w:val="24"/>
          <w:highlight w:val="green"/>
        </w:rPr>
        <w:t>1</w:t>
      </w:r>
      <w:r>
        <w:rPr>
          <w:sz w:val="24"/>
          <w:szCs w:val="24"/>
          <w:highlight w:val="green"/>
        </w:rPr>
        <w:t>。随时掌握地下水水质变化趋势。</w:t>
      </w:r>
    </w:p>
    <w:p>
      <w:pPr>
        <w:widowControl/>
        <w:autoSpaceDN w:val="0"/>
        <w:ind w:firstLine="480"/>
        <w:rPr>
          <w:sz w:val="24"/>
          <w:szCs w:val="24"/>
          <w:highlight w:val="green"/>
        </w:rPr>
      </w:pPr>
      <w:r>
        <w:rPr>
          <w:sz w:val="24"/>
          <w:szCs w:val="24"/>
          <w:highlight w:val="green"/>
        </w:rPr>
        <w:t>厂区区域上游布设1眼监测井，用于检测地下水上游背景值，厂区内重点污染风险源下游布设1眼监测井，用于污染扩散监测。地下水主径流方向下游布设1眼浅层监测井，用于检测下游地下水状况，并作为事故应急处置井（在突发事故造成泄露时可利用事故应急处置井抽排受污染的地下水）。</w:t>
      </w:r>
    </w:p>
    <w:p>
      <w:pPr>
        <w:widowControl/>
        <w:spacing w:line="240" w:lineRule="auto"/>
        <w:ind w:firstLine="420"/>
        <w:jc w:val="center"/>
        <w:rPr>
          <w:rFonts w:eastAsia="黑体"/>
          <w:sz w:val="21"/>
          <w:szCs w:val="21"/>
          <w:highlight w:val="green"/>
        </w:rPr>
      </w:pPr>
      <w:r>
        <w:rPr>
          <w:rFonts w:eastAsia="黑体"/>
          <w:sz w:val="21"/>
          <w:szCs w:val="21"/>
          <w:highlight w:val="green"/>
        </w:rPr>
        <w:t>表6.</w:t>
      </w:r>
      <w:r>
        <w:rPr>
          <w:rFonts w:hint="eastAsia" w:eastAsia="黑体"/>
          <w:sz w:val="21"/>
          <w:szCs w:val="21"/>
          <w:highlight w:val="green"/>
        </w:rPr>
        <w:t>2</w:t>
      </w:r>
      <w:r>
        <w:rPr>
          <w:rFonts w:eastAsia="黑体"/>
          <w:sz w:val="21"/>
          <w:szCs w:val="21"/>
          <w:highlight w:val="green"/>
        </w:rPr>
        <w:t>-5    水质监测点一览表</w:t>
      </w:r>
    </w:p>
    <w:tbl>
      <w:tblPr>
        <w:tblStyle w:val="48"/>
        <w:tblW w:w="5000"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75"/>
        <w:gridCol w:w="2187"/>
        <w:gridCol w:w="850"/>
        <w:gridCol w:w="1478"/>
        <w:gridCol w:w="1696"/>
        <w:gridCol w:w="153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Merge w:val="restart"/>
            <w:vAlign w:val="center"/>
          </w:tcPr>
          <w:p>
            <w:pPr>
              <w:spacing w:line="240" w:lineRule="auto"/>
              <w:ind w:left="1" w:firstLine="0" w:firstLineChars="0"/>
              <w:jc w:val="center"/>
              <w:rPr>
                <w:sz w:val="21"/>
                <w:szCs w:val="21"/>
                <w:highlight w:val="green"/>
              </w:rPr>
            </w:pPr>
            <w:r>
              <w:rPr>
                <w:sz w:val="21"/>
                <w:szCs w:val="21"/>
                <w:highlight w:val="green"/>
              </w:rPr>
              <w:t>井编号</w:t>
            </w:r>
          </w:p>
        </w:tc>
        <w:tc>
          <w:tcPr>
            <w:tcW w:w="1283" w:type="pct"/>
            <w:vMerge w:val="restart"/>
            <w:vAlign w:val="center"/>
          </w:tcPr>
          <w:p>
            <w:pPr>
              <w:spacing w:line="240" w:lineRule="auto"/>
              <w:ind w:left="1" w:firstLine="0" w:firstLineChars="0"/>
              <w:jc w:val="center"/>
              <w:rPr>
                <w:sz w:val="21"/>
                <w:szCs w:val="21"/>
                <w:highlight w:val="green"/>
              </w:rPr>
            </w:pPr>
            <w:r>
              <w:rPr>
                <w:sz w:val="21"/>
                <w:szCs w:val="21"/>
                <w:highlight w:val="green"/>
              </w:rPr>
              <w:t>和厂区关系</w:t>
            </w:r>
          </w:p>
        </w:tc>
        <w:tc>
          <w:tcPr>
            <w:tcW w:w="498" w:type="pct"/>
            <w:vMerge w:val="restart"/>
            <w:vAlign w:val="center"/>
          </w:tcPr>
          <w:p>
            <w:pPr>
              <w:spacing w:line="240" w:lineRule="auto"/>
              <w:ind w:left="1" w:hanging="1" w:firstLineChars="0"/>
              <w:jc w:val="center"/>
              <w:rPr>
                <w:sz w:val="21"/>
                <w:szCs w:val="21"/>
                <w:highlight w:val="green"/>
              </w:rPr>
            </w:pPr>
            <w:r>
              <w:rPr>
                <w:sz w:val="21"/>
                <w:szCs w:val="21"/>
                <w:highlight w:val="green"/>
              </w:rPr>
              <w:t>井深（m）</w:t>
            </w:r>
          </w:p>
        </w:tc>
        <w:tc>
          <w:tcPr>
            <w:tcW w:w="867" w:type="pct"/>
            <w:vMerge w:val="restart"/>
            <w:vAlign w:val="center"/>
          </w:tcPr>
          <w:p>
            <w:pPr>
              <w:spacing w:line="240" w:lineRule="auto"/>
              <w:ind w:left="1" w:firstLine="0" w:firstLineChars="0"/>
              <w:jc w:val="center"/>
              <w:rPr>
                <w:sz w:val="21"/>
                <w:szCs w:val="21"/>
                <w:highlight w:val="green"/>
              </w:rPr>
            </w:pPr>
            <w:r>
              <w:rPr>
                <w:rFonts w:hint="eastAsia"/>
                <w:sz w:val="21"/>
                <w:szCs w:val="21"/>
                <w:highlight w:val="green"/>
              </w:rPr>
              <w:t>监测因子</w:t>
            </w:r>
          </w:p>
        </w:tc>
        <w:tc>
          <w:tcPr>
            <w:tcW w:w="995" w:type="pct"/>
            <w:vMerge w:val="restart"/>
            <w:vAlign w:val="center"/>
          </w:tcPr>
          <w:p>
            <w:pPr>
              <w:spacing w:line="240" w:lineRule="auto"/>
              <w:ind w:left="1" w:firstLine="0" w:firstLineChars="0"/>
              <w:jc w:val="center"/>
              <w:rPr>
                <w:sz w:val="21"/>
                <w:szCs w:val="21"/>
                <w:highlight w:val="green"/>
              </w:rPr>
            </w:pPr>
            <w:r>
              <w:rPr>
                <w:rFonts w:hint="eastAsia"/>
                <w:sz w:val="21"/>
                <w:szCs w:val="21"/>
                <w:highlight w:val="green"/>
              </w:rPr>
              <w:t>监测频率</w:t>
            </w:r>
          </w:p>
        </w:tc>
        <w:tc>
          <w:tcPr>
            <w:tcW w:w="901" w:type="pct"/>
            <w:vMerge w:val="restart"/>
            <w:vAlign w:val="center"/>
          </w:tcPr>
          <w:p>
            <w:pPr>
              <w:spacing w:line="240" w:lineRule="auto"/>
              <w:ind w:left="1" w:firstLine="0" w:firstLineChars="0"/>
              <w:jc w:val="center"/>
              <w:rPr>
                <w:sz w:val="21"/>
                <w:szCs w:val="21"/>
                <w:highlight w:val="green"/>
              </w:rPr>
            </w:pPr>
            <w:r>
              <w:rPr>
                <w:sz w:val="21"/>
                <w:szCs w:val="21"/>
                <w:highlight w:val="green"/>
              </w:rPr>
              <w:t>监测井功能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Merge w:val="continue"/>
            <w:vAlign w:val="center"/>
          </w:tcPr>
          <w:p>
            <w:pPr>
              <w:spacing w:line="240" w:lineRule="auto"/>
              <w:ind w:left="1" w:firstLine="0" w:firstLineChars="0"/>
              <w:jc w:val="center"/>
              <w:rPr>
                <w:sz w:val="21"/>
                <w:szCs w:val="21"/>
                <w:highlight w:val="green"/>
              </w:rPr>
            </w:pPr>
          </w:p>
        </w:tc>
        <w:tc>
          <w:tcPr>
            <w:tcW w:w="1283" w:type="pct"/>
            <w:vMerge w:val="continue"/>
            <w:vAlign w:val="center"/>
          </w:tcPr>
          <w:p>
            <w:pPr>
              <w:spacing w:line="240" w:lineRule="auto"/>
              <w:ind w:left="1" w:firstLine="0" w:firstLineChars="0"/>
              <w:jc w:val="center"/>
              <w:rPr>
                <w:sz w:val="21"/>
                <w:szCs w:val="21"/>
                <w:highlight w:val="green"/>
              </w:rPr>
            </w:pPr>
          </w:p>
        </w:tc>
        <w:tc>
          <w:tcPr>
            <w:tcW w:w="498" w:type="pct"/>
            <w:vMerge w:val="continue"/>
            <w:vAlign w:val="center"/>
          </w:tcPr>
          <w:p>
            <w:pPr>
              <w:spacing w:line="240" w:lineRule="auto"/>
              <w:ind w:left="1" w:firstLine="0" w:firstLineChars="0"/>
              <w:jc w:val="center"/>
              <w:rPr>
                <w:sz w:val="21"/>
                <w:szCs w:val="21"/>
                <w:highlight w:val="green"/>
              </w:rPr>
            </w:pPr>
          </w:p>
        </w:tc>
        <w:tc>
          <w:tcPr>
            <w:tcW w:w="867" w:type="pct"/>
            <w:vMerge w:val="continue"/>
            <w:vAlign w:val="center"/>
          </w:tcPr>
          <w:p>
            <w:pPr>
              <w:spacing w:line="240" w:lineRule="auto"/>
              <w:ind w:left="1" w:firstLine="0" w:firstLineChars="0"/>
              <w:jc w:val="center"/>
              <w:rPr>
                <w:sz w:val="21"/>
                <w:szCs w:val="21"/>
                <w:highlight w:val="green"/>
              </w:rPr>
            </w:pPr>
          </w:p>
        </w:tc>
        <w:tc>
          <w:tcPr>
            <w:tcW w:w="995" w:type="pct"/>
            <w:vMerge w:val="continue"/>
            <w:vAlign w:val="center"/>
          </w:tcPr>
          <w:p>
            <w:pPr>
              <w:spacing w:line="240" w:lineRule="auto"/>
              <w:ind w:left="1" w:firstLine="0" w:firstLineChars="0"/>
              <w:jc w:val="center"/>
              <w:rPr>
                <w:sz w:val="21"/>
                <w:szCs w:val="21"/>
                <w:highlight w:val="green"/>
              </w:rPr>
            </w:pPr>
          </w:p>
        </w:tc>
        <w:tc>
          <w:tcPr>
            <w:tcW w:w="901" w:type="pct"/>
            <w:vMerge w:val="continue"/>
            <w:vAlign w:val="center"/>
          </w:tcPr>
          <w:p>
            <w:pPr>
              <w:spacing w:line="240" w:lineRule="auto"/>
              <w:ind w:left="1" w:firstLine="0" w:firstLineChars="0"/>
              <w:jc w:val="center"/>
              <w:rPr>
                <w:sz w:val="21"/>
                <w:szCs w:val="21"/>
                <w:highlight w:val="gree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Align w:val="center"/>
          </w:tcPr>
          <w:p>
            <w:pPr>
              <w:spacing w:line="240" w:lineRule="auto"/>
              <w:ind w:left="1" w:firstLine="0" w:firstLineChars="0"/>
              <w:jc w:val="center"/>
              <w:rPr>
                <w:sz w:val="21"/>
                <w:szCs w:val="21"/>
                <w:highlight w:val="green"/>
              </w:rPr>
            </w:pPr>
            <w:r>
              <w:rPr>
                <w:sz w:val="21"/>
                <w:szCs w:val="21"/>
                <w:highlight w:val="green"/>
              </w:rPr>
              <w:t>JC1</w:t>
            </w:r>
          </w:p>
        </w:tc>
        <w:tc>
          <w:tcPr>
            <w:tcW w:w="1283" w:type="pct"/>
            <w:vAlign w:val="center"/>
          </w:tcPr>
          <w:p>
            <w:pPr>
              <w:spacing w:line="240" w:lineRule="auto"/>
              <w:ind w:left="1" w:firstLine="0" w:firstLineChars="0"/>
              <w:jc w:val="center"/>
              <w:rPr>
                <w:sz w:val="21"/>
                <w:szCs w:val="21"/>
                <w:highlight w:val="green"/>
              </w:rPr>
            </w:pPr>
            <w:r>
              <w:rPr>
                <w:sz w:val="21"/>
                <w:szCs w:val="21"/>
                <w:highlight w:val="green"/>
              </w:rPr>
              <w:t>厂区</w:t>
            </w:r>
          </w:p>
          <w:p>
            <w:pPr>
              <w:spacing w:line="240" w:lineRule="auto"/>
              <w:ind w:left="1" w:firstLine="0" w:firstLineChars="0"/>
              <w:jc w:val="center"/>
              <w:rPr>
                <w:sz w:val="21"/>
                <w:szCs w:val="21"/>
                <w:highlight w:val="green"/>
              </w:rPr>
            </w:pPr>
            <w:r>
              <w:rPr>
                <w:sz w:val="21"/>
                <w:szCs w:val="21"/>
                <w:highlight w:val="green"/>
              </w:rPr>
              <w:t>上游</w:t>
            </w:r>
            <w:r>
              <w:rPr>
                <w:rFonts w:hint="eastAsia"/>
                <w:sz w:val="21"/>
                <w:szCs w:val="21"/>
                <w:highlight w:val="green"/>
              </w:rPr>
              <w:t>620m</w:t>
            </w:r>
          </w:p>
        </w:tc>
        <w:tc>
          <w:tcPr>
            <w:tcW w:w="498" w:type="pct"/>
            <w:vAlign w:val="center"/>
          </w:tcPr>
          <w:p>
            <w:pPr>
              <w:spacing w:line="240" w:lineRule="auto"/>
              <w:ind w:left="1" w:firstLine="0" w:firstLineChars="0"/>
              <w:jc w:val="center"/>
              <w:rPr>
                <w:sz w:val="21"/>
                <w:szCs w:val="21"/>
                <w:highlight w:val="green"/>
              </w:rPr>
            </w:pPr>
            <w:r>
              <w:rPr>
                <w:sz w:val="21"/>
                <w:szCs w:val="21"/>
                <w:highlight w:val="green"/>
              </w:rPr>
              <w:t>25</w:t>
            </w:r>
          </w:p>
        </w:tc>
        <w:tc>
          <w:tcPr>
            <w:tcW w:w="867" w:type="pct"/>
            <w:vMerge w:val="restart"/>
            <w:vAlign w:val="center"/>
          </w:tcPr>
          <w:p>
            <w:pPr>
              <w:spacing w:line="240" w:lineRule="auto"/>
              <w:ind w:left="1" w:firstLine="0" w:firstLineChars="0"/>
              <w:jc w:val="center"/>
              <w:rPr>
                <w:sz w:val="21"/>
                <w:szCs w:val="21"/>
                <w:highlight w:val="green"/>
              </w:rPr>
            </w:pPr>
            <w:r>
              <w:rPr>
                <w:rFonts w:hint="eastAsia"/>
                <w:sz w:val="21"/>
                <w:szCs w:val="21"/>
                <w:highlight w:val="green"/>
              </w:rPr>
              <w:t>pH、耗氧量</w:t>
            </w:r>
            <w:r>
              <w:rPr>
                <w:sz w:val="21"/>
                <w:szCs w:val="21"/>
                <w:highlight w:val="green"/>
              </w:rPr>
              <w:t>、铁</w:t>
            </w:r>
          </w:p>
        </w:tc>
        <w:tc>
          <w:tcPr>
            <w:tcW w:w="995" w:type="pct"/>
            <w:vMerge w:val="restart"/>
            <w:vAlign w:val="center"/>
          </w:tcPr>
          <w:p>
            <w:pPr>
              <w:spacing w:line="240" w:lineRule="auto"/>
              <w:ind w:left="1" w:firstLine="0" w:firstLineChars="0"/>
              <w:jc w:val="center"/>
              <w:rPr>
                <w:sz w:val="21"/>
                <w:szCs w:val="21"/>
                <w:highlight w:val="green"/>
              </w:rPr>
            </w:pPr>
            <w:r>
              <w:rPr>
                <w:rFonts w:hint="eastAsia"/>
                <w:sz w:val="21"/>
                <w:szCs w:val="21"/>
                <w:highlight w:val="green"/>
              </w:rPr>
              <w:t>每年枯水期采样一次</w:t>
            </w:r>
          </w:p>
        </w:tc>
        <w:tc>
          <w:tcPr>
            <w:tcW w:w="901" w:type="pct"/>
            <w:vAlign w:val="center"/>
          </w:tcPr>
          <w:p>
            <w:pPr>
              <w:spacing w:line="240" w:lineRule="auto"/>
              <w:ind w:left="1" w:firstLine="0" w:firstLineChars="0"/>
              <w:jc w:val="center"/>
              <w:rPr>
                <w:sz w:val="21"/>
                <w:szCs w:val="21"/>
                <w:highlight w:val="green"/>
              </w:rPr>
            </w:pPr>
            <w:r>
              <w:rPr>
                <w:sz w:val="21"/>
                <w:szCs w:val="21"/>
                <w:highlight w:val="green"/>
              </w:rPr>
              <w:t>地下水上游背景值</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Align w:val="center"/>
          </w:tcPr>
          <w:p>
            <w:pPr>
              <w:spacing w:line="240" w:lineRule="auto"/>
              <w:ind w:left="1" w:firstLine="0" w:firstLineChars="0"/>
              <w:jc w:val="center"/>
              <w:rPr>
                <w:sz w:val="21"/>
                <w:szCs w:val="21"/>
                <w:highlight w:val="green"/>
              </w:rPr>
            </w:pPr>
            <w:r>
              <w:rPr>
                <w:sz w:val="21"/>
                <w:szCs w:val="21"/>
                <w:highlight w:val="green"/>
              </w:rPr>
              <w:t>JC2</w:t>
            </w:r>
          </w:p>
        </w:tc>
        <w:tc>
          <w:tcPr>
            <w:tcW w:w="1283" w:type="pct"/>
            <w:vAlign w:val="center"/>
          </w:tcPr>
          <w:p>
            <w:pPr>
              <w:spacing w:line="240" w:lineRule="auto"/>
              <w:ind w:left="1" w:firstLine="0" w:firstLineChars="0"/>
              <w:jc w:val="center"/>
              <w:rPr>
                <w:sz w:val="21"/>
                <w:szCs w:val="21"/>
                <w:highlight w:val="green"/>
              </w:rPr>
            </w:pPr>
            <w:r>
              <w:rPr>
                <w:sz w:val="21"/>
                <w:szCs w:val="21"/>
                <w:highlight w:val="green"/>
              </w:rPr>
              <w:t>厂区内</w:t>
            </w:r>
            <w:r>
              <w:rPr>
                <w:rFonts w:hint="eastAsia"/>
                <w:sz w:val="21"/>
                <w:szCs w:val="21"/>
                <w:highlight w:val="green"/>
              </w:rPr>
              <w:t>（浓密池附近）</w:t>
            </w:r>
          </w:p>
        </w:tc>
        <w:tc>
          <w:tcPr>
            <w:tcW w:w="498" w:type="pct"/>
            <w:vAlign w:val="center"/>
          </w:tcPr>
          <w:p>
            <w:pPr>
              <w:spacing w:line="240" w:lineRule="auto"/>
              <w:ind w:left="1" w:firstLine="0" w:firstLineChars="0"/>
              <w:jc w:val="center"/>
              <w:rPr>
                <w:sz w:val="21"/>
                <w:szCs w:val="21"/>
                <w:highlight w:val="green"/>
              </w:rPr>
            </w:pPr>
            <w:r>
              <w:rPr>
                <w:sz w:val="21"/>
                <w:szCs w:val="21"/>
                <w:highlight w:val="green"/>
              </w:rPr>
              <w:t>25</w:t>
            </w:r>
          </w:p>
        </w:tc>
        <w:tc>
          <w:tcPr>
            <w:tcW w:w="867" w:type="pct"/>
            <w:vMerge w:val="continue"/>
            <w:vAlign w:val="center"/>
          </w:tcPr>
          <w:p>
            <w:pPr>
              <w:spacing w:line="240" w:lineRule="auto"/>
              <w:ind w:left="1" w:firstLine="0" w:firstLineChars="0"/>
              <w:jc w:val="center"/>
              <w:rPr>
                <w:sz w:val="21"/>
                <w:szCs w:val="21"/>
                <w:highlight w:val="green"/>
              </w:rPr>
            </w:pPr>
          </w:p>
        </w:tc>
        <w:tc>
          <w:tcPr>
            <w:tcW w:w="995" w:type="pct"/>
            <w:vMerge w:val="continue"/>
            <w:vAlign w:val="center"/>
          </w:tcPr>
          <w:p>
            <w:pPr>
              <w:spacing w:line="240" w:lineRule="auto"/>
              <w:ind w:left="1" w:firstLine="0" w:firstLineChars="0"/>
              <w:jc w:val="center"/>
              <w:rPr>
                <w:sz w:val="21"/>
                <w:szCs w:val="21"/>
                <w:highlight w:val="green"/>
              </w:rPr>
            </w:pPr>
          </w:p>
        </w:tc>
        <w:tc>
          <w:tcPr>
            <w:tcW w:w="901" w:type="pct"/>
            <w:vAlign w:val="center"/>
          </w:tcPr>
          <w:p>
            <w:pPr>
              <w:spacing w:line="240" w:lineRule="auto"/>
              <w:ind w:left="1" w:firstLine="0" w:firstLineChars="0"/>
              <w:jc w:val="center"/>
              <w:rPr>
                <w:sz w:val="21"/>
                <w:szCs w:val="21"/>
                <w:highlight w:val="green"/>
              </w:rPr>
            </w:pPr>
            <w:r>
              <w:rPr>
                <w:sz w:val="21"/>
                <w:szCs w:val="21"/>
                <w:highlight w:val="green"/>
              </w:rPr>
              <w:t>污染扩散监测点</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Align w:val="center"/>
          </w:tcPr>
          <w:p>
            <w:pPr>
              <w:spacing w:line="240" w:lineRule="auto"/>
              <w:ind w:left="1" w:firstLine="0" w:firstLineChars="0"/>
              <w:jc w:val="center"/>
              <w:rPr>
                <w:sz w:val="21"/>
                <w:szCs w:val="21"/>
                <w:highlight w:val="green"/>
              </w:rPr>
            </w:pPr>
            <w:r>
              <w:rPr>
                <w:sz w:val="21"/>
                <w:szCs w:val="21"/>
                <w:highlight w:val="green"/>
              </w:rPr>
              <w:t>JC3</w:t>
            </w:r>
          </w:p>
        </w:tc>
        <w:tc>
          <w:tcPr>
            <w:tcW w:w="1283" w:type="pct"/>
            <w:vAlign w:val="center"/>
          </w:tcPr>
          <w:p>
            <w:pPr>
              <w:spacing w:line="240" w:lineRule="auto"/>
              <w:ind w:left="1" w:firstLine="0" w:firstLineChars="0"/>
              <w:jc w:val="center"/>
              <w:rPr>
                <w:sz w:val="21"/>
                <w:szCs w:val="21"/>
                <w:highlight w:val="green"/>
              </w:rPr>
            </w:pPr>
            <w:r>
              <w:rPr>
                <w:sz w:val="21"/>
                <w:szCs w:val="21"/>
                <w:highlight w:val="green"/>
              </w:rPr>
              <w:t>厂区</w:t>
            </w:r>
          </w:p>
          <w:p>
            <w:pPr>
              <w:spacing w:line="240" w:lineRule="auto"/>
              <w:ind w:left="1" w:firstLine="0" w:firstLineChars="0"/>
              <w:jc w:val="center"/>
              <w:rPr>
                <w:sz w:val="21"/>
                <w:szCs w:val="21"/>
                <w:highlight w:val="green"/>
              </w:rPr>
            </w:pPr>
            <w:r>
              <w:rPr>
                <w:sz w:val="21"/>
                <w:szCs w:val="21"/>
                <w:highlight w:val="green"/>
              </w:rPr>
              <w:t>下游</w:t>
            </w:r>
            <w:r>
              <w:rPr>
                <w:rFonts w:hint="eastAsia"/>
                <w:sz w:val="21"/>
                <w:szCs w:val="21"/>
                <w:highlight w:val="green"/>
              </w:rPr>
              <w:t>670m</w:t>
            </w:r>
          </w:p>
        </w:tc>
        <w:tc>
          <w:tcPr>
            <w:tcW w:w="498" w:type="pct"/>
            <w:vAlign w:val="center"/>
          </w:tcPr>
          <w:p>
            <w:pPr>
              <w:spacing w:line="240" w:lineRule="auto"/>
              <w:ind w:left="1" w:firstLine="0" w:firstLineChars="0"/>
              <w:jc w:val="center"/>
              <w:rPr>
                <w:sz w:val="21"/>
                <w:szCs w:val="21"/>
                <w:highlight w:val="green"/>
              </w:rPr>
            </w:pPr>
            <w:r>
              <w:rPr>
                <w:sz w:val="21"/>
                <w:szCs w:val="21"/>
                <w:highlight w:val="green"/>
              </w:rPr>
              <w:t>25</w:t>
            </w:r>
          </w:p>
        </w:tc>
        <w:tc>
          <w:tcPr>
            <w:tcW w:w="867" w:type="pct"/>
            <w:vMerge w:val="continue"/>
            <w:vAlign w:val="center"/>
          </w:tcPr>
          <w:p>
            <w:pPr>
              <w:spacing w:line="240" w:lineRule="auto"/>
              <w:ind w:left="1" w:firstLine="0" w:firstLineChars="0"/>
              <w:jc w:val="center"/>
              <w:rPr>
                <w:sz w:val="21"/>
                <w:szCs w:val="21"/>
                <w:highlight w:val="green"/>
              </w:rPr>
            </w:pPr>
          </w:p>
        </w:tc>
        <w:tc>
          <w:tcPr>
            <w:tcW w:w="995" w:type="pct"/>
            <w:vMerge w:val="continue"/>
            <w:vAlign w:val="center"/>
          </w:tcPr>
          <w:p>
            <w:pPr>
              <w:spacing w:line="240" w:lineRule="auto"/>
              <w:ind w:left="1" w:firstLine="0" w:firstLineChars="0"/>
              <w:jc w:val="center"/>
              <w:rPr>
                <w:sz w:val="21"/>
                <w:szCs w:val="21"/>
                <w:highlight w:val="green"/>
              </w:rPr>
            </w:pPr>
          </w:p>
        </w:tc>
        <w:tc>
          <w:tcPr>
            <w:tcW w:w="901" w:type="pct"/>
            <w:vAlign w:val="center"/>
          </w:tcPr>
          <w:p>
            <w:pPr>
              <w:spacing w:line="240" w:lineRule="auto"/>
              <w:ind w:left="1" w:firstLine="0" w:firstLineChars="0"/>
              <w:jc w:val="center"/>
              <w:rPr>
                <w:sz w:val="21"/>
                <w:szCs w:val="21"/>
                <w:highlight w:val="green"/>
              </w:rPr>
            </w:pPr>
            <w:r>
              <w:rPr>
                <w:rFonts w:hint="eastAsia"/>
                <w:sz w:val="21"/>
                <w:szCs w:val="21"/>
                <w:highlight w:val="green"/>
              </w:rPr>
              <w:t>跟踪监测井</w:t>
            </w:r>
          </w:p>
        </w:tc>
      </w:tr>
    </w:tbl>
    <w:p>
      <w:pPr>
        <w:pStyle w:val="20"/>
        <w:spacing w:after="0"/>
        <w:ind w:left="0" w:leftChars="0"/>
        <w:jc w:val="center"/>
        <w:rPr>
          <w:rFonts w:eastAsia="黑体"/>
          <w:sz w:val="21"/>
          <w:szCs w:val="21"/>
          <w:highlight w:val="green"/>
          <w:lang w:val="zh-C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p>
    <w:p>
      <w:pPr>
        <w:widowControl/>
        <w:ind w:firstLine="0" w:firstLineChars="0"/>
        <w:jc w:val="center"/>
        <w:rPr>
          <w:sz w:val="24"/>
          <w:szCs w:val="24"/>
          <w:highlight w:val="green"/>
        </w:rPr>
      </w:pPr>
      <w:r>
        <w:rPr>
          <w:highlight w:val="green"/>
        </w:rPr>
        <w:drawing>
          <wp:anchor distT="0" distB="0" distL="114300" distR="114300" simplePos="0" relativeHeight="251663360" behindDoc="0" locked="0" layoutInCell="1" allowOverlap="1">
            <wp:simplePos x="0" y="0"/>
            <wp:positionH relativeFrom="column">
              <wp:posOffset>657225</wp:posOffset>
            </wp:positionH>
            <wp:positionV relativeFrom="paragraph">
              <wp:posOffset>91440</wp:posOffset>
            </wp:positionV>
            <wp:extent cx="3676015" cy="3410585"/>
            <wp:effectExtent l="22225" t="22225" r="35560" b="34290"/>
            <wp:wrapNone/>
            <wp:docPr id="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9"/>
                    <pic:cNvPicPr>
                      <a:picLocks noChangeAspect="1"/>
                    </pic:cNvPicPr>
                  </pic:nvPicPr>
                  <pic:blipFill>
                    <a:blip r:embed="rId100"/>
                    <a:stretch>
                      <a:fillRect/>
                    </a:stretch>
                  </pic:blipFill>
                  <pic:spPr>
                    <a:xfrm>
                      <a:off x="0" y="0"/>
                      <a:ext cx="3676015" cy="3410585"/>
                    </a:xfrm>
                    <a:prstGeom prst="rect">
                      <a:avLst/>
                    </a:prstGeom>
                    <a:noFill/>
                    <a:ln w="22225" cmpd="sng">
                      <a:solidFill>
                        <a:schemeClr val="tx1"/>
                      </a:solidFill>
                      <a:prstDash val="solid"/>
                    </a:ln>
                  </pic:spPr>
                </pic:pic>
              </a:graphicData>
            </a:graphic>
          </wp:anchor>
        </w:drawing>
      </w: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r>
        <w:rPr>
          <w:sz w:val="21"/>
          <w:highlight w:val="green"/>
        </w:rPr>
        <w:pict>
          <v:shape id="_x0000_s2014" o:spid="_x0000_s2014" o:spt="202" type="#_x0000_t202" style="position:absolute;left:0pt;margin-left:180.2pt;margin-top:9.2pt;height:23.2pt;width:38.4pt;z-index:251704320;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JC1</w:t>
                  </w:r>
                </w:p>
              </w:txbxContent>
            </v:textbox>
          </v:shape>
        </w:pict>
      </w:r>
      <w:r>
        <w:rPr>
          <w:sz w:val="21"/>
          <w:highlight w:val="green"/>
        </w:rPr>
        <w:pict>
          <v:shape id="_x0000_s2012" o:spid="_x0000_s2012" o:spt="127" type="#_x0000_t127" style="position:absolute;left:0pt;margin-left:167.45pt;margin-top:6.6pt;height:9.85pt;width:16.1pt;z-index:251702272;mso-width-relative:page;mso-height-relative:page;" fillcolor="#00B0F0" filled="t" coordsize="21600,21600">
            <v:path/>
            <v:fill on="t" focussize="0,0"/>
            <v:stroke joinstyle="miter"/>
            <v:imagedata o:title=""/>
            <o:lock v:ext="edit"/>
          </v:shape>
        </w:pict>
      </w: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r>
        <w:rPr>
          <w:sz w:val="21"/>
          <w:highlight w:val="green"/>
        </w:rPr>
        <w:pict>
          <v:shape id="_x0000_s2015" o:spid="_x0000_s2015" o:spt="202" type="#_x0000_t202" style="position:absolute;left:0pt;margin-left:181.3pt;margin-top:1.35pt;height:23.2pt;width:38.4pt;z-index:251705344;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JC2</w:t>
                  </w:r>
                </w:p>
              </w:txbxContent>
            </v:textbox>
          </v:shape>
        </w:pict>
      </w:r>
      <w:r>
        <w:rPr>
          <w:sz w:val="21"/>
          <w:highlight w:val="green"/>
        </w:rPr>
        <w:pict>
          <v:shape id="_x0000_s2013" o:spid="_x0000_s2013" o:spt="127" type="#_x0000_t127" style="position:absolute;left:0pt;margin-left:165.65pt;margin-top:2.05pt;height:9.85pt;width:16.1pt;z-index:251703296;mso-width-relative:page;mso-height-relative:page;" fillcolor="#00B0F0" filled="t" coordsize="21600,21600">
            <v:path/>
            <v:fill on="t" focussize="0,0"/>
            <v:stroke joinstyle="miter"/>
            <v:imagedata o:title=""/>
            <o:lock v:ext="edit"/>
          </v:shape>
        </w:pict>
      </w:r>
      <w:r>
        <w:rPr>
          <w:sz w:val="21"/>
          <w:highlight w:val="green"/>
        </w:rPr>
        <w:pict>
          <v:shape id="_x0000_s2010" o:spid="_x0000_s2010" o:spt="202" type="#_x0000_t202" style="position:absolute;left:0pt;margin-left:178.15pt;margin-top:12.8pt;height:23.2pt;width:56.2pt;z-index:251701248;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北厂区</w:t>
                  </w:r>
                </w:p>
              </w:txbxContent>
            </v:textbox>
          </v:shape>
        </w:pict>
      </w:r>
      <w:r>
        <w:rPr>
          <w:sz w:val="21"/>
          <w:highlight w:val="green"/>
        </w:rPr>
        <w:pict>
          <v:shape id="_x0000_s2007" o:spid="_x0000_s2007" o:spt="12" type="#_x0000_t12" style="position:absolute;left:0pt;margin-left:168.95pt;margin-top:16.9pt;height:7.1pt;width:7.1pt;z-index:251679744;mso-width-relative:page;mso-height-relative:page;" fillcolor="#FF0000" filled="t" stroked="t" coordsize="21600,21600">
            <v:path/>
            <v:fill on="t" focussize="0,0"/>
            <v:stroke color="#FF0000" joinstyle="miter"/>
            <v:imagedata o:title=""/>
            <o:lock v:ext="edit"/>
          </v:shape>
        </w:pict>
      </w: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r>
        <w:rPr>
          <w:sz w:val="21"/>
          <w:highlight w:val="green"/>
        </w:rPr>
        <w:pict>
          <v:shape id="_x0000_s2009" o:spid="_x0000_s2009" o:spt="202" type="#_x0000_t202" style="position:absolute;left:0pt;margin-left:150.1pt;margin-top:6.5pt;height:23.2pt;width:56.2pt;z-index:251680768;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南厂区</w:t>
                  </w:r>
                </w:p>
              </w:txbxContent>
            </v:textbox>
          </v:shape>
        </w:pict>
      </w:r>
      <w:r>
        <w:rPr>
          <w:sz w:val="21"/>
          <w:highlight w:val="green"/>
        </w:rPr>
        <w:pict>
          <v:shape id="_x0000_s2008" o:spid="_x0000_s2008" o:spt="12" type="#_x0000_t12" style="position:absolute;left:0pt;margin-left:157.6pt;margin-top:0.65pt;height:7.1pt;width:7.1pt;z-index:251700224;mso-width-relative:page;mso-height-relative:page;" fillcolor="#FF0000" filled="t" stroked="t" coordsize="21600,21600">
            <v:path/>
            <v:fill on="t" focussize="0,0"/>
            <v:stroke color="#FF0000" joinstyle="miter"/>
            <v:imagedata o:title=""/>
            <o:lock v:ext="edit"/>
          </v:shape>
        </w:pict>
      </w: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r>
        <w:rPr>
          <w:sz w:val="21"/>
          <w:highlight w:val="green"/>
        </w:rPr>
        <w:pict>
          <v:shape id="_x0000_s2016" o:spid="_x0000_s2016" o:spt="202" type="#_x0000_t202" style="position:absolute;left:0pt;margin-left:203.5pt;margin-top:17.8pt;height:23.2pt;width:38.4pt;z-index:251706368;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JC3</w:t>
                  </w:r>
                </w:p>
              </w:txbxContent>
            </v:textbox>
          </v:shape>
        </w:pict>
      </w:r>
      <w:r>
        <w:rPr>
          <w:sz w:val="21"/>
          <w:highlight w:val="green"/>
        </w:rPr>
        <w:pict>
          <v:shape id="_x0000_s2011" o:spid="_x0000_s2011" o:spt="127" type="#_x0000_t127" style="position:absolute;left:0pt;margin-left:189.35pt;margin-top:16.4pt;height:9.85pt;width:16.1pt;z-index:251680768;mso-width-relative:page;mso-height-relative:page;" fillcolor="#00B0F0" filled="t" coordsize="21600,21600">
            <v:path/>
            <v:fill on="t" focussize="0,0"/>
            <v:stroke joinstyle="miter"/>
            <v:imagedata o:title=""/>
            <o:lock v:ext="edit"/>
          </v:shape>
        </w:pict>
      </w: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green"/>
        </w:rPr>
      </w:pPr>
    </w:p>
    <w:p>
      <w:pPr>
        <w:widowControl/>
        <w:ind w:firstLine="0" w:firstLineChars="0"/>
        <w:jc w:val="center"/>
        <w:rPr>
          <w:rFonts w:eastAsia="黑体"/>
          <w:snapToGrid w:val="0"/>
          <w:spacing w:val="-4"/>
          <w:sz w:val="21"/>
          <w:szCs w:val="21"/>
          <w:highlight w:val="none"/>
        </w:rPr>
      </w:pPr>
      <w:r>
        <w:rPr>
          <w:rFonts w:eastAsia="黑体"/>
          <w:snapToGrid w:val="0"/>
          <w:spacing w:val="-4"/>
          <w:sz w:val="21"/>
          <w:szCs w:val="21"/>
          <w:highlight w:val="none"/>
        </w:rPr>
        <w:t>图6.</w:t>
      </w:r>
      <w:r>
        <w:rPr>
          <w:rFonts w:hint="eastAsia" w:eastAsia="黑体"/>
          <w:snapToGrid w:val="0"/>
          <w:spacing w:val="-4"/>
          <w:sz w:val="21"/>
          <w:szCs w:val="21"/>
          <w:highlight w:val="none"/>
        </w:rPr>
        <w:t>2</w:t>
      </w:r>
      <w:r>
        <w:rPr>
          <w:rFonts w:eastAsia="黑体"/>
          <w:snapToGrid w:val="0"/>
          <w:spacing w:val="-4"/>
          <w:sz w:val="21"/>
          <w:szCs w:val="21"/>
          <w:highlight w:val="none"/>
        </w:rPr>
        <w:t>-</w:t>
      </w:r>
      <w:r>
        <w:rPr>
          <w:rFonts w:hint="eastAsia" w:eastAsia="黑体"/>
          <w:snapToGrid w:val="0"/>
          <w:spacing w:val="-4"/>
          <w:sz w:val="21"/>
          <w:szCs w:val="21"/>
          <w:highlight w:val="none"/>
        </w:rPr>
        <w:t>1</w:t>
      </w:r>
      <w:r>
        <w:rPr>
          <w:rFonts w:eastAsia="黑体"/>
          <w:snapToGrid w:val="0"/>
          <w:spacing w:val="-4"/>
          <w:sz w:val="21"/>
          <w:szCs w:val="21"/>
          <w:highlight w:val="none"/>
        </w:rPr>
        <w:t xml:space="preserve">  地下水监测点布置图</w:t>
      </w:r>
    </w:p>
    <w:p>
      <w:pPr>
        <w:ind w:firstLine="480"/>
        <w:rPr>
          <w:sz w:val="24"/>
          <w:szCs w:val="24"/>
          <w:highlight w:val="none"/>
        </w:rPr>
      </w:pPr>
      <w:r>
        <w:rPr>
          <w:sz w:val="24"/>
          <w:szCs w:val="24"/>
          <w:highlight w:val="none"/>
        </w:rPr>
        <w:t>2）监测频率及项目：</w:t>
      </w:r>
    </w:p>
    <w:p>
      <w:pPr>
        <w:widowControl/>
        <w:autoSpaceDN w:val="0"/>
        <w:ind w:firstLine="480"/>
        <w:rPr>
          <w:sz w:val="24"/>
          <w:szCs w:val="24"/>
          <w:highlight w:val="none"/>
        </w:rPr>
      </w:pPr>
      <w:r>
        <w:rPr>
          <w:sz w:val="24"/>
          <w:szCs w:val="24"/>
          <w:highlight w:val="none"/>
        </w:rPr>
        <w:t>监测频率：每年一次。</w:t>
      </w:r>
    </w:p>
    <w:p>
      <w:pPr>
        <w:ind w:firstLine="480"/>
        <w:rPr>
          <w:sz w:val="24"/>
          <w:szCs w:val="24"/>
          <w:highlight w:val="none"/>
        </w:rPr>
      </w:pPr>
      <w:r>
        <w:rPr>
          <w:sz w:val="24"/>
          <w:szCs w:val="24"/>
          <w:highlight w:val="none"/>
        </w:rPr>
        <w:t>监测项目为：</w:t>
      </w:r>
      <w:r>
        <w:rPr>
          <w:rFonts w:hint="eastAsia"/>
          <w:sz w:val="24"/>
          <w:szCs w:val="24"/>
          <w:highlight w:val="none"/>
        </w:rPr>
        <w:t>pH、耗氧量</w:t>
      </w:r>
      <w:r>
        <w:rPr>
          <w:sz w:val="24"/>
          <w:szCs w:val="24"/>
          <w:highlight w:val="none"/>
        </w:rPr>
        <w:t>、铁</w:t>
      </w:r>
      <w:r>
        <w:rPr>
          <w:rFonts w:hint="eastAsia"/>
          <w:sz w:val="24"/>
          <w:szCs w:val="24"/>
          <w:highlight w:val="none"/>
        </w:rPr>
        <w:t>。</w:t>
      </w:r>
    </w:p>
    <w:p>
      <w:pPr>
        <w:pStyle w:val="3"/>
        <w:rPr>
          <w:highlight w:val="none"/>
        </w:rPr>
      </w:pPr>
      <w:r>
        <w:rPr>
          <w:rFonts w:hint="eastAsia"/>
          <w:highlight w:val="none"/>
        </w:rPr>
        <w:t>6.2.3.5</w:t>
      </w:r>
      <w:r>
        <w:rPr>
          <w:highlight w:val="none"/>
        </w:rPr>
        <w:t>监测数据管理</w:t>
      </w:r>
    </w:p>
    <w:p>
      <w:pPr>
        <w:ind w:firstLine="480"/>
        <w:rPr>
          <w:highlight w:val="none"/>
        </w:rPr>
      </w:pPr>
      <w:r>
        <w:rPr>
          <w:sz w:val="24"/>
          <w:szCs w:val="24"/>
          <w:highlight w:val="none"/>
        </w:rPr>
        <w:t>上述监测结果应按厂区有关规定及时建立档案，并抄送环境保护行政主管部门，对于常规检测数据应该进行公开，特别是对厂区附近区域的居民公开，满足法律中关于知情权的要求。发现污染和水质恶化时，要及时进行处理，开展系统调查，并上报有关部门。</w:t>
      </w:r>
    </w:p>
    <w:bookmarkEnd w:id="564"/>
    <w:bookmarkEnd w:id="565"/>
    <w:bookmarkEnd w:id="566"/>
    <w:bookmarkEnd w:id="567"/>
    <w:p>
      <w:pPr>
        <w:pStyle w:val="3"/>
        <w:rPr>
          <w:highlight w:val="none"/>
        </w:rPr>
      </w:pPr>
      <w:bookmarkStart w:id="572" w:name="_Toc15307"/>
      <w:bookmarkStart w:id="573" w:name="_Toc494006687"/>
      <w:bookmarkStart w:id="574" w:name="_Toc15955"/>
      <w:bookmarkStart w:id="575" w:name="_Toc21738"/>
      <w:bookmarkStart w:id="576" w:name="_Toc10298"/>
      <w:bookmarkStart w:id="577" w:name="_Toc370484514"/>
      <w:r>
        <w:rPr>
          <w:rFonts w:hint="eastAsia"/>
          <w:highlight w:val="none"/>
        </w:rPr>
        <w:t>6.2.3.6</w:t>
      </w:r>
      <w:r>
        <w:rPr>
          <w:highlight w:val="none"/>
        </w:rPr>
        <w:t>地下水污染治理措施</w:t>
      </w:r>
      <w:bookmarkEnd w:id="572"/>
      <w:bookmarkEnd w:id="573"/>
      <w:bookmarkEnd w:id="574"/>
      <w:bookmarkEnd w:id="575"/>
      <w:bookmarkEnd w:id="576"/>
      <w:bookmarkEnd w:id="577"/>
    </w:p>
    <w:p>
      <w:pPr>
        <w:widowControl/>
        <w:autoSpaceDN w:val="0"/>
        <w:ind w:firstLine="480"/>
        <w:rPr>
          <w:sz w:val="24"/>
          <w:szCs w:val="24"/>
          <w:highlight w:val="none"/>
        </w:rPr>
      </w:pPr>
      <w:bookmarkStart w:id="578" w:name="_Toc7905"/>
      <w:bookmarkStart w:id="579" w:name="_Toc494006688"/>
      <w:bookmarkStart w:id="580" w:name="_Toc164"/>
      <w:r>
        <w:rPr>
          <w:sz w:val="24"/>
          <w:szCs w:val="24"/>
          <w:highlight w:val="none"/>
        </w:rPr>
        <w:t>（1）规范支撑体系</w:t>
      </w:r>
      <w:bookmarkEnd w:id="578"/>
      <w:bookmarkEnd w:id="579"/>
      <w:bookmarkEnd w:id="580"/>
    </w:p>
    <w:p>
      <w:pPr>
        <w:widowControl/>
        <w:autoSpaceDN w:val="0"/>
        <w:ind w:firstLine="480"/>
        <w:rPr>
          <w:sz w:val="24"/>
          <w:szCs w:val="24"/>
          <w:highlight w:val="none"/>
        </w:rPr>
      </w:pPr>
      <w:r>
        <w:rPr>
          <w:sz w:val="24"/>
          <w:szCs w:val="24"/>
          <w:highlight w:val="none"/>
        </w:rPr>
        <w:t>为进一步完善环保技术法规和标准体系，科学确定环境基准，目前正在开展的场地环境保护标准修订项目包括《场地环境调查技术规范》、《污染场地环境监测技术导则》、《污染场地风险评估技术导则》和《污染场地土壤修复技术导则》，上述标准构成了场地环境保护标准体系的总体框架；其中的环境调查、环境监测、风险评估和土壤修复技术导则规定了相关工作的原则、方法、程序和技术要求，是目前地下水污染应急唯一可参照执行的技术导则。</w:t>
      </w:r>
    </w:p>
    <w:p>
      <w:pPr>
        <w:widowControl/>
        <w:autoSpaceDN w:val="0"/>
        <w:ind w:firstLine="480"/>
        <w:rPr>
          <w:sz w:val="24"/>
          <w:szCs w:val="24"/>
          <w:highlight w:val="none"/>
        </w:rPr>
      </w:pPr>
      <w:bookmarkStart w:id="581" w:name="_Toc27716"/>
      <w:bookmarkStart w:id="582" w:name="_Toc494006689"/>
      <w:bookmarkStart w:id="583" w:name="_Toc14609"/>
      <w:r>
        <w:rPr>
          <w:sz w:val="24"/>
          <w:szCs w:val="24"/>
          <w:highlight w:val="none"/>
        </w:rPr>
        <w:t>（2）应急治理体系</w:t>
      </w:r>
      <w:bookmarkEnd w:id="581"/>
      <w:bookmarkEnd w:id="582"/>
      <w:bookmarkEnd w:id="583"/>
    </w:p>
    <w:p>
      <w:pPr>
        <w:widowControl/>
        <w:autoSpaceDN w:val="0"/>
        <w:ind w:firstLine="480"/>
        <w:rPr>
          <w:sz w:val="24"/>
          <w:szCs w:val="24"/>
          <w:highlight w:val="none"/>
        </w:rPr>
      </w:pPr>
      <w:r>
        <w:rPr>
          <w:sz w:val="24"/>
          <w:szCs w:val="24"/>
          <w:highlight w:val="none"/>
        </w:rPr>
        <w:t>在场地环境保护标准体系中，场地的污染防治一般要经过场地污染的确认，风险评估和修复等过程。</w:t>
      </w:r>
    </w:p>
    <w:p>
      <w:pPr>
        <w:widowControl/>
        <w:autoSpaceDN w:val="0"/>
        <w:ind w:firstLine="480"/>
        <w:rPr>
          <w:sz w:val="24"/>
          <w:szCs w:val="24"/>
          <w:highlight w:val="none"/>
        </w:rPr>
      </w:pPr>
      <w:r>
        <w:rPr>
          <w:sz w:val="24"/>
          <w:szCs w:val="24"/>
          <w:highlight w:val="none"/>
        </w:rPr>
        <w:t>《场地环境调查技术规范》主要用于污染场地的调查和污染确认，并为场地风险评估和污染场地修复的调查提供基础数据和信息。</w:t>
      </w:r>
    </w:p>
    <w:p>
      <w:pPr>
        <w:widowControl/>
        <w:autoSpaceDN w:val="0"/>
        <w:ind w:firstLine="480"/>
        <w:rPr>
          <w:sz w:val="24"/>
          <w:szCs w:val="24"/>
          <w:highlight w:val="none"/>
        </w:rPr>
      </w:pPr>
      <w:r>
        <w:rPr>
          <w:sz w:val="24"/>
          <w:szCs w:val="24"/>
          <w:highlight w:val="none"/>
        </w:rPr>
        <w:t>《场地污染风险评估技术导则》在场地污染调查的基础上采用健康风险评估的方法确定场地的风险，提出场地的风险管理目标。</w:t>
      </w:r>
    </w:p>
    <w:p>
      <w:pPr>
        <w:widowControl/>
        <w:autoSpaceDN w:val="0"/>
        <w:ind w:firstLine="480"/>
        <w:rPr>
          <w:sz w:val="24"/>
          <w:szCs w:val="24"/>
          <w:highlight w:val="none"/>
        </w:rPr>
      </w:pPr>
      <w:r>
        <w:rPr>
          <w:sz w:val="24"/>
          <w:szCs w:val="24"/>
          <w:highlight w:val="none"/>
        </w:rPr>
        <w:t>《污染场地土壤修复技术导则》规定了实现场地风险管理目标的技术筛选等方法。</w:t>
      </w:r>
    </w:p>
    <w:p>
      <w:pPr>
        <w:widowControl/>
        <w:autoSpaceDN w:val="0"/>
        <w:ind w:firstLine="480"/>
        <w:rPr>
          <w:sz w:val="24"/>
          <w:szCs w:val="24"/>
          <w:highlight w:val="none"/>
        </w:rPr>
      </w:pPr>
      <w:r>
        <w:rPr>
          <w:sz w:val="24"/>
          <w:szCs w:val="24"/>
          <w:highlight w:val="none"/>
        </w:rPr>
        <w:t>《场地环境监测技术导则》作为工具性标准为场地的调查、风险评估和修复提供技术支撑。</w:t>
      </w:r>
    </w:p>
    <w:p>
      <w:pPr>
        <w:widowControl/>
        <w:autoSpaceDN w:val="0"/>
        <w:ind w:firstLine="480"/>
        <w:rPr>
          <w:sz w:val="24"/>
          <w:szCs w:val="24"/>
          <w:highlight w:val="none"/>
        </w:rPr>
      </w:pPr>
      <w:bookmarkStart w:id="584" w:name="_Toc5274"/>
      <w:bookmarkStart w:id="585" w:name="_Toc29660"/>
      <w:bookmarkStart w:id="586" w:name="_Toc494006690"/>
      <w:r>
        <w:rPr>
          <w:sz w:val="24"/>
          <w:szCs w:val="24"/>
          <w:highlight w:val="none"/>
        </w:rPr>
        <w:t>（3）地下水污染治理技术</w:t>
      </w:r>
      <w:bookmarkEnd w:id="584"/>
      <w:bookmarkEnd w:id="585"/>
      <w:bookmarkEnd w:id="586"/>
    </w:p>
    <w:p>
      <w:pPr>
        <w:widowControl/>
        <w:autoSpaceDN w:val="0"/>
        <w:ind w:firstLine="480"/>
        <w:rPr>
          <w:sz w:val="24"/>
          <w:szCs w:val="24"/>
          <w:highlight w:val="none"/>
        </w:rPr>
      </w:pPr>
      <w:r>
        <w:rPr>
          <w:sz w:val="24"/>
          <w:szCs w:val="24"/>
          <w:highlight w:val="none"/>
        </w:rPr>
        <w:t>地下水污染治理技术归纳起来主要有：物理处理法、水动力控制法、抽出处理法和原位处理法等。</w:t>
      </w:r>
    </w:p>
    <w:p>
      <w:pPr>
        <w:widowControl/>
        <w:autoSpaceDN w:val="0"/>
        <w:ind w:firstLine="480"/>
        <w:rPr>
          <w:sz w:val="24"/>
          <w:szCs w:val="24"/>
          <w:highlight w:val="none"/>
        </w:rPr>
      </w:pPr>
      <w:r>
        <w:rPr>
          <w:sz w:val="24"/>
          <w:szCs w:val="24"/>
          <w:highlight w:val="none"/>
        </w:rPr>
        <w:t>1）物理法</w:t>
      </w:r>
    </w:p>
    <w:p>
      <w:pPr>
        <w:widowControl/>
        <w:autoSpaceDN w:val="0"/>
        <w:ind w:firstLine="480"/>
        <w:rPr>
          <w:sz w:val="24"/>
          <w:szCs w:val="24"/>
          <w:highlight w:val="none"/>
        </w:rPr>
      </w:pPr>
      <w:r>
        <w:rPr>
          <w:sz w:val="24"/>
          <w:szCs w:val="24"/>
          <w:highlight w:val="none"/>
        </w:rPr>
        <w:t>物理法是用物理的手段对受污染的地下水进行治理的一种方法，概括起来又可分为：屏蔽法——在地下建立各种物理屏障，将受污染水体圈闭起来，以防止污染物进一步扩散蔓延。被动收集法——在地下水流的下游挖一条足够深的沟道，在沟内布置收集系统，将水面漂浮的污染物质如油类污染物等收集起来或将所有受污染地下水收集起来以便处理的一种方法。被动收集法在处理轻质污染物(如油类等)时得到过广泛的应用。</w:t>
      </w:r>
    </w:p>
    <w:p>
      <w:pPr>
        <w:widowControl/>
        <w:autoSpaceDN w:val="0"/>
        <w:ind w:firstLine="480"/>
        <w:rPr>
          <w:sz w:val="24"/>
          <w:szCs w:val="24"/>
          <w:highlight w:val="none"/>
        </w:rPr>
      </w:pPr>
      <w:r>
        <w:rPr>
          <w:sz w:val="24"/>
          <w:szCs w:val="24"/>
          <w:highlight w:val="none"/>
        </w:rPr>
        <w:t>2）水动力控制法</w:t>
      </w:r>
    </w:p>
    <w:p>
      <w:pPr>
        <w:widowControl/>
        <w:autoSpaceDN w:val="0"/>
        <w:ind w:firstLine="480"/>
        <w:rPr>
          <w:sz w:val="24"/>
          <w:szCs w:val="24"/>
          <w:highlight w:val="none"/>
        </w:rPr>
      </w:pPr>
      <w:r>
        <w:rPr>
          <w:sz w:val="24"/>
          <w:szCs w:val="24"/>
          <w:highlight w:val="none"/>
        </w:rPr>
        <w:t>水动力控制法是利用井群系统，通过抽水或向含水层注水，人为地改变地下水的水力梯度，从而将受污染水体与清洁水体分隔开来。根据井群系统布置方式的不同，水力控制法又可分为上游分水岭法和下游分水岭法。</w:t>
      </w:r>
    </w:p>
    <w:p>
      <w:pPr>
        <w:widowControl/>
        <w:autoSpaceDN w:val="0"/>
        <w:ind w:firstLine="480"/>
        <w:rPr>
          <w:sz w:val="24"/>
          <w:szCs w:val="24"/>
          <w:highlight w:val="none"/>
        </w:rPr>
      </w:pPr>
      <w:r>
        <w:rPr>
          <w:sz w:val="24"/>
          <w:szCs w:val="24"/>
          <w:highlight w:val="none"/>
        </w:rPr>
        <w:t>3）抽出处理法</w:t>
      </w:r>
    </w:p>
    <w:p>
      <w:pPr>
        <w:widowControl/>
        <w:autoSpaceDN w:val="0"/>
        <w:ind w:firstLine="480"/>
        <w:rPr>
          <w:sz w:val="24"/>
          <w:szCs w:val="24"/>
          <w:highlight w:val="none"/>
        </w:rPr>
      </w:pPr>
      <w:r>
        <w:rPr>
          <w:sz w:val="24"/>
          <w:szCs w:val="24"/>
          <w:highlight w:val="none"/>
        </w:rPr>
        <w:t>抽出处理法是当前应用很普遍的一种方法，可根据污染物类型和处理费用来选用，大致可分为三类：</w:t>
      </w:r>
    </w:p>
    <w:p>
      <w:pPr>
        <w:widowControl/>
        <w:autoSpaceDN w:val="0"/>
        <w:ind w:firstLine="480"/>
        <w:rPr>
          <w:sz w:val="24"/>
          <w:szCs w:val="24"/>
          <w:highlight w:val="none"/>
        </w:rPr>
      </w:pPr>
      <w:r>
        <w:rPr>
          <w:sz w:val="24"/>
          <w:szCs w:val="24"/>
          <w:highlight w:val="none"/>
        </w:rPr>
        <w:t>物理法。包括：吸附法、重力分离法、过滤法、反渗透法、气吹法和焚烧法等；</w:t>
      </w:r>
    </w:p>
    <w:p>
      <w:pPr>
        <w:widowControl/>
        <w:autoSpaceDN w:val="0"/>
        <w:ind w:firstLine="480"/>
        <w:rPr>
          <w:sz w:val="24"/>
          <w:szCs w:val="24"/>
          <w:highlight w:val="none"/>
        </w:rPr>
      </w:pPr>
      <w:r>
        <w:rPr>
          <w:sz w:val="24"/>
          <w:szCs w:val="24"/>
          <w:highlight w:val="none"/>
        </w:rPr>
        <w:t>化学法。包括：混凝沉淀法、氧化还原法、离子交换法和中和法等；</w:t>
      </w:r>
    </w:p>
    <w:p>
      <w:pPr>
        <w:widowControl/>
        <w:autoSpaceDN w:val="0"/>
        <w:ind w:firstLine="480"/>
        <w:rPr>
          <w:sz w:val="24"/>
          <w:szCs w:val="24"/>
          <w:highlight w:val="none"/>
        </w:rPr>
      </w:pPr>
      <w:r>
        <w:rPr>
          <w:sz w:val="24"/>
          <w:szCs w:val="24"/>
          <w:highlight w:val="none"/>
        </w:rPr>
        <w:t>生物法。包括：活性污泥法、生物膜法、厌氧消化法和土壤处置法等。</w:t>
      </w:r>
    </w:p>
    <w:p>
      <w:pPr>
        <w:widowControl/>
        <w:autoSpaceDN w:val="0"/>
        <w:ind w:firstLine="480"/>
        <w:rPr>
          <w:sz w:val="24"/>
          <w:szCs w:val="24"/>
          <w:highlight w:val="none"/>
        </w:rPr>
      </w:pPr>
      <w:r>
        <w:rPr>
          <w:sz w:val="24"/>
          <w:szCs w:val="24"/>
          <w:highlight w:val="none"/>
        </w:rPr>
        <w:t>受污染地下水抽出后的处理方法与地表水的处理相同，需要指出的是，在受污染地下水的抽出处理中，井群系统的建立是关键，井群系统要能控制整个受污染水体的流动。</w:t>
      </w:r>
    </w:p>
    <w:p>
      <w:pPr>
        <w:widowControl/>
        <w:autoSpaceDN w:val="0"/>
        <w:ind w:firstLine="480"/>
        <w:rPr>
          <w:sz w:val="24"/>
          <w:szCs w:val="24"/>
          <w:highlight w:val="none"/>
        </w:rPr>
      </w:pPr>
      <w:r>
        <w:rPr>
          <w:sz w:val="24"/>
          <w:szCs w:val="24"/>
          <w:highlight w:val="none"/>
        </w:rPr>
        <w:t>4）原位处理法</w:t>
      </w:r>
    </w:p>
    <w:p>
      <w:pPr>
        <w:widowControl/>
        <w:autoSpaceDN w:val="0"/>
        <w:ind w:firstLine="480"/>
        <w:rPr>
          <w:sz w:val="24"/>
          <w:szCs w:val="24"/>
          <w:highlight w:val="none"/>
        </w:rPr>
      </w:pPr>
      <w:r>
        <w:rPr>
          <w:sz w:val="24"/>
          <w:szCs w:val="24"/>
          <w:highlight w:val="none"/>
        </w:rPr>
        <w:t>原位处理法是地下水污染治理技术研究的热点，不但处理费用相对节省，而且还可减少地表处理设施，最大程度地减少污染物的暴露，减少对环境的扰动，是一种很有前景的地下水污染治理技术，大致可分为两类：</w:t>
      </w:r>
    </w:p>
    <w:p>
      <w:pPr>
        <w:widowControl/>
        <w:autoSpaceDN w:val="0"/>
        <w:ind w:firstLine="480"/>
        <w:rPr>
          <w:sz w:val="24"/>
          <w:szCs w:val="24"/>
          <w:highlight w:val="none"/>
        </w:rPr>
      </w:pPr>
      <w:r>
        <w:rPr>
          <w:sz w:val="24"/>
          <w:szCs w:val="24"/>
          <w:highlight w:val="none"/>
        </w:rPr>
        <w:t>物理化学处理法。包括：加药法、渗透性处理床、土壤改性法、冲洗法和射频放电加热法等；</w:t>
      </w:r>
    </w:p>
    <w:p>
      <w:pPr>
        <w:widowControl/>
        <w:autoSpaceDN w:val="0"/>
        <w:ind w:firstLine="480"/>
        <w:rPr>
          <w:sz w:val="24"/>
          <w:szCs w:val="24"/>
          <w:highlight w:val="none"/>
        </w:rPr>
      </w:pPr>
      <w:r>
        <w:rPr>
          <w:sz w:val="24"/>
          <w:szCs w:val="24"/>
          <w:highlight w:val="none"/>
        </w:rPr>
        <w:t>生物处理法。包括：生物气冲技术、溶气水供氧技术和过氧化氢供氧技术等。</w:t>
      </w:r>
    </w:p>
    <w:p>
      <w:pPr>
        <w:pStyle w:val="3"/>
        <w:rPr>
          <w:highlight w:val="none"/>
        </w:rPr>
      </w:pPr>
      <w:bookmarkStart w:id="587" w:name="_Toc26212"/>
      <w:bookmarkStart w:id="588" w:name="_Toc5915"/>
      <w:bookmarkStart w:id="589" w:name="_Toc370484515"/>
      <w:bookmarkStart w:id="590" w:name="_Toc494006691"/>
      <w:bookmarkStart w:id="591" w:name="_Toc10858"/>
      <w:bookmarkStart w:id="592" w:name="_Toc9715"/>
      <w:r>
        <w:rPr>
          <w:rFonts w:hint="eastAsia"/>
          <w:highlight w:val="none"/>
        </w:rPr>
        <w:t>6.2.3.7</w:t>
      </w:r>
      <w:r>
        <w:rPr>
          <w:highlight w:val="none"/>
        </w:rPr>
        <w:t>建议措施</w:t>
      </w:r>
      <w:bookmarkEnd w:id="587"/>
      <w:bookmarkEnd w:id="588"/>
      <w:bookmarkEnd w:id="589"/>
      <w:bookmarkEnd w:id="590"/>
      <w:bookmarkEnd w:id="591"/>
      <w:bookmarkEnd w:id="592"/>
    </w:p>
    <w:p>
      <w:pPr>
        <w:widowControl/>
        <w:autoSpaceDN w:val="0"/>
        <w:ind w:firstLine="480"/>
        <w:rPr>
          <w:sz w:val="24"/>
          <w:szCs w:val="24"/>
          <w:highlight w:val="none"/>
        </w:rPr>
      </w:pPr>
      <w:r>
        <w:rPr>
          <w:sz w:val="24"/>
          <w:szCs w:val="24"/>
          <w:highlight w:val="none"/>
        </w:rPr>
        <w:t>当发生污染事故时，建议采取如下污染治理措施：</w:t>
      </w:r>
    </w:p>
    <w:p>
      <w:pPr>
        <w:widowControl/>
        <w:autoSpaceDN w:val="0"/>
        <w:ind w:firstLine="480"/>
        <w:rPr>
          <w:sz w:val="24"/>
          <w:szCs w:val="24"/>
          <w:highlight w:val="none"/>
        </w:rPr>
      </w:pPr>
      <w:r>
        <w:rPr>
          <w:sz w:val="24"/>
          <w:szCs w:val="24"/>
          <w:highlight w:val="none"/>
        </w:rPr>
        <w:t>（1）一旦发生地下水污染事故，应立即启动应急预案；</w:t>
      </w:r>
    </w:p>
    <w:p>
      <w:pPr>
        <w:widowControl/>
        <w:autoSpaceDN w:val="0"/>
        <w:ind w:firstLine="480"/>
        <w:rPr>
          <w:sz w:val="24"/>
          <w:szCs w:val="24"/>
          <w:highlight w:val="none"/>
        </w:rPr>
      </w:pPr>
      <w:r>
        <w:rPr>
          <w:sz w:val="24"/>
          <w:szCs w:val="24"/>
          <w:highlight w:val="none"/>
        </w:rPr>
        <w:t>（2）查明并切断污染源；</w:t>
      </w:r>
    </w:p>
    <w:p>
      <w:pPr>
        <w:widowControl/>
        <w:autoSpaceDN w:val="0"/>
        <w:ind w:firstLine="480"/>
        <w:rPr>
          <w:sz w:val="24"/>
          <w:szCs w:val="24"/>
          <w:highlight w:val="none"/>
        </w:rPr>
      </w:pPr>
      <w:r>
        <w:rPr>
          <w:sz w:val="24"/>
          <w:szCs w:val="24"/>
          <w:highlight w:val="none"/>
        </w:rPr>
        <w:t>（3）探明地下水污染深度、范围和污染程度；</w:t>
      </w:r>
    </w:p>
    <w:p>
      <w:pPr>
        <w:widowControl/>
        <w:autoSpaceDN w:val="0"/>
        <w:ind w:firstLine="480"/>
        <w:rPr>
          <w:sz w:val="24"/>
          <w:szCs w:val="24"/>
          <w:highlight w:val="none"/>
        </w:rPr>
      </w:pPr>
      <w:r>
        <w:rPr>
          <w:sz w:val="24"/>
          <w:szCs w:val="24"/>
          <w:highlight w:val="none"/>
        </w:rPr>
        <w:t>（4）依据探明的地下水污染情况和污染场地的岩性特征，合理布置轻型井点的深度及间距，并进行轻型井点试抽工作；</w:t>
      </w:r>
    </w:p>
    <w:p>
      <w:pPr>
        <w:widowControl/>
        <w:autoSpaceDN w:val="0"/>
        <w:ind w:firstLine="480"/>
        <w:rPr>
          <w:sz w:val="24"/>
          <w:szCs w:val="24"/>
          <w:highlight w:val="none"/>
        </w:rPr>
      </w:pPr>
      <w:r>
        <w:rPr>
          <w:sz w:val="24"/>
          <w:szCs w:val="24"/>
          <w:highlight w:val="none"/>
        </w:rPr>
        <w:t>（5）依据轻型井点抽水设计方案进行施工，抽取被污染的地下水体，并依据各井点出水情况进行调整；</w:t>
      </w:r>
    </w:p>
    <w:p>
      <w:pPr>
        <w:widowControl/>
        <w:autoSpaceDN w:val="0"/>
        <w:ind w:firstLine="480"/>
        <w:rPr>
          <w:sz w:val="24"/>
          <w:szCs w:val="24"/>
          <w:highlight w:val="none"/>
        </w:rPr>
      </w:pPr>
      <w:r>
        <w:rPr>
          <w:sz w:val="24"/>
          <w:szCs w:val="24"/>
          <w:highlight w:val="none"/>
        </w:rPr>
        <w:t>（6）将抽取的地下水进行集中收集处理，并送实验室进行化验分析；</w:t>
      </w:r>
    </w:p>
    <w:p>
      <w:pPr>
        <w:widowControl/>
        <w:autoSpaceDN w:val="0"/>
        <w:ind w:firstLine="480"/>
        <w:rPr>
          <w:sz w:val="24"/>
          <w:szCs w:val="24"/>
          <w:highlight w:val="none"/>
        </w:rPr>
      </w:pPr>
      <w:r>
        <w:rPr>
          <w:sz w:val="24"/>
          <w:szCs w:val="24"/>
          <w:highlight w:val="none"/>
        </w:rPr>
        <w:t>（7）当地下水中的特征污染物浓度满足地下水功能区划的标准后，逐步停止井点抽水，并进行土壤修复治理工作。</w:t>
      </w:r>
      <w:bookmarkStart w:id="593" w:name="_Toc353482589"/>
      <w:bookmarkEnd w:id="593"/>
      <w:bookmarkStart w:id="594" w:name="_Toc357589716"/>
      <w:bookmarkEnd w:id="594"/>
      <w:bookmarkStart w:id="595" w:name="_Toc353482584"/>
      <w:bookmarkEnd w:id="595"/>
      <w:bookmarkStart w:id="596" w:name="_Toc325797839"/>
      <w:bookmarkEnd w:id="596"/>
      <w:bookmarkStart w:id="597" w:name="_Toc357256859"/>
      <w:bookmarkEnd w:id="597"/>
    </w:p>
    <w:p>
      <w:pPr>
        <w:pStyle w:val="3"/>
        <w:rPr>
          <w:highlight w:val="none"/>
        </w:rPr>
      </w:pPr>
      <w:bookmarkStart w:id="598" w:name="_Toc494006684"/>
      <w:bookmarkStart w:id="599" w:name="_Toc29360"/>
      <w:bookmarkStart w:id="600" w:name="_Toc3202"/>
      <w:bookmarkStart w:id="601" w:name="_Toc14452"/>
      <w:bookmarkStart w:id="602" w:name="_Toc25837"/>
      <w:r>
        <w:rPr>
          <w:rFonts w:hint="eastAsia"/>
          <w:highlight w:val="none"/>
        </w:rPr>
        <w:t>6.2.3.8</w:t>
      </w:r>
      <w:r>
        <w:rPr>
          <w:highlight w:val="none"/>
        </w:rPr>
        <w:t>地下水风险污染事故应急预案</w:t>
      </w:r>
      <w:bookmarkEnd w:id="598"/>
      <w:bookmarkEnd w:id="599"/>
      <w:bookmarkEnd w:id="600"/>
      <w:bookmarkEnd w:id="601"/>
      <w:bookmarkEnd w:id="602"/>
    </w:p>
    <w:p>
      <w:pPr>
        <w:widowControl/>
        <w:autoSpaceDN w:val="0"/>
        <w:ind w:firstLine="480"/>
        <w:rPr>
          <w:sz w:val="24"/>
          <w:szCs w:val="24"/>
          <w:highlight w:val="none"/>
        </w:rPr>
      </w:pPr>
      <w:bookmarkStart w:id="603" w:name="_Toc494006685"/>
      <w:bookmarkStart w:id="604" w:name="_Toc5037"/>
      <w:bookmarkStart w:id="605" w:name="_Toc27045"/>
      <w:r>
        <w:rPr>
          <w:sz w:val="24"/>
          <w:szCs w:val="24"/>
          <w:highlight w:val="none"/>
        </w:rPr>
        <w:t>（1）应急预案</w:t>
      </w:r>
      <w:bookmarkEnd w:id="603"/>
      <w:bookmarkEnd w:id="604"/>
      <w:bookmarkEnd w:id="605"/>
    </w:p>
    <w:p>
      <w:pPr>
        <w:widowControl/>
        <w:autoSpaceDN w:val="0"/>
        <w:ind w:firstLine="480"/>
        <w:rPr>
          <w:sz w:val="24"/>
          <w:szCs w:val="24"/>
          <w:highlight w:val="none"/>
        </w:rPr>
      </w:pPr>
      <w:r>
        <w:rPr>
          <w:sz w:val="24"/>
          <w:szCs w:val="24"/>
          <w:highlight w:val="none"/>
        </w:rPr>
        <w:t>1）在制定厂区安全管理体制的基础上，制订专门的地下水污染事故的应急措施，并应与其它应急预案相协调。</w:t>
      </w:r>
    </w:p>
    <w:p>
      <w:pPr>
        <w:widowControl/>
        <w:autoSpaceDN w:val="0"/>
        <w:ind w:firstLine="480"/>
        <w:rPr>
          <w:sz w:val="24"/>
          <w:szCs w:val="24"/>
          <w:highlight w:val="none"/>
        </w:rPr>
      </w:pPr>
      <w:r>
        <w:rPr>
          <w:sz w:val="24"/>
          <w:szCs w:val="24"/>
          <w:highlight w:val="none"/>
        </w:rPr>
        <w:t>2）地下水应急预案应包括以下内容：</w:t>
      </w:r>
    </w:p>
    <w:p>
      <w:pPr>
        <w:widowControl/>
        <w:autoSpaceDN w:val="0"/>
        <w:ind w:firstLine="480"/>
        <w:rPr>
          <w:sz w:val="24"/>
          <w:szCs w:val="24"/>
          <w:highlight w:val="none"/>
        </w:rPr>
      </w:pPr>
      <w:r>
        <w:rPr>
          <w:sz w:val="24"/>
          <w:szCs w:val="24"/>
          <w:highlight w:val="none"/>
        </w:rPr>
        <w:t>应急预案的日常协调和指挥机构；</w:t>
      </w:r>
    </w:p>
    <w:p>
      <w:pPr>
        <w:widowControl/>
        <w:autoSpaceDN w:val="0"/>
        <w:ind w:firstLine="480"/>
        <w:rPr>
          <w:sz w:val="24"/>
          <w:szCs w:val="24"/>
          <w:highlight w:val="none"/>
        </w:rPr>
      </w:pPr>
      <w:r>
        <w:rPr>
          <w:sz w:val="24"/>
          <w:szCs w:val="24"/>
          <w:highlight w:val="none"/>
        </w:rPr>
        <w:t>相关部门在应急预案中的职责和分工；</w:t>
      </w:r>
    </w:p>
    <w:p>
      <w:pPr>
        <w:widowControl/>
        <w:autoSpaceDN w:val="0"/>
        <w:ind w:firstLine="480"/>
        <w:rPr>
          <w:sz w:val="24"/>
          <w:szCs w:val="24"/>
          <w:highlight w:val="none"/>
        </w:rPr>
      </w:pPr>
      <w:r>
        <w:rPr>
          <w:sz w:val="24"/>
          <w:szCs w:val="24"/>
          <w:highlight w:val="none"/>
        </w:rPr>
        <w:t>地下水环境保护目标的确定,采取的紧急处置措施和潜在污染可能性评估；</w:t>
      </w:r>
    </w:p>
    <w:p>
      <w:pPr>
        <w:widowControl/>
        <w:autoSpaceDN w:val="0"/>
        <w:ind w:firstLine="480"/>
        <w:rPr>
          <w:sz w:val="24"/>
          <w:szCs w:val="24"/>
          <w:highlight w:val="none"/>
        </w:rPr>
      </w:pPr>
      <w:r>
        <w:rPr>
          <w:sz w:val="24"/>
          <w:szCs w:val="24"/>
          <w:highlight w:val="none"/>
        </w:rPr>
        <w:t>特大事故应急救援组织状况和人员、装备情况，平常的训练和演习；</w:t>
      </w:r>
    </w:p>
    <w:p>
      <w:pPr>
        <w:widowControl/>
        <w:autoSpaceDN w:val="0"/>
        <w:ind w:firstLine="480"/>
        <w:rPr>
          <w:sz w:val="24"/>
          <w:szCs w:val="24"/>
          <w:highlight w:val="none"/>
        </w:rPr>
      </w:pPr>
      <w:r>
        <w:rPr>
          <w:sz w:val="24"/>
          <w:szCs w:val="24"/>
          <w:highlight w:val="none"/>
        </w:rPr>
        <w:t>特大事故的社会支持和援助,应急救援的经费保障。</w:t>
      </w:r>
    </w:p>
    <w:p>
      <w:pPr>
        <w:widowControl/>
        <w:autoSpaceDN w:val="0"/>
        <w:ind w:firstLine="480"/>
        <w:rPr>
          <w:sz w:val="24"/>
          <w:szCs w:val="24"/>
          <w:highlight w:val="none"/>
        </w:rPr>
      </w:pPr>
      <w:bookmarkStart w:id="606" w:name="_Toc494006686"/>
      <w:bookmarkStart w:id="607" w:name="_Toc20949"/>
      <w:bookmarkStart w:id="608" w:name="_Toc10401"/>
      <w:r>
        <w:rPr>
          <w:sz w:val="24"/>
          <w:szCs w:val="24"/>
          <w:highlight w:val="none"/>
        </w:rPr>
        <w:t>（2）应急处置</w:t>
      </w:r>
      <w:bookmarkEnd w:id="606"/>
      <w:bookmarkEnd w:id="607"/>
      <w:bookmarkEnd w:id="608"/>
    </w:p>
    <w:p>
      <w:pPr>
        <w:widowControl/>
        <w:autoSpaceDN w:val="0"/>
        <w:ind w:firstLine="480"/>
        <w:rPr>
          <w:sz w:val="24"/>
          <w:szCs w:val="24"/>
          <w:highlight w:val="none"/>
        </w:rPr>
      </w:pPr>
      <w:r>
        <w:rPr>
          <w:sz w:val="24"/>
          <w:szCs w:val="24"/>
          <w:highlight w:val="none"/>
        </w:rPr>
        <w:t>一旦发现地下水水质发生异常情况，必须按照应急预案马上采取紧急措施：</w:t>
      </w:r>
    </w:p>
    <w:p>
      <w:pPr>
        <w:widowControl/>
        <w:autoSpaceDN w:val="0"/>
        <w:ind w:firstLine="480"/>
        <w:rPr>
          <w:sz w:val="24"/>
          <w:szCs w:val="24"/>
          <w:highlight w:val="none"/>
        </w:rPr>
      </w:pPr>
      <w:r>
        <w:rPr>
          <w:sz w:val="24"/>
          <w:szCs w:val="24"/>
          <w:highlight w:val="none"/>
        </w:rPr>
        <w:t>1）当确定发生地下水异常情况时，按照制订的地下水应急预案，在第一时间内尽快上报主管领导，通知当地环保局，密切关注地下水水质变化情况。</w:t>
      </w:r>
    </w:p>
    <w:p>
      <w:pPr>
        <w:widowControl/>
        <w:autoSpaceDN w:val="0"/>
        <w:ind w:firstLine="480"/>
        <w:rPr>
          <w:sz w:val="24"/>
          <w:szCs w:val="24"/>
          <w:highlight w:val="none"/>
        </w:rPr>
      </w:pPr>
      <w:r>
        <w:rPr>
          <w:sz w:val="24"/>
          <w:szCs w:val="24"/>
          <w:highlight w:val="none"/>
        </w:rPr>
        <w:t>2）组织专业队伍对事故现场进行调查、监测，尽量将紧急事件局部化，防止事故的扩散、蔓延及连锁反应，尽量缩小地下水污染事故的影响范围和程度。</w:t>
      </w:r>
    </w:p>
    <w:p>
      <w:pPr>
        <w:widowControl/>
        <w:autoSpaceDN w:val="0"/>
        <w:ind w:firstLine="480"/>
        <w:rPr>
          <w:sz w:val="24"/>
          <w:szCs w:val="24"/>
          <w:highlight w:val="none"/>
        </w:rPr>
      </w:pPr>
      <w:r>
        <w:rPr>
          <w:sz w:val="24"/>
          <w:szCs w:val="24"/>
          <w:highlight w:val="none"/>
        </w:rPr>
        <w:t>3）当通过监测发现水质监测井周围地下水造成污染时，根据监测井的反馈信息，立即启动应急预案，采取措施，抑制污染物向下游扩散量，控制污染范围，使地下水质量得到尽快恢复。</w:t>
      </w:r>
    </w:p>
    <w:p>
      <w:pPr>
        <w:widowControl/>
        <w:autoSpaceDN w:val="0"/>
        <w:ind w:firstLine="480"/>
        <w:rPr>
          <w:sz w:val="24"/>
          <w:szCs w:val="24"/>
          <w:highlight w:val="none"/>
        </w:rPr>
      </w:pPr>
      <w:r>
        <w:rPr>
          <w:sz w:val="24"/>
          <w:szCs w:val="24"/>
          <w:highlight w:val="none"/>
        </w:rPr>
        <w:t>4）对事故后果进行评估，并制定防止类似事件发生的措施。</w:t>
      </w:r>
    </w:p>
    <w:p>
      <w:pPr>
        <w:pStyle w:val="207"/>
        <w:spacing w:line="360" w:lineRule="auto"/>
        <w:ind w:firstLine="480" w:firstLineChars="200"/>
        <w:rPr>
          <w:szCs w:val="24"/>
          <w:highlight w:val="none"/>
        </w:rPr>
      </w:pPr>
      <w:r>
        <w:rPr>
          <w:szCs w:val="24"/>
          <w:highlight w:val="none"/>
        </w:rPr>
        <w:t>5）如果自身力量无法应对污染事故，应立即请求社会应急力量协助处理。</w:t>
      </w:r>
    </w:p>
    <w:p>
      <w:pPr>
        <w:pStyle w:val="6"/>
        <w:numPr>
          <w:ilvl w:val="2"/>
          <w:numId w:val="1"/>
        </w:numPr>
        <w:spacing w:before="0" w:after="0"/>
        <w:ind w:left="567"/>
        <w:rPr>
          <w:szCs w:val="28"/>
          <w:highlight w:val="none"/>
        </w:rPr>
      </w:pPr>
      <w:bookmarkStart w:id="609" w:name="_Toc521591814"/>
      <w:bookmarkStart w:id="610" w:name="_Toc22411"/>
      <w:r>
        <w:rPr>
          <w:szCs w:val="28"/>
          <w:highlight w:val="none"/>
        </w:rPr>
        <w:t>运营期噪声污染防治措施</w:t>
      </w:r>
      <w:bookmarkEnd w:id="609"/>
      <w:bookmarkEnd w:id="610"/>
    </w:p>
    <w:p>
      <w:pPr>
        <w:autoSpaceDE w:val="0"/>
        <w:autoSpaceDN w:val="0"/>
        <w:ind w:firstLine="480"/>
        <w:jc w:val="both"/>
        <w:textAlignment w:val="auto"/>
        <w:rPr>
          <w:sz w:val="24"/>
          <w:szCs w:val="24"/>
          <w:highlight w:val="none"/>
        </w:rPr>
      </w:pPr>
      <w:r>
        <w:rPr>
          <w:kern w:val="2"/>
          <w:sz w:val="24"/>
          <w:szCs w:val="24"/>
          <w:highlight w:val="none"/>
        </w:rPr>
        <w:t>本项目主要噪声来源于破碎机、</w:t>
      </w:r>
      <w:r>
        <w:rPr>
          <w:rFonts w:hint="eastAsia"/>
          <w:kern w:val="2"/>
          <w:sz w:val="24"/>
          <w:szCs w:val="24"/>
          <w:highlight w:val="none"/>
          <w:lang w:val="en-US" w:eastAsia="zh-CN"/>
        </w:rPr>
        <w:t>振动筛</w:t>
      </w:r>
      <w:r>
        <w:rPr>
          <w:kern w:val="2"/>
          <w:sz w:val="24"/>
          <w:szCs w:val="24"/>
          <w:highlight w:val="none"/>
        </w:rPr>
        <w:t>、磁选机、水泵等设备运行过程中产生的噪声，噪声的声压级一般在75~</w:t>
      </w:r>
      <w:r>
        <w:rPr>
          <w:rFonts w:hint="eastAsia"/>
          <w:kern w:val="2"/>
          <w:sz w:val="24"/>
          <w:szCs w:val="24"/>
          <w:highlight w:val="none"/>
        </w:rPr>
        <w:t>100</w:t>
      </w:r>
      <w:r>
        <w:rPr>
          <w:kern w:val="2"/>
          <w:sz w:val="24"/>
          <w:szCs w:val="24"/>
          <w:highlight w:val="none"/>
        </w:rPr>
        <w:t>dB（A）左右</w:t>
      </w:r>
      <w:r>
        <w:rPr>
          <w:sz w:val="24"/>
          <w:szCs w:val="24"/>
          <w:highlight w:val="none"/>
        </w:rPr>
        <w:t>。针</w:t>
      </w:r>
      <w:r>
        <w:rPr>
          <w:bCs/>
          <w:sz w:val="24"/>
          <w:szCs w:val="24"/>
          <w:highlight w:val="none"/>
        </w:rPr>
        <w:t>对本项目噪声特点，拟采取以下噪声防治措施：</w:t>
      </w:r>
    </w:p>
    <w:p>
      <w:pPr>
        <w:autoSpaceDE w:val="0"/>
        <w:autoSpaceDN w:val="0"/>
        <w:ind w:firstLine="480"/>
        <w:jc w:val="both"/>
        <w:textAlignment w:val="auto"/>
        <w:rPr>
          <w:kern w:val="2"/>
          <w:sz w:val="24"/>
          <w:szCs w:val="24"/>
          <w:highlight w:val="none"/>
        </w:rPr>
      </w:pPr>
      <w:r>
        <w:rPr>
          <w:bCs/>
          <w:sz w:val="24"/>
          <w:szCs w:val="24"/>
          <w:highlight w:val="none"/>
        </w:rPr>
        <w:t>（1）平面布置将高噪声的设备集中布置，生产区与生活办公区分开布设；</w:t>
      </w:r>
    </w:p>
    <w:p>
      <w:pPr>
        <w:autoSpaceDE w:val="0"/>
        <w:autoSpaceDN w:val="0"/>
        <w:ind w:firstLine="480"/>
        <w:jc w:val="both"/>
        <w:textAlignment w:val="auto"/>
        <w:rPr>
          <w:kern w:val="2"/>
          <w:sz w:val="24"/>
          <w:szCs w:val="24"/>
          <w:highlight w:val="none"/>
        </w:rPr>
      </w:pPr>
      <w:r>
        <w:rPr>
          <w:kern w:val="2"/>
          <w:sz w:val="24"/>
          <w:szCs w:val="24"/>
          <w:highlight w:val="none"/>
        </w:rPr>
        <w:t>（2）选用噪声低、振动小的设备，同时运营后加强对各种机械的维修保养，保持其良好的运行效果；设备均采用隔振基础、柔性接头、弹性隔振吊、支架等。</w:t>
      </w:r>
    </w:p>
    <w:p>
      <w:pPr>
        <w:autoSpaceDE w:val="0"/>
        <w:autoSpaceDN w:val="0"/>
        <w:ind w:firstLine="480"/>
        <w:jc w:val="both"/>
        <w:textAlignment w:val="auto"/>
        <w:rPr>
          <w:kern w:val="2"/>
          <w:sz w:val="24"/>
          <w:szCs w:val="24"/>
          <w:highlight w:val="none"/>
        </w:rPr>
      </w:pPr>
      <w:r>
        <w:rPr>
          <w:kern w:val="2"/>
          <w:sz w:val="24"/>
          <w:szCs w:val="24"/>
          <w:highlight w:val="none"/>
        </w:rPr>
        <w:t>（3）生产设备置于车间内，充分利用建筑物隔声，车间墙壁加装吸声材料，降低对周围环境的影响。</w:t>
      </w:r>
    </w:p>
    <w:p>
      <w:pPr>
        <w:autoSpaceDE w:val="0"/>
        <w:autoSpaceDN w:val="0"/>
        <w:ind w:firstLine="480"/>
        <w:jc w:val="both"/>
        <w:textAlignment w:val="auto"/>
        <w:rPr>
          <w:kern w:val="2"/>
          <w:sz w:val="24"/>
          <w:szCs w:val="24"/>
          <w:highlight w:val="none"/>
        </w:rPr>
      </w:pPr>
      <w:r>
        <w:rPr>
          <w:kern w:val="2"/>
          <w:sz w:val="24"/>
          <w:szCs w:val="24"/>
          <w:highlight w:val="none"/>
        </w:rPr>
        <w:t>（4）水泵机组底座下设置橡胶隔振器、金属弹簧隔振器或弹性衬垫材料；保证吸水口吞没深度和吸水管衔接的严厉密封；吸水管道上和出水管上装设软性衔接装置。</w:t>
      </w:r>
    </w:p>
    <w:p>
      <w:pPr>
        <w:ind w:firstLine="480"/>
        <w:jc w:val="both"/>
        <w:rPr>
          <w:bCs/>
          <w:sz w:val="24"/>
          <w:szCs w:val="24"/>
          <w:highlight w:val="none"/>
        </w:rPr>
      </w:pPr>
      <w:r>
        <w:rPr>
          <w:bCs/>
          <w:sz w:val="24"/>
          <w:szCs w:val="24"/>
          <w:highlight w:val="none"/>
        </w:rPr>
        <w:t>（5）运营期应加强调度管理，尽量减少夜间运输。</w:t>
      </w:r>
    </w:p>
    <w:p>
      <w:pPr>
        <w:autoSpaceDE w:val="0"/>
        <w:autoSpaceDN w:val="0"/>
        <w:ind w:firstLine="480"/>
        <w:jc w:val="both"/>
        <w:textAlignment w:val="auto"/>
        <w:rPr>
          <w:kern w:val="2"/>
          <w:sz w:val="24"/>
          <w:szCs w:val="24"/>
          <w:highlight w:val="none"/>
        </w:rPr>
      </w:pPr>
      <w:r>
        <w:rPr>
          <w:bCs/>
          <w:sz w:val="24"/>
          <w:szCs w:val="24"/>
          <w:highlight w:val="none"/>
        </w:rPr>
        <w:t>（6）运输车辆要限制车速，经过村庄时要减速行驶，夜间要禁止鸣笛。</w:t>
      </w:r>
    </w:p>
    <w:p>
      <w:pPr>
        <w:autoSpaceDE w:val="0"/>
        <w:autoSpaceDN w:val="0"/>
        <w:ind w:firstLine="480"/>
        <w:jc w:val="both"/>
        <w:textAlignment w:val="auto"/>
        <w:rPr>
          <w:kern w:val="2"/>
          <w:sz w:val="24"/>
          <w:szCs w:val="24"/>
          <w:highlight w:val="none"/>
        </w:rPr>
      </w:pPr>
      <w:r>
        <w:rPr>
          <w:kern w:val="2"/>
          <w:sz w:val="24"/>
          <w:szCs w:val="24"/>
          <w:highlight w:val="none"/>
        </w:rPr>
        <w:t>（7）加强厂区四周绿化，合理配置绿化物种及高度，以提高绿地和树木对噪声的阻断和吸收衰减作用。</w:t>
      </w:r>
    </w:p>
    <w:p>
      <w:pPr>
        <w:autoSpaceDE w:val="0"/>
        <w:autoSpaceDN w:val="0"/>
        <w:ind w:firstLine="480"/>
        <w:jc w:val="both"/>
        <w:textAlignment w:val="auto"/>
        <w:rPr>
          <w:kern w:val="2"/>
          <w:sz w:val="24"/>
          <w:szCs w:val="24"/>
          <w:highlight w:val="none"/>
        </w:rPr>
      </w:pPr>
      <w:r>
        <w:rPr>
          <w:kern w:val="2"/>
          <w:sz w:val="24"/>
          <w:szCs w:val="24"/>
          <w:highlight w:val="none"/>
        </w:rPr>
        <w:t>虽然本项目选用低噪设备，并采用了各种降噪措施对车间噪声进行降噪处理，使厂界噪声达标，但生产设备产生的噪声仍对员工的影响较大，如不注意对员工的防护会对员工的健康带来一定的影响。</w:t>
      </w:r>
    </w:p>
    <w:p>
      <w:pPr>
        <w:autoSpaceDE w:val="0"/>
        <w:autoSpaceDN w:val="0"/>
        <w:ind w:firstLine="480"/>
        <w:jc w:val="both"/>
        <w:textAlignment w:val="auto"/>
        <w:rPr>
          <w:sz w:val="24"/>
          <w:szCs w:val="24"/>
          <w:highlight w:val="none"/>
        </w:rPr>
      </w:pPr>
      <w:r>
        <w:rPr>
          <w:kern w:val="2"/>
          <w:sz w:val="24"/>
          <w:szCs w:val="24"/>
          <w:highlight w:val="none"/>
        </w:rPr>
        <w:t>建设单位采取以下措施减少工作时噪声对员工的影响：</w:t>
      </w:r>
      <w:r>
        <w:rPr>
          <w:rFonts w:hint="eastAsia" w:ascii="宋体" w:hAnsi="宋体" w:cs="宋体"/>
          <w:kern w:val="2"/>
          <w:sz w:val="24"/>
          <w:szCs w:val="24"/>
          <w:highlight w:val="none"/>
        </w:rPr>
        <w:t>①</w:t>
      </w:r>
      <w:r>
        <w:rPr>
          <w:kern w:val="2"/>
          <w:sz w:val="24"/>
          <w:szCs w:val="24"/>
          <w:highlight w:val="none"/>
        </w:rPr>
        <w:t>发放耳塞，减少工作时噪声的影响；</w:t>
      </w:r>
      <w:r>
        <w:rPr>
          <w:rFonts w:hint="eastAsia" w:ascii="宋体" w:hAnsi="宋体" w:cs="宋体"/>
          <w:kern w:val="2"/>
          <w:sz w:val="24"/>
          <w:szCs w:val="24"/>
          <w:highlight w:val="none"/>
        </w:rPr>
        <w:t>②</w:t>
      </w:r>
      <w:r>
        <w:rPr>
          <w:kern w:val="2"/>
          <w:sz w:val="24"/>
          <w:szCs w:val="24"/>
          <w:highlight w:val="none"/>
        </w:rPr>
        <w:t>在厂房内设置隔声休息室，定时安排员工进入休息室休息，缓解噪声带来的影响；</w:t>
      </w:r>
      <w:r>
        <w:rPr>
          <w:rFonts w:hint="eastAsia" w:ascii="宋体" w:hAnsi="宋体" w:cs="宋体"/>
          <w:kern w:val="2"/>
          <w:sz w:val="24"/>
          <w:szCs w:val="24"/>
          <w:highlight w:val="none"/>
        </w:rPr>
        <w:t>③</w:t>
      </w:r>
      <w:r>
        <w:rPr>
          <w:kern w:val="2"/>
          <w:sz w:val="24"/>
          <w:szCs w:val="24"/>
          <w:highlight w:val="none"/>
        </w:rPr>
        <w:t>定期对员工进行体检，如有发现工作噪声对员工的健康带来危害，立即进行治疗并及时调整员工工作时间及个人防护措施。</w:t>
      </w:r>
    </w:p>
    <w:p>
      <w:pPr>
        <w:pStyle w:val="6"/>
        <w:numPr>
          <w:ilvl w:val="2"/>
          <w:numId w:val="1"/>
        </w:numPr>
        <w:spacing w:before="0" w:after="0"/>
        <w:ind w:left="567"/>
        <w:rPr>
          <w:szCs w:val="28"/>
          <w:highlight w:val="none"/>
        </w:rPr>
      </w:pPr>
      <w:bookmarkStart w:id="611" w:name="_Toc24295"/>
      <w:bookmarkStart w:id="612" w:name="_Toc521591815"/>
      <w:r>
        <w:rPr>
          <w:szCs w:val="28"/>
          <w:highlight w:val="none"/>
        </w:rPr>
        <w:t>运营期固废</w:t>
      </w:r>
      <w:r>
        <w:rPr>
          <w:rFonts w:hint="eastAsia"/>
          <w:szCs w:val="28"/>
          <w:highlight w:val="none"/>
        </w:rPr>
        <w:t>处置</w:t>
      </w:r>
      <w:r>
        <w:rPr>
          <w:szCs w:val="28"/>
          <w:highlight w:val="none"/>
        </w:rPr>
        <w:t>措施</w:t>
      </w:r>
      <w:bookmarkEnd w:id="611"/>
      <w:bookmarkEnd w:id="612"/>
    </w:p>
    <w:p>
      <w:pPr>
        <w:ind w:firstLine="480"/>
        <w:jc w:val="both"/>
        <w:rPr>
          <w:bCs/>
          <w:sz w:val="24"/>
          <w:szCs w:val="24"/>
          <w:highlight w:val="none"/>
        </w:rPr>
      </w:pPr>
      <w:r>
        <w:rPr>
          <w:rFonts w:hint="eastAsia"/>
          <w:bCs/>
          <w:sz w:val="24"/>
          <w:szCs w:val="24"/>
          <w:highlight w:val="none"/>
          <w:lang w:val="en-US" w:eastAsia="zh-CN"/>
        </w:rPr>
        <w:t>本项目</w:t>
      </w:r>
      <w:r>
        <w:rPr>
          <w:bCs/>
          <w:sz w:val="24"/>
          <w:szCs w:val="24"/>
          <w:highlight w:val="none"/>
        </w:rPr>
        <w:t>产生的一般固体废物主要为</w:t>
      </w:r>
      <w:r>
        <w:rPr>
          <w:rFonts w:hint="eastAsia"/>
          <w:bCs/>
          <w:sz w:val="24"/>
          <w:szCs w:val="24"/>
          <w:highlight w:val="none"/>
          <w:lang w:val="en-US" w:eastAsia="zh-CN"/>
        </w:rPr>
        <w:t>砂石料</w:t>
      </w:r>
      <w:r>
        <w:rPr>
          <w:bCs/>
          <w:sz w:val="24"/>
          <w:szCs w:val="24"/>
          <w:highlight w:val="none"/>
        </w:rPr>
        <w:t>、</w:t>
      </w:r>
      <w:r>
        <w:rPr>
          <w:rFonts w:hint="eastAsia"/>
          <w:bCs/>
          <w:sz w:val="24"/>
          <w:szCs w:val="24"/>
          <w:highlight w:val="none"/>
          <w:lang w:val="en-US" w:eastAsia="zh-CN"/>
        </w:rPr>
        <w:t>除尘灰</w:t>
      </w:r>
      <w:r>
        <w:rPr>
          <w:bCs/>
          <w:sz w:val="24"/>
          <w:szCs w:val="24"/>
          <w:highlight w:val="none"/>
        </w:rPr>
        <w:t>，危险废物主要为废</w:t>
      </w:r>
      <w:r>
        <w:rPr>
          <w:rFonts w:hint="eastAsia"/>
          <w:bCs/>
          <w:sz w:val="24"/>
          <w:szCs w:val="24"/>
          <w:highlight w:val="none"/>
        </w:rPr>
        <w:t>矿物油</w:t>
      </w:r>
      <w:r>
        <w:rPr>
          <w:bCs/>
          <w:sz w:val="24"/>
          <w:szCs w:val="24"/>
          <w:highlight w:val="none"/>
        </w:rPr>
        <w:t>、废油桶。</w:t>
      </w:r>
    </w:p>
    <w:p>
      <w:pPr>
        <w:numPr>
          <w:ilvl w:val="0"/>
          <w:numId w:val="5"/>
        </w:numPr>
        <w:ind w:firstLine="480"/>
        <w:jc w:val="both"/>
        <w:rPr>
          <w:rFonts w:hint="eastAsia"/>
          <w:bCs/>
          <w:sz w:val="24"/>
          <w:szCs w:val="24"/>
          <w:highlight w:val="none"/>
          <w:lang w:val="en-US" w:eastAsia="zh-CN"/>
        </w:rPr>
      </w:pPr>
      <w:r>
        <w:rPr>
          <w:rFonts w:hint="eastAsia"/>
          <w:bCs/>
          <w:sz w:val="24"/>
          <w:szCs w:val="24"/>
          <w:highlight w:val="none"/>
          <w:lang w:val="en-US" w:eastAsia="zh-CN"/>
        </w:rPr>
        <w:t>砂石料</w:t>
      </w:r>
    </w:p>
    <w:p>
      <w:pPr>
        <w:numPr>
          <w:ilvl w:val="0"/>
          <w:numId w:val="0"/>
        </w:numPr>
        <w:ind w:firstLine="480" w:firstLineChars="200"/>
        <w:jc w:val="both"/>
        <w:rPr>
          <w:sz w:val="24"/>
          <w:highlight w:val="none"/>
        </w:rPr>
      </w:pPr>
      <w:r>
        <w:rPr>
          <w:sz w:val="24"/>
          <w:highlight w:val="none"/>
        </w:rPr>
        <w:t>本项目</w:t>
      </w:r>
      <w:r>
        <w:rPr>
          <w:rFonts w:hint="eastAsia"/>
          <w:sz w:val="24"/>
          <w:highlight w:val="none"/>
          <w:lang w:val="en-US" w:eastAsia="zh-CN"/>
        </w:rPr>
        <w:t>砂石料暂存于成品库，作为建筑材料外售</w:t>
      </w:r>
      <w:r>
        <w:rPr>
          <w:sz w:val="24"/>
          <w:highlight w:val="none"/>
        </w:rPr>
        <w:t>。</w:t>
      </w:r>
    </w:p>
    <w:p>
      <w:pPr>
        <w:numPr>
          <w:ilvl w:val="0"/>
          <w:numId w:val="0"/>
        </w:numPr>
        <w:ind w:firstLine="480" w:firstLineChars="200"/>
        <w:rPr>
          <w:rFonts w:hint="eastAsia"/>
          <w:sz w:val="24"/>
          <w:szCs w:val="24"/>
          <w:highlight w:val="none"/>
          <w:lang w:val="en-US" w:eastAsia="zh-CN"/>
        </w:rPr>
      </w:pPr>
      <w:r>
        <w:rPr>
          <w:rFonts w:hint="eastAsia"/>
          <w:sz w:val="24"/>
          <w:szCs w:val="24"/>
          <w:highlight w:val="none"/>
          <w:lang w:val="en-US" w:eastAsia="zh-CN"/>
        </w:rPr>
        <w:t>（2）除尘灰</w:t>
      </w:r>
    </w:p>
    <w:p>
      <w:pPr>
        <w:ind w:firstLine="480"/>
        <w:jc w:val="both"/>
        <w:rPr>
          <w:bCs/>
          <w:sz w:val="24"/>
          <w:szCs w:val="24"/>
          <w:highlight w:val="none"/>
        </w:rPr>
      </w:pPr>
      <w:r>
        <w:rPr>
          <w:bCs/>
          <w:sz w:val="24"/>
          <w:szCs w:val="24"/>
          <w:highlight w:val="none"/>
        </w:rPr>
        <w:t>高效除尘器收集的粉尘量，</w:t>
      </w:r>
      <w:r>
        <w:rPr>
          <w:rFonts w:hint="eastAsia" w:ascii="Times New Roman" w:hAnsi="Times New Roman" w:eastAsia="宋体" w:cs="Times New Roman"/>
          <w:spacing w:val="8"/>
          <w:sz w:val="23"/>
          <w:szCs w:val="23"/>
          <w:lang w:val="en-US" w:eastAsia="zh-CN"/>
        </w:rPr>
        <w:t>灰仓底部设水箱，卸灰至水</w:t>
      </w:r>
      <w:r>
        <w:rPr>
          <w:rFonts w:hint="eastAsia" w:ascii="Times New Roman" w:hAnsi="Times New Roman" w:eastAsia="宋体" w:cs="Times New Roman"/>
          <w:spacing w:val="29"/>
          <w:sz w:val="23"/>
          <w:szCs w:val="23"/>
          <w:lang w:val="en-US" w:eastAsia="zh-CN"/>
        </w:rPr>
        <w:t>箱内，由渣浆泵打入球磨机回用于生产</w:t>
      </w:r>
      <w:r>
        <w:rPr>
          <w:bCs/>
          <w:sz w:val="24"/>
          <w:szCs w:val="24"/>
          <w:highlight w:val="none"/>
        </w:rPr>
        <w:t>。</w:t>
      </w:r>
    </w:p>
    <w:p>
      <w:pPr>
        <w:numPr>
          <w:ilvl w:val="0"/>
          <w:numId w:val="0"/>
        </w:numPr>
        <w:ind w:firstLine="480" w:firstLineChars="200"/>
        <w:rPr>
          <w:rFonts w:hint="eastAsia"/>
          <w:sz w:val="24"/>
          <w:szCs w:val="24"/>
          <w:highlight w:val="none"/>
          <w:lang w:val="en-US" w:eastAsia="zh-CN"/>
        </w:rPr>
      </w:pPr>
      <w:r>
        <w:rPr>
          <w:rFonts w:hint="eastAsia"/>
          <w:sz w:val="24"/>
          <w:szCs w:val="24"/>
          <w:highlight w:val="none"/>
          <w:lang w:val="en-US" w:eastAsia="zh-CN"/>
        </w:rPr>
        <w:t>（3）废钢球</w:t>
      </w:r>
    </w:p>
    <w:p>
      <w:pPr>
        <w:ind w:firstLine="480"/>
        <w:jc w:val="both"/>
        <w:rPr>
          <w:bCs/>
          <w:sz w:val="24"/>
          <w:szCs w:val="24"/>
        </w:rPr>
      </w:pPr>
      <w:r>
        <w:rPr>
          <w:bCs/>
          <w:sz w:val="24"/>
          <w:szCs w:val="24"/>
        </w:rPr>
        <w:t>球磨机使用的球磨钢球，随着钢球磨损而废弃。废钢球产生量约为10.5t/a，由厂家回收处理。</w:t>
      </w:r>
    </w:p>
    <w:p>
      <w:pPr>
        <w:ind w:firstLine="480"/>
        <w:jc w:val="both"/>
        <w:textAlignment w:val="auto"/>
        <w:rPr>
          <w:kern w:val="2"/>
          <w:sz w:val="24"/>
          <w:szCs w:val="24"/>
          <w:highlight w:val="none"/>
        </w:rPr>
      </w:pPr>
      <w:r>
        <w:rPr>
          <w:kern w:val="2"/>
          <w:sz w:val="24"/>
          <w:szCs w:val="24"/>
          <w:highlight w:val="none"/>
        </w:rPr>
        <w:t>（</w:t>
      </w:r>
      <w:r>
        <w:rPr>
          <w:rFonts w:hint="eastAsia"/>
          <w:kern w:val="2"/>
          <w:sz w:val="24"/>
          <w:szCs w:val="24"/>
          <w:highlight w:val="none"/>
          <w:lang w:val="en-US" w:eastAsia="zh-CN"/>
        </w:rPr>
        <w:t>4</w:t>
      </w:r>
      <w:r>
        <w:rPr>
          <w:kern w:val="2"/>
          <w:sz w:val="24"/>
          <w:szCs w:val="24"/>
          <w:highlight w:val="none"/>
        </w:rPr>
        <w:t>）危险废物</w:t>
      </w:r>
    </w:p>
    <w:p>
      <w:pPr>
        <w:numPr>
          <w:ilvl w:val="0"/>
          <w:numId w:val="0"/>
        </w:numPr>
        <w:ind w:firstLine="480" w:firstLineChars="200"/>
        <w:jc w:val="both"/>
        <w:rPr>
          <w:rFonts w:hint="eastAsia"/>
          <w:sz w:val="24"/>
          <w:highlight w:val="none"/>
          <w:lang w:val="en-US" w:eastAsia="zh-CN"/>
        </w:rPr>
      </w:pPr>
      <w:r>
        <w:rPr>
          <w:rFonts w:hint="eastAsia"/>
          <w:sz w:val="24"/>
          <w:highlight w:val="none"/>
          <w:lang w:val="en-US" w:eastAsia="zh-CN"/>
        </w:rPr>
        <w:t>本项目所产危险废物主要为设备维护、检修过程中产生的废矿物油、废油桶，将废矿物油用耐腐蚀容器统一收集后与废油桶分区存于厂区危废间内，定期交由有资质的危险废物处置单位处理。</w:t>
      </w:r>
    </w:p>
    <w:p>
      <w:pPr>
        <w:numPr>
          <w:ilvl w:val="0"/>
          <w:numId w:val="0"/>
        </w:numPr>
        <w:snapToGrid w:val="0"/>
        <w:ind w:leftChars="200"/>
        <w:jc w:val="both"/>
        <w:rPr>
          <w:rFonts w:hint="eastAsia"/>
          <w:bCs/>
          <w:sz w:val="24"/>
          <w:szCs w:val="24"/>
          <w:highlight w:val="none"/>
        </w:rPr>
      </w:pPr>
      <w:r>
        <w:rPr>
          <w:rFonts w:hint="eastAsia"/>
          <w:bCs/>
          <w:sz w:val="24"/>
          <w:szCs w:val="24"/>
          <w:highlight w:val="none"/>
          <w:lang w:val="en-US" w:eastAsia="zh-CN"/>
        </w:rPr>
        <w:t>（5）现有</w:t>
      </w:r>
      <w:r>
        <w:rPr>
          <w:rFonts w:hint="eastAsia"/>
          <w:bCs/>
          <w:sz w:val="24"/>
          <w:szCs w:val="24"/>
          <w:highlight w:val="none"/>
        </w:rPr>
        <w:t>危废间</w:t>
      </w:r>
      <w:r>
        <w:rPr>
          <w:rFonts w:hint="eastAsia"/>
          <w:bCs/>
          <w:sz w:val="24"/>
          <w:szCs w:val="24"/>
          <w:highlight w:val="none"/>
          <w:lang w:val="en-US" w:eastAsia="zh-CN"/>
        </w:rPr>
        <w:t>依托可行性以及</w:t>
      </w:r>
      <w:r>
        <w:rPr>
          <w:rFonts w:hint="eastAsia"/>
          <w:bCs/>
          <w:sz w:val="24"/>
          <w:szCs w:val="24"/>
          <w:highlight w:val="none"/>
        </w:rPr>
        <w:t>建设管理要求</w:t>
      </w:r>
    </w:p>
    <w:p>
      <w:pPr>
        <w:numPr>
          <w:ilvl w:val="0"/>
          <w:numId w:val="0"/>
        </w:numPr>
        <w:snapToGrid w:val="0"/>
        <w:ind w:firstLine="480" w:firstLineChars="200"/>
        <w:jc w:val="both"/>
        <w:rPr>
          <w:bCs/>
          <w:sz w:val="24"/>
          <w:szCs w:val="24"/>
          <w:highlight w:val="none"/>
        </w:rPr>
      </w:pPr>
      <w:r>
        <w:rPr>
          <w:rFonts w:hint="eastAsia"/>
          <w:bCs/>
          <w:sz w:val="24"/>
          <w:szCs w:val="24"/>
          <w:highlight w:val="none"/>
          <w:lang w:val="en-US" w:eastAsia="zh-CN"/>
        </w:rPr>
        <w:t>厂区现有危废间富余存储能力能够满足本项目存储需求，且现有</w:t>
      </w:r>
      <w:r>
        <w:rPr>
          <w:rFonts w:hint="eastAsia"/>
          <w:bCs/>
          <w:sz w:val="24"/>
          <w:szCs w:val="24"/>
          <w:highlight w:val="none"/>
        </w:rPr>
        <w:t>危废间</w:t>
      </w:r>
      <w:r>
        <w:rPr>
          <w:bCs/>
          <w:sz w:val="24"/>
          <w:szCs w:val="24"/>
          <w:highlight w:val="none"/>
        </w:rPr>
        <w:t>严格</w:t>
      </w:r>
      <w:r>
        <w:rPr>
          <w:rFonts w:hint="eastAsia"/>
          <w:bCs/>
          <w:sz w:val="24"/>
          <w:szCs w:val="24"/>
          <w:highlight w:val="none"/>
        </w:rPr>
        <w:t>按照《危险废物贮存污染控制标准》（GB18597-20</w:t>
      </w:r>
      <w:r>
        <w:rPr>
          <w:rFonts w:hint="eastAsia"/>
          <w:bCs/>
          <w:sz w:val="24"/>
          <w:szCs w:val="24"/>
          <w:highlight w:val="none"/>
          <w:lang w:val="en-US" w:eastAsia="zh-CN"/>
        </w:rPr>
        <w:t>23</w:t>
      </w:r>
      <w:r>
        <w:rPr>
          <w:rFonts w:hint="eastAsia"/>
          <w:bCs/>
          <w:sz w:val="24"/>
          <w:szCs w:val="24"/>
          <w:highlight w:val="none"/>
        </w:rPr>
        <w:t>）相关要求</w:t>
      </w:r>
      <w:r>
        <w:rPr>
          <w:rFonts w:hint="eastAsia"/>
          <w:bCs/>
          <w:sz w:val="24"/>
          <w:szCs w:val="24"/>
          <w:highlight w:val="none"/>
          <w:lang w:val="en-US" w:eastAsia="zh-CN"/>
        </w:rPr>
        <w:t>进行了建设及管理</w:t>
      </w:r>
      <w:r>
        <w:rPr>
          <w:rFonts w:hint="eastAsia"/>
          <w:bCs/>
          <w:sz w:val="24"/>
          <w:szCs w:val="24"/>
          <w:highlight w:val="none"/>
        </w:rPr>
        <w:t>：</w:t>
      </w:r>
    </w:p>
    <w:p>
      <w:pPr>
        <w:snapToGrid w:val="0"/>
        <w:ind w:firstLine="480"/>
        <w:jc w:val="both"/>
        <w:rPr>
          <w:bCs/>
          <w:sz w:val="24"/>
          <w:szCs w:val="24"/>
          <w:highlight w:val="none"/>
        </w:rPr>
      </w:pPr>
      <w:r>
        <w:rPr>
          <w:rFonts w:hint="eastAsia"/>
          <w:bCs/>
          <w:sz w:val="24"/>
          <w:szCs w:val="24"/>
          <w:highlight w:val="none"/>
        </w:rPr>
        <w:t>①地面与裙脚采取防渗措施</w:t>
      </w:r>
      <w:r>
        <w:rPr>
          <w:bCs/>
          <w:sz w:val="24"/>
          <w:szCs w:val="24"/>
          <w:highlight w:val="none"/>
        </w:rPr>
        <w:t>，同时设置泄漏液体的收集装置。防渗层渗透系数小于10</w:t>
      </w:r>
      <w:r>
        <w:rPr>
          <w:bCs/>
          <w:sz w:val="24"/>
          <w:szCs w:val="24"/>
          <w:highlight w:val="none"/>
          <w:vertAlign w:val="superscript"/>
        </w:rPr>
        <w:t>-10</w:t>
      </w:r>
      <w:r>
        <w:rPr>
          <w:bCs/>
          <w:sz w:val="24"/>
          <w:szCs w:val="24"/>
          <w:highlight w:val="none"/>
        </w:rPr>
        <w:t>cm/s</w:t>
      </w:r>
      <w:r>
        <w:rPr>
          <w:rFonts w:hint="eastAsia"/>
          <w:bCs/>
          <w:sz w:val="24"/>
          <w:szCs w:val="24"/>
          <w:highlight w:val="none"/>
        </w:rPr>
        <w:t>。</w:t>
      </w:r>
      <w:r>
        <w:rPr>
          <w:bCs/>
          <w:sz w:val="24"/>
          <w:szCs w:val="24"/>
          <w:highlight w:val="none"/>
        </w:rPr>
        <w:t>地面及四周裙脚均</w:t>
      </w:r>
      <w:r>
        <w:rPr>
          <w:rFonts w:hint="eastAsia"/>
          <w:bCs/>
          <w:sz w:val="24"/>
          <w:szCs w:val="24"/>
          <w:highlight w:val="none"/>
        </w:rPr>
        <w:t>应</w:t>
      </w:r>
      <w:r>
        <w:rPr>
          <w:bCs/>
          <w:sz w:val="24"/>
          <w:szCs w:val="24"/>
          <w:highlight w:val="none"/>
        </w:rPr>
        <w:t>耐腐蚀，耐热且表面无裂隙，同时设置泄漏液体的收集装置。</w:t>
      </w:r>
      <w:r>
        <w:rPr>
          <w:rFonts w:hint="eastAsia"/>
          <w:bCs/>
          <w:sz w:val="24"/>
          <w:szCs w:val="24"/>
          <w:highlight w:val="none"/>
        </w:rPr>
        <w:t>危废间设有隔离设施、报警装置和防风、防晒、防雨等安全设施。</w:t>
      </w:r>
    </w:p>
    <w:p>
      <w:pPr>
        <w:snapToGrid w:val="0"/>
        <w:ind w:firstLine="480"/>
        <w:jc w:val="both"/>
        <w:rPr>
          <w:bCs/>
          <w:sz w:val="24"/>
          <w:szCs w:val="24"/>
          <w:highlight w:val="none"/>
        </w:rPr>
      </w:pPr>
      <w:r>
        <w:rPr>
          <w:rFonts w:hint="eastAsia"/>
          <w:bCs/>
          <w:sz w:val="24"/>
          <w:szCs w:val="24"/>
          <w:highlight w:val="none"/>
        </w:rPr>
        <w:t>②有泄漏液体收集装置、气体导出口及气体净化装置；设施内有安全照明装置和观察窗口；并设置环保专用标志。</w:t>
      </w:r>
    </w:p>
    <w:p>
      <w:pPr>
        <w:snapToGrid w:val="0"/>
        <w:ind w:firstLine="480"/>
        <w:jc w:val="both"/>
        <w:rPr>
          <w:bCs/>
          <w:sz w:val="24"/>
          <w:szCs w:val="24"/>
          <w:highlight w:val="none"/>
        </w:rPr>
      </w:pPr>
      <w:r>
        <w:rPr>
          <w:rFonts w:hint="eastAsia"/>
          <w:bCs/>
          <w:sz w:val="24"/>
          <w:szCs w:val="24"/>
          <w:highlight w:val="none"/>
        </w:rPr>
        <w:t>③做好危险废物情况记录，记录上注明危险废物的名称、来源、数量、特性、包装容器的类别、入库日期、存放位置、出库日期、接收单位名称等。</w:t>
      </w:r>
    </w:p>
    <w:p>
      <w:pPr>
        <w:snapToGrid w:val="0"/>
        <w:ind w:firstLine="480"/>
        <w:jc w:val="both"/>
        <w:rPr>
          <w:bCs/>
          <w:sz w:val="24"/>
          <w:szCs w:val="24"/>
          <w:highlight w:val="none"/>
        </w:rPr>
      </w:pPr>
      <w:r>
        <w:rPr>
          <w:rFonts w:hint="eastAsia"/>
          <w:bCs/>
          <w:sz w:val="24"/>
          <w:szCs w:val="24"/>
          <w:highlight w:val="none"/>
        </w:rPr>
        <w:t>④定期对所贮存的危险废物包装容器及贮存设施进行检查，发现漏损及时清理更换。</w:t>
      </w:r>
    </w:p>
    <w:p>
      <w:pPr>
        <w:ind w:firstLine="480"/>
        <w:jc w:val="both"/>
        <w:rPr>
          <w:sz w:val="24"/>
          <w:szCs w:val="24"/>
          <w:highlight w:val="none"/>
        </w:rPr>
      </w:pPr>
      <w:r>
        <w:rPr>
          <w:sz w:val="24"/>
          <w:szCs w:val="24"/>
          <w:highlight w:val="none"/>
        </w:rPr>
        <w:t>经采取上述措施，固体废物均得到合理处置，不会对环境造成二次污染，措施可行。</w:t>
      </w:r>
    </w:p>
    <w:p>
      <w:pPr>
        <w:pStyle w:val="6"/>
        <w:numPr>
          <w:ilvl w:val="2"/>
          <w:numId w:val="1"/>
        </w:numPr>
        <w:spacing w:before="0" w:after="0"/>
        <w:ind w:left="567"/>
        <w:rPr>
          <w:szCs w:val="28"/>
          <w:highlight w:val="none"/>
        </w:rPr>
      </w:pPr>
      <w:bookmarkStart w:id="613" w:name="_Toc8968"/>
      <w:bookmarkStart w:id="614" w:name="_Toc521591816"/>
      <w:r>
        <w:rPr>
          <w:szCs w:val="28"/>
          <w:highlight w:val="none"/>
        </w:rPr>
        <w:t>绿化</w:t>
      </w:r>
      <w:bookmarkEnd w:id="613"/>
      <w:bookmarkEnd w:id="614"/>
    </w:p>
    <w:p>
      <w:pPr>
        <w:spacing w:line="440" w:lineRule="exact"/>
        <w:ind w:firstLine="480"/>
        <w:jc w:val="both"/>
        <w:rPr>
          <w:sz w:val="24"/>
          <w:szCs w:val="24"/>
          <w:highlight w:val="none"/>
        </w:rPr>
      </w:pPr>
      <w:r>
        <w:rPr>
          <w:sz w:val="24"/>
          <w:szCs w:val="24"/>
          <w:highlight w:val="none"/>
        </w:rPr>
        <w:t>绿化具有许多特殊的环境功能，如调节温度及湿度、改良气候、净化空气、防风固沙、保持水土、隔音降噪等，还可以美化环境，给全公司职工创造一个舒适的工作和生活环境。结合本项目情况，使厂区的绿化工作能够有序地开展，本次评价提出具体建议如下：</w:t>
      </w:r>
    </w:p>
    <w:p>
      <w:pPr>
        <w:spacing w:line="440" w:lineRule="exact"/>
        <w:ind w:firstLine="480"/>
        <w:rPr>
          <w:sz w:val="24"/>
          <w:szCs w:val="24"/>
          <w:highlight w:val="none"/>
        </w:rPr>
      </w:pPr>
      <w:r>
        <w:rPr>
          <w:sz w:val="24"/>
          <w:szCs w:val="24"/>
          <w:highlight w:val="none"/>
        </w:rPr>
        <w:t>（1）在厂前区，选树形美观、观赏价值高的常绿灌木、无花絮乔木，并大量配置草皮等；</w:t>
      </w:r>
    </w:p>
    <w:p>
      <w:pPr>
        <w:spacing w:line="440" w:lineRule="exact"/>
        <w:ind w:firstLine="480"/>
        <w:rPr>
          <w:sz w:val="24"/>
          <w:szCs w:val="24"/>
          <w:highlight w:val="none"/>
        </w:rPr>
      </w:pPr>
      <w:r>
        <w:rPr>
          <w:sz w:val="24"/>
          <w:szCs w:val="24"/>
          <w:highlight w:val="none"/>
        </w:rPr>
        <w:t>（2）在有地下管沟的地段选用浅根性草皮、灌木等植物；</w:t>
      </w:r>
    </w:p>
    <w:p>
      <w:pPr>
        <w:spacing w:line="440" w:lineRule="exact"/>
        <w:ind w:firstLine="480"/>
        <w:rPr>
          <w:sz w:val="24"/>
          <w:szCs w:val="24"/>
          <w:highlight w:val="none"/>
        </w:rPr>
      </w:pPr>
      <w:r>
        <w:rPr>
          <w:sz w:val="24"/>
          <w:szCs w:val="24"/>
          <w:highlight w:val="none"/>
        </w:rPr>
        <w:t>（3）在厂区的各个建筑物之间，用绿化带协调和连接，多种植草皮、常青树木；</w:t>
      </w:r>
    </w:p>
    <w:p>
      <w:pPr>
        <w:spacing w:line="440" w:lineRule="exact"/>
        <w:ind w:firstLine="480"/>
        <w:rPr>
          <w:sz w:val="24"/>
          <w:szCs w:val="24"/>
          <w:highlight w:val="none"/>
        </w:rPr>
      </w:pPr>
      <w:r>
        <w:rPr>
          <w:sz w:val="24"/>
          <w:szCs w:val="24"/>
          <w:highlight w:val="none"/>
        </w:rPr>
        <w:t>（4）在厂界四周建绿化带，同时种植高大乔木，以过滤空气中的粉尘和有害气体，并兼有防火的作用，也可减小周围环境对本项目的影响；</w:t>
      </w:r>
    </w:p>
    <w:p>
      <w:pPr>
        <w:spacing w:line="440" w:lineRule="exact"/>
        <w:ind w:firstLine="480"/>
        <w:rPr>
          <w:sz w:val="24"/>
          <w:szCs w:val="24"/>
          <w:highlight w:val="none"/>
        </w:rPr>
      </w:pPr>
      <w:r>
        <w:rPr>
          <w:sz w:val="24"/>
          <w:szCs w:val="24"/>
          <w:highlight w:val="none"/>
        </w:rPr>
        <w:t>（5）厂区道路两侧选择易管理且抗旱性强的树种，如杨树、刺槐等。</w:t>
      </w:r>
    </w:p>
    <w:p>
      <w:pPr>
        <w:spacing w:line="440" w:lineRule="exact"/>
        <w:ind w:firstLine="480"/>
        <w:rPr>
          <w:sz w:val="24"/>
          <w:szCs w:val="24"/>
          <w:highlight w:val="none"/>
        </w:rPr>
      </w:pPr>
      <w:r>
        <w:rPr>
          <w:sz w:val="24"/>
          <w:szCs w:val="24"/>
          <w:highlight w:val="none"/>
        </w:rPr>
        <w:t>建设单位应加强对绿化工作及保护生态环境工作重要性的认识，配备专职人员对绿化工作进行管理，固定绿化投资，以保证绿化工作的长期开展。</w:t>
      </w:r>
    </w:p>
    <w:p>
      <w:pPr>
        <w:pStyle w:val="6"/>
        <w:numPr>
          <w:ilvl w:val="2"/>
          <w:numId w:val="1"/>
        </w:numPr>
        <w:spacing w:before="0" w:after="0"/>
        <w:ind w:left="567"/>
        <w:rPr>
          <w:bCs w:val="0"/>
          <w:snapToGrid w:val="0"/>
          <w:kern w:val="0"/>
          <w:szCs w:val="28"/>
          <w:highlight w:val="none"/>
        </w:rPr>
      </w:pPr>
      <w:bookmarkStart w:id="615" w:name="_Toc18607"/>
      <w:bookmarkStart w:id="616" w:name="_Toc8400"/>
      <w:bookmarkStart w:id="617" w:name="_Toc524285114"/>
      <w:bookmarkStart w:id="618" w:name="_Toc499651422"/>
      <w:bookmarkStart w:id="619" w:name="_Toc521591817"/>
      <w:bookmarkStart w:id="620" w:name="_Toc11511"/>
      <w:bookmarkStart w:id="621" w:name="_Toc503218121"/>
      <w:r>
        <w:rPr>
          <w:bCs w:val="0"/>
          <w:snapToGrid w:val="0"/>
          <w:kern w:val="0"/>
          <w:szCs w:val="28"/>
          <w:highlight w:val="none"/>
        </w:rPr>
        <w:t>环境保护投资估算</w:t>
      </w:r>
      <w:bookmarkEnd w:id="615"/>
      <w:bookmarkEnd w:id="616"/>
      <w:bookmarkEnd w:id="617"/>
      <w:bookmarkEnd w:id="618"/>
      <w:bookmarkEnd w:id="619"/>
      <w:bookmarkEnd w:id="620"/>
      <w:bookmarkEnd w:id="621"/>
    </w:p>
    <w:p>
      <w:pPr>
        <w:autoSpaceDE w:val="0"/>
        <w:autoSpaceDN w:val="0"/>
        <w:ind w:firstLine="480"/>
        <w:jc w:val="both"/>
        <w:textAlignment w:val="auto"/>
        <w:rPr>
          <w:sz w:val="24"/>
          <w:szCs w:val="24"/>
          <w:highlight w:val="none"/>
        </w:rPr>
      </w:pPr>
      <w:r>
        <w:rPr>
          <w:sz w:val="24"/>
          <w:szCs w:val="24"/>
          <w:highlight w:val="none"/>
        </w:rPr>
        <w:t>本项目总投资为2</w:t>
      </w:r>
      <w:r>
        <w:rPr>
          <w:rFonts w:hint="eastAsia"/>
          <w:sz w:val="24"/>
          <w:szCs w:val="24"/>
          <w:highlight w:val="none"/>
          <w:lang w:val="en-US" w:eastAsia="zh-CN"/>
        </w:rPr>
        <w:t>8</w:t>
      </w:r>
      <w:r>
        <w:rPr>
          <w:sz w:val="24"/>
          <w:szCs w:val="24"/>
          <w:highlight w:val="none"/>
        </w:rPr>
        <w:t>00万元，其中环保投资</w:t>
      </w:r>
      <w:r>
        <w:rPr>
          <w:rFonts w:hint="eastAsia"/>
          <w:sz w:val="24"/>
          <w:szCs w:val="24"/>
          <w:highlight w:val="none"/>
          <w:lang w:val="en-US" w:eastAsia="zh-CN"/>
        </w:rPr>
        <w:t>7</w:t>
      </w:r>
      <w:r>
        <w:rPr>
          <w:rFonts w:hint="eastAsia"/>
          <w:sz w:val="24"/>
          <w:szCs w:val="24"/>
          <w:highlight w:val="none"/>
        </w:rPr>
        <w:t>0</w:t>
      </w:r>
      <w:r>
        <w:rPr>
          <w:sz w:val="24"/>
          <w:szCs w:val="24"/>
          <w:highlight w:val="none"/>
        </w:rPr>
        <w:t>万元，占总投资的比例为</w:t>
      </w:r>
      <w:r>
        <w:rPr>
          <w:rFonts w:hint="eastAsia"/>
          <w:sz w:val="24"/>
          <w:szCs w:val="24"/>
          <w:highlight w:val="none"/>
        </w:rPr>
        <w:t>2</w:t>
      </w:r>
      <w:r>
        <w:rPr>
          <w:rFonts w:hint="eastAsia"/>
          <w:sz w:val="24"/>
          <w:szCs w:val="24"/>
          <w:highlight w:val="none"/>
          <w:lang w:val="en-US" w:eastAsia="zh-CN"/>
        </w:rPr>
        <w:t>.</w:t>
      </w:r>
      <w:r>
        <w:rPr>
          <w:rFonts w:hint="eastAsia"/>
          <w:sz w:val="24"/>
          <w:szCs w:val="24"/>
          <w:highlight w:val="none"/>
        </w:rPr>
        <w:t>5</w:t>
      </w:r>
      <w:r>
        <w:rPr>
          <w:sz w:val="24"/>
          <w:szCs w:val="24"/>
          <w:highlight w:val="none"/>
        </w:rPr>
        <w:t>%，本项目环保投资明细见表6.</w:t>
      </w:r>
      <w:r>
        <w:rPr>
          <w:rFonts w:hint="eastAsia"/>
          <w:sz w:val="24"/>
          <w:szCs w:val="24"/>
          <w:highlight w:val="none"/>
        </w:rPr>
        <w:t>2</w:t>
      </w:r>
      <w:r>
        <w:rPr>
          <w:sz w:val="24"/>
          <w:szCs w:val="24"/>
          <w:highlight w:val="none"/>
        </w:rPr>
        <w:t>-</w:t>
      </w:r>
      <w:r>
        <w:rPr>
          <w:rFonts w:hint="eastAsia"/>
          <w:sz w:val="24"/>
          <w:szCs w:val="24"/>
          <w:highlight w:val="none"/>
          <w:lang w:val="en-US" w:eastAsia="zh-CN"/>
        </w:rPr>
        <w:t>6</w:t>
      </w:r>
      <w:r>
        <w:rPr>
          <w:sz w:val="24"/>
          <w:szCs w:val="24"/>
          <w:highlight w:val="none"/>
        </w:rPr>
        <w:t>。</w:t>
      </w:r>
    </w:p>
    <w:p>
      <w:pPr>
        <w:widowControl/>
        <w:spacing w:line="240" w:lineRule="auto"/>
        <w:ind w:firstLine="0" w:firstLineChars="0"/>
        <w:jc w:val="center"/>
        <w:textAlignment w:val="auto"/>
        <w:rPr>
          <w:rFonts w:eastAsia="黑体"/>
          <w:kern w:val="2"/>
          <w:sz w:val="21"/>
          <w:szCs w:val="21"/>
          <w:highlight w:val="none"/>
        </w:rPr>
      </w:pPr>
      <w:r>
        <w:rPr>
          <w:rFonts w:hint="eastAsia" w:eastAsia="黑体"/>
          <w:kern w:val="2"/>
          <w:sz w:val="21"/>
          <w:szCs w:val="21"/>
          <w:highlight w:val="none"/>
        </w:rPr>
        <w:t>表</w:t>
      </w:r>
      <w:r>
        <w:rPr>
          <w:rFonts w:eastAsia="黑体"/>
          <w:kern w:val="2"/>
          <w:sz w:val="21"/>
          <w:szCs w:val="21"/>
          <w:highlight w:val="none"/>
        </w:rPr>
        <w:t>6</w:t>
      </w:r>
      <w:r>
        <w:rPr>
          <w:rFonts w:hint="eastAsia" w:eastAsia="黑体"/>
          <w:kern w:val="2"/>
          <w:sz w:val="21"/>
          <w:szCs w:val="21"/>
          <w:highlight w:val="none"/>
        </w:rPr>
        <w:t>.2</w:t>
      </w:r>
      <w:r>
        <w:rPr>
          <w:rFonts w:eastAsia="黑体"/>
          <w:kern w:val="2"/>
          <w:sz w:val="21"/>
          <w:szCs w:val="21"/>
          <w:highlight w:val="none"/>
        </w:rPr>
        <w:t>-</w:t>
      </w:r>
      <w:r>
        <w:rPr>
          <w:rFonts w:hint="eastAsia" w:eastAsia="黑体"/>
          <w:kern w:val="2"/>
          <w:sz w:val="21"/>
          <w:szCs w:val="21"/>
          <w:highlight w:val="none"/>
          <w:lang w:val="en-US" w:eastAsia="zh-CN"/>
        </w:rPr>
        <w:t>6</w:t>
      </w:r>
      <w:r>
        <w:rPr>
          <w:rFonts w:eastAsia="黑体"/>
          <w:kern w:val="2"/>
          <w:sz w:val="21"/>
          <w:szCs w:val="21"/>
          <w:highlight w:val="none"/>
        </w:rPr>
        <w:t xml:space="preserve">    污染防治环保投资估算表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40"/>
        <w:gridCol w:w="1081"/>
        <w:gridCol w:w="869"/>
        <w:gridCol w:w="4680"/>
        <w:gridCol w:w="115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Align w:val="center"/>
          </w:tcPr>
          <w:p>
            <w:pPr>
              <w:spacing w:line="240" w:lineRule="auto"/>
              <w:ind w:firstLine="0" w:firstLineChars="0"/>
              <w:jc w:val="center"/>
              <w:rPr>
                <w:sz w:val="21"/>
                <w:szCs w:val="21"/>
                <w:highlight w:val="none"/>
              </w:rPr>
            </w:pPr>
            <w:r>
              <w:rPr>
                <w:sz w:val="21"/>
                <w:szCs w:val="21"/>
                <w:highlight w:val="none"/>
              </w:rPr>
              <w:t>项目</w:t>
            </w:r>
          </w:p>
        </w:tc>
        <w:tc>
          <w:tcPr>
            <w:tcW w:w="1950" w:type="dxa"/>
            <w:gridSpan w:val="2"/>
            <w:vAlign w:val="center"/>
          </w:tcPr>
          <w:p>
            <w:pPr>
              <w:spacing w:line="240" w:lineRule="auto"/>
              <w:ind w:firstLine="0" w:firstLineChars="0"/>
              <w:jc w:val="center"/>
              <w:rPr>
                <w:sz w:val="21"/>
                <w:szCs w:val="21"/>
                <w:highlight w:val="none"/>
              </w:rPr>
            </w:pPr>
            <w:r>
              <w:rPr>
                <w:sz w:val="21"/>
                <w:szCs w:val="21"/>
                <w:highlight w:val="none"/>
              </w:rPr>
              <w:t>污染源</w:t>
            </w:r>
          </w:p>
        </w:tc>
        <w:tc>
          <w:tcPr>
            <w:tcW w:w="4680" w:type="dxa"/>
            <w:vAlign w:val="center"/>
          </w:tcPr>
          <w:p>
            <w:pPr>
              <w:spacing w:line="240" w:lineRule="auto"/>
              <w:ind w:firstLine="0" w:firstLineChars="0"/>
              <w:jc w:val="center"/>
              <w:rPr>
                <w:sz w:val="21"/>
                <w:szCs w:val="21"/>
                <w:highlight w:val="none"/>
              </w:rPr>
            </w:pPr>
            <w:r>
              <w:rPr>
                <w:sz w:val="21"/>
                <w:szCs w:val="21"/>
                <w:highlight w:val="none"/>
              </w:rPr>
              <w:t>措施内容</w:t>
            </w:r>
          </w:p>
        </w:tc>
        <w:tc>
          <w:tcPr>
            <w:tcW w:w="1152" w:type="dxa"/>
            <w:vAlign w:val="center"/>
          </w:tcPr>
          <w:p>
            <w:pPr>
              <w:spacing w:line="240" w:lineRule="auto"/>
              <w:ind w:left="-70" w:leftChars="-25" w:right="-70" w:rightChars="-25" w:firstLine="0" w:firstLineChars="0"/>
              <w:jc w:val="center"/>
              <w:rPr>
                <w:spacing w:val="-4"/>
                <w:sz w:val="21"/>
                <w:szCs w:val="21"/>
                <w:highlight w:val="none"/>
              </w:rPr>
            </w:pPr>
            <w:r>
              <w:rPr>
                <w:spacing w:val="-4"/>
                <w:sz w:val="21"/>
                <w:szCs w:val="21"/>
                <w:highlight w:val="none"/>
              </w:rPr>
              <w:t>投资（万元）</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Merge w:val="restart"/>
            <w:vAlign w:val="center"/>
          </w:tcPr>
          <w:p>
            <w:pPr>
              <w:spacing w:line="240" w:lineRule="auto"/>
              <w:ind w:firstLine="0" w:firstLineChars="0"/>
              <w:jc w:val="center"/>
              <w:rPr>
                <w:sz w:val="21"/>
                <w:szCs w:val="21"/>
                <w:highlight w:val="none"/>
              </w:rPr>
            </w:pPr>
            <w:r>
              <w:rPr>
                <w:sz w:val="21"/>
                <w:szCs w:val="21"/>
                <w:highlight w:val="none"/>
              </w:rPr>
              <w:t>废气</w:t>
            </w:r>
          </w:p>
        </w:tc>
        <w:tc>
          <w:tcPr>
            <w:tcW w:w="1081" w:type="dxa"/>
            <w:vAlign w:val="center"/>
          </w:tcPr>
          <w:p>
            <w:pPr>
              <w:spacing w:line="240" w:lineRule="auto"/>
              <w:ind w:firstLine="0" w:firstLineChars="0"/>
              <w:jc w:val="center"/>
              <w:rPr>
                <w:sz w:val="21"/>
                <w:szCs w:val="21"/>
                <w:highlight w:val="none"/>
              </w:rPr>
            </w:pPr>
            <w:r>
              <w:rPr>
                <w:bCs/>
                <w:kern w:val="2"/>
                <w:sz w:val="21"/>
                <w:szCs w:val="21"/>
                <w:highlight w:val="none"/>
              </w:rPr>
              <w:t>原料</w:t>
            </w:r>
            <w:r>
              <w:rPr>
                <w:rFonts w:hint="eastAsia"/>
                <w:bCs/>
                <w:kern w:val="2"/>
                <w:sz w:val="21"/>
                <w:szCs w:val="21"/>
                <w:highlight w:val="none"/>
                <w:lang w:val="en-US" w:eastAsia="zh-CN"/>
              </w:rPr>
              <w:t>棚</w:t>
            </w:r>
            <w:r>
              <w:rPr>
                <w:bCs/>
                <w:kern w:val="2"/>
                <w:sz w:val="21"/>
                <w:szCs w:val="21"/>
                <w:highlight w:val="none"/>
              </w:rPr>
              <w:t>、</w:t>
            </w:r>
            <w:r>
              <w:rPr>
                <w:rFonts w:hint="eastAsia"/>
                <w:bCs/>
                <w:kern w:val="2"/>
                <w:sz w:val="21"/>
                <w:szCs w:val="21"/>
                <w:highlight w:val="none"/>
              </w:rPr>
              <w:t>成品</w:t>
            </w:r>
            <w:r>
              <w:rPr>
                <w:bCs/>
                <w:kern w:val="2"/>
                <w:sz w:val="21"/>
                <w:szCs w:val="21"/>
                <w:highlight w:val="none"/>
              </w:rPr>
              <w:t>库</w:t>
            </w:r>
          </w:p>
        </w:tc>
        <w:tc>
          <w:tcPr>
            <w:tcW w:w="869" w:type="dxa"/>
            <w:vAlign w:val="center"/>
          </w:tcPr>
          <w:p>
            <w:pPr>
              <w:spacing w:line="240" w:lineRule="auto"/>
              <w:ind w:firstLine="0" w:firstLineChars="0"/>
              <w:jc w:val="center"/>
              <w:rPr>
                <w:sz w:val="21"/>
                <w:szCs w:val="21"/>
                <w:highlight w:val="none"/>
              </w:rPr>
            </w:pPr>
            <w:r>
              <w:rPr>
                <w:sz w:val="21"/>
                <w:szCs w:val="21"/>
                <w:highlight w:val="none"/>
              </w:rPr>
              <w:t>粉尘</w:t>
            </w:r>
          </w:p>
        </w:tc>
        <w:tc>
          <w:tcPr>
            <w:tcW w:w="4680" w:type="dxa"/>
            <w:vAlign w:val="center"/>
          </w:tcPr>
          <w:p>
            <w:pPr>
              <w:tabs>
                <w:tab w:val="left" w:pos="2745"/>
              </w:tabs>
              <w:adjustRightInd w:val="0"/>
              <w:snapToGrid w:val="0"/>
              <w:spacing w:line="240" w:lineRule="auto"/>
              <w:ind w:firstLine="0" w:firstLineChars="0"/>
              <w:jc w:val="center"/>
              <w:textAlignment w:val="auto"/>
              <w:rPr>
                <w:bCs/>
                <w:kern w:val="2"/>
                <w:sz w:val="21"/>
                <w:szCs w:val="21"/>
                <w:highlight w:val="none"/>
              </w:rPr>
            </w:pPr>
            <w:r>
              <w:rPr>
                <w:bCs/>
                <w:kern w:val="2"/>
                <w:sz w:val="21"/>
                <w:szCs w:val="21"/>
                <w:highlight w:val="none"/>
              </w:rPr>
              <w:t>地面全部硬化防渗，全封闭钢结构，水喷淋系统等</w:t>
            </w:r>
          </w:p>
        </w:tc>
        <w:tc>
          <w:tcPr>
            <w:tcW w:w="1152"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Merge w:val="continue"/>
            <w:vAlign w:val="center"/>
          </w:tcPr>
          <w:p>
            <w:pPr>
              <w:spacing w:line="240" w:lineRule="auto"/>
              <w:ind w:firstLine="0" w:firstLineChars="0"/>
              <w:jc w:val="center"/>
              <w:rPr>
                <w:sz w:val="21"/>
                <w:szCs w:val="21"/>
                <w:highlight w:val="none"/>
              </w:rPr>
            </w:pPr>
          </w:p>
        </w:tc>
        <w:tc>
          <w:tcPr>
            <w:tcW w:w="1081" w:type="dxa"/>
            <w:vAlign w:val="center"/>
          </w:tcPr>
          <w:p>
            <w:pPr>
              <w:spacing w:line="240" w:lineRule="auto"/>
              <w:ind w:firstLine="0" w:firstLineChars="0"/>
              <w:jc w:val="center"/>
              <w:rPr>
                <w:bCs/>
                <w:kern w:val="2"/>
                <w:sz w:val="21"/>
                <w:szCs w:val="21"/>
                <w:highlight w:val="none"/>
              </w:rPr>
            </w:pPr>
            <w:r>
              <w:rPr>
                <w:bCs/>
                <w:kern w:val="2"/>
                <w:sz w:val="21"/>
                <w:szCs w:val="21"/>
                <w:highlight w:val="none"/>
              </w:rPr>
              <w:t>物料输送</w:t>
            </w:r>
          </w:p>
        </w:tc>
        <w:tc>
          <w:tcPr>
            <w:tcW w:w="869" w:type="dxa"/>
            <w:vAlign w:val="center"/>
          </w:tcPr>
          <w:p>
            <w:pPr>
              <w:spacing w:line="240" w:lineRule="auto"/>
              <w:ind w:firstLine="0" w:firstLineChars="0"/>
              <w:jc w:val="center"/>
              <w:rPr>
                <w:sz w:val="21"/>
                <w:szCs w:val="21"/>
                <w:highlight w:val="none"/>
              </w:rPr>
            </w:pPr>
            <w:r>
              <w:rPr>
                <w:sz w:val="21"/>
                <w:szCs w:val="21"/>
                <w:highlight w:val="none"/>
              </w:rPr>
              <w:t>粉尘</w:t>
            </w:r>
          </w:p>
        </w:tc>
        <w:tc>
          <w:tcPr>
            <w:tcW w:w="4680" w:type="dxa"/>
            <w:vAlign w:val="center"/>
          </w:tcPr>
          <w:p>
            <w:pPr>
              <w:spacing w:line="240" w:lineRule="auto"/>
              <w:ind w:firstLine="0" w:firstLineChars="0"/>
              <w:jc w:val="center"/>
              <w:rPr>
                <w:bCs/>
                <w:kern w:val="2"/>
                <w:sz w:val="21"/>
                <w:szCs w:val="21"/>
                <w:highlight w:val="none"/>
              </w:rPr>
            </w:pPr>
            <w:r>
              <w:rPr>
                <w:bCs/>
                <w:kern w:val="2"/>
                <w:sz w:val="21"/>
                <w:szCs w:val="21"/>
                <w:highlight w:val="none"/>
              </w:rPr>
              <w:t>密闭输送廊道</w:t>
            </w:r>
          </w:p>
        </w:tc>
        <w:tc>
          <w:tcPr>
            <w:tcW w:w="1152"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Merge w:val="continue"/>
            <w:vAlign w:val="center"/>
          </w:tcPr>
          <w:p>
            <w:pPr>
              <w:spacing w:line="240" w:lineRule="auto"/>
              <w:ind w:firstLine="0" w:firstLineChars="0"/>
              <w:jc w:val="center"/>
              <w:rPr>
                <w:sz w:val="21"/>
                <w:szCs w:val="21"/>
                <w:highlight w:val="none"/>
              </w:rPr>
            </w:pPr>
          </w:p>
        </w:tc>
        <w:tc>
          <w:tcPr>
            <w:tcW w:w="1081" w:type="dxa"/>
            <w:vAlign w:val="center"/>
          </w:tcPr>
          <w:p>
            <w:pPr>
              <w:spacing w:line="240" w:lineRule="auto"/>
              <w:ind w:firstLine="0" w:firstLineChars="0"/>
              <w:jc w:val="center"/>
              <w:rPr>
                <w:bCs/>
                <w:kern w:val="2"/>
                <w:sz w:val="21"/>
                <w:szCs w:val="21"/>
                <w:highlight w:val="none"/>
              </w:rPr>
            </w:pPr>
            <w:r>
              <w:rPr>
                <w:bCs/>
                <w:kern w:val="2"/>
                <w:sz w:val="21"/>
                <w:szCs w:val="21"/>
                <w:highlight w:val="none"/>
              </w:rPr>
              <w:t>破碎车间</w:t>
            </w:r>
          </w:p>
        </w:tc>
        <w:tc>
          <w:tcPr>
            <w:tcW w:w="869" w:type="dxa"/>
            <w:vAlign w:val="center"/>
          </w:tcPr>
          <w:p>
            <w:pPr>
              <w:spacing w:line="240" w:lineRule="auto"/>
              <w:ind w:firstLine="0" w:firstLineChars="0"/>
              <w:jc w:val="center"/>
              <w:rPr>
                <w:sz w:val="21"/>
                <w:szCs w:val="21"/>
                <w:highlight w:val="none"/>
              </w:rPr>
            </w:pPr>
            <w:r>
              <w:rPr>
                <w:sz w:val="21"/>
                <w:szCs w:val="21"/>
                <w:highlight w:val="none"/>
              </w:rPr>
              <w:t>粉尘</w:t>
            </w:r>
          </w:p>
        </w:tc>
        <w:tc>
          <w:tcPr>
            <w:tcW w:w="4680" w:type="dxa"/>
            <w:vAlign w:val="center"/>
          </w:tcPr>
          <w:p>
            <w:pPr>
              <w:spacing w:line="240" w:lineRule="auto"/>
              <w:ind w:firstLine="0" w:firstLineChars="0"/>
              <w:jc w:val="center"/>
              <w:rPr>
                <w:bCs/>
                <w:kern w:val="2"/>
                <w:sz w:val="21"/>
                <w:szCs w:val="21"/>
                <w:highlight w:val="none"/>
              </w:rPr>
            </w:pPr>
            <w:r>
              <w:rPr>
                <w:bCs/>
                <w:kern w:val="2"/>
                <w:sz w:val="21"/>
                <w:szCs w:val="21"/>
                <w:highlight w:val="none"/>
              </w:rPr>
              <w:t>封闭生产车间+集气罩+布袋除尘器+</w:t>
            </w:r>
            <w:r>
              <w:rPr>
                <w:rFonts w:hint="eastAsia"/>
                <w:bCs/>
                <w:kern w:val="2"/>
                <w:sz w:val="21"/>
                <w:szCs w:val="21"/>
                <w:highlight w:val="none"/>
              </w:rPr>
              <w:t>20</w:t>
            </w:r>
            <w:r>
              <w:rPr>
                <w:bCs/>
                <w:kern w:val="2"/>
                <w:sz w:val="21"/>
                <w:szCs w:val="21"/>
                <w:highlight w:val="none"/>
              </w:rPr>
              <w:t>m高排气筒</w:t>
            </w:r>
          </w:p>
        </w:tc>
        <w:tc>
          <w:tcPr>
            <w:tcW w:w="1152"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40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Align w:val="center"/>
          </w:tcPr>
          <w:p>
            <w:pPr>
              <w:spacing w:line="240" w:lineRule="auto"/>
              <w:ind w:firstLine="0" w:firstLineChars="0"/>
              <w:jc w:val="center"/>
              <w:rPr>
                <w:sz w:val="21"/>
                <w:szCs w:val="21"/>
                <w:highlight w:val="none"/>
              </w:rPr>
            </w:pPr>
            <w:bookmarkStart w:id="622" w:name="_Hlk487034067"/>
            <w:bookmarkStart w:id="623" w:name="OLE_LINK14"/>
            <w:bookmarkStart w:id="624" w:name="OLE_LINK13"/>
            <w:r>
              <w:rPr>
                <w:sz w:val="21"/>
                <w:szCs w:val="21"/>
                <w:highlight w:val="none"/>
              </w:rPr>
              <w:t>噪声</w:t>
            </w:r>
          </w:p>
        </w:tc>
        <w:tc>
          <w:tcPr>
            <w:tcW w:w="1950" w:type="dxa"/>
            <w:gridSpan w:val="2"/>
            <w:vAlign w:val="center"/>
          </w:tcPr>
          <w:p>
            <w:pPr>
              <w:widowControl/>
              <w:spacing w:line="240" w:lineRule="auto"/>
              <w:ind w:firstLine="0" w:firstLineChars="0"/>
              <w:jc w:val="center"/>
              <w:rPr>
                <w:sz w:val="21"/>
                <w:szCs w:val="21"/>
                <w:highlight w:val="none"/>
              </w:rPr>
            </w:pPr>
            <w:r>
              <w:rPr>
                <w:sz w:val="21"/>
                <w:szCs w:val="21"/>
                <w:highlight w:val="none"/>
              </w:rPr>
              <w:t>噪声设备</w:t>
            </w:r>
          </w:p>
        </w:tc>
        <w:tc>
          <w:tcPr>
            <w:tcW w:w="4680" w:type="dxa"/>
            <w:vAlign w:val="center"/>
          </w:tcPr>
          <w:p>
            <w:pPr>
              <w:widowControl/>
              <w:spacing w:line="240" w:lineRule="auto"/>
              <w:ind w:firstLine="0" w:firstLineChars="0"/>
              <w:jc w:val="center"/>
              <w:rPr>
                <w:sz w:val="21"/>
                <w:szCs w:val="21"/>
                <w:highlight w:val="none"/>
              </w:rPr>
            </w:pPr>
            <w:r>
              <w:rPr>
                <w:sz w:val="21"/>
                <w:szCs w:val="21"/>
                <w:highlight w:val="none"/>
              </w:rPr>
              <w:t>减振、隔声</w:t>
            </w:r>
            <w:r>
              <w:rPr>
                <w:rFonts w:hint="eastAsia"/>
                <w:sz w:val="21"/>
                <w:szCs w:val="21"/>
                <w:highlight w:val="none"/>
              </w:rPr>
              <w:t>、吸声</w:t>
            </w:r>
            <w:r>
              <w:rPr>
                <w:sz w:val="21"/>
                <w:szCs w:val="21"/>
                <w:highlight w:val="none"/>
              </w:rPr>
              <w:t>等措施</w:t>
            </w:r>
          </w:p>
        </w:tc>
        <w:tc>
          <w:tcPr>
            <w:tcW w:w="1152" w:type="dxa"/>
            <w:vAlign w:val="center"/>
          </w:tcPr>
          <w:p>
            <w:pPr>
              <w:spacing w:line="240" w:lineRule="auto"/>
              <w:ind w:firstLine="0" w:firstLineChars="0"/>
              <w:jc w:val="center"/>
              <w:rPr>
                <w:sz w:val="21"/>
                <w:szCs w:val="21"/>
                <w:highlight w:val="none"/>
              </w:rPr>
            </w:pPr>
            <w:r>
              <w:rPr>
                <w:rFonts w:hint="eastAsia"/>
                <w:sz w:val="21"/>
                <w:szCs w:val="21"/>
                <w:highlight w:val="none"/>
              </w:rPr>
              <w:t>15</w:t>
            </w:r>
          </w:p>
        </w:tc>
      </w:tr>
      <w:bookmarkEnd w:id="622"/>
      <w:bookmarkEnd w:id="623"/>
      <w:bookmarkEnd w:id="624"/>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370" w:type="dxa"/>
            <w:gridSpan w:val="4"/>
            <w:vAlign w:val="center"/>
          </w:tcPr>
          <w:p>
            <w:pPr>
              <w:autoSpaceDE w:val="0"/>
              <w:autoSpaceDN w:val="0"/>
              <w:spacing w:line="240" w:lineRule="auto"/>
              <w:ind w:firstLine="0" w:firstLineChars="0"/>
              <w:jc w:val="center"/>
              <w:rPr>
                <w:sz w:val="21"/>
                <w:szCs w:val="21"/>
                <w:highlight w:val="none"/>
              </w:rPr>
            </w:pPr>
            <w:r>
              <w:rPr>
                <w:sz w:val="21"/>
                <w:szCs w:val="21"/>
                <w:highlight w:val="none"/>
              </w:rPr>
              <w:t>总计</w:t>
            </w:r>
          </w:p>
        </w:tc>
        <w:tc>
          <w:tcPr>
            <w:tcW w:w="1152"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70</w:t>
            </w:r>
          </w:p>
        </w:tc>
      </w:tr>
    </w:tbl>
    <w:p>
      <w:pPr>
        <w:spacing w:line="460" w:lineRule="exact"/>
        <w:ind w:firstLine="480"/>
        <w:rPr>
          <w:sz w:val="24"/>
          <w:szCs w:val="24"/>
          <w:highlight w:val="green"/>
        </w:rPr>
      </w:pPr>
    </w:p>
    <w:p>
      <w:pPr>
        <w:pStyle w:val="4"/>
        <w:numPr>
          <w:ilvl w:val="0"/>
          <w:numId w:val="1"/>
        </w:numPr>
        <w:rPr>
          <w:rFonts w:ascii="Times New Roman"/>
          <w:sz w:val="36"/>
          <w:highlight w:val="none"/>
        </w:rPr>
      </w:pPr>
      <w:bookmarkStart w:id="625" w:name="_Toc477175434"/>
      <w:bookmarkStart w:id="626" w:name="_Toc536557303"/>
      <w:bookmarkStart w:id="627" w:name="_Toc524285115"/>
      <w:bookmarkStart w:id="628" w:name="_Toc499651423"/>
      <w:bookmarkStart w:id="629" w:name="_Toc15353"/>
      <w:bookmarkStart w:id="630" w:name="_Toc7525"/>
      <w:bookmarkStart w:id="631" w:name="_Toc20032"/>
      <w:bookmarkStart w:id="632" w:name="_Toc521591818"/>
      <w:bookmarkStart w:id="633" w:name="_Toc503218122"/>
      <w:r>
        <w:rPr>
          <w:rFonts w:ascii="Times New Roman"/>
          <w:sz w:val="36"/>
          <w:highlight w:val="none"/>
        </w:rPr>
        <w:t>环境影响经济损益分析</w:t>
      </w:r>
      <w:bookmarkEnd w:id="625"/>
      <w:bookmarkEnd w:id="626"/>
      <w:bookmarkEnd w:id="627"/>
      <w:bookmarkEnd w:id="628"/>
      <w:bookmarkEnd w:id="629"/>
      <w:bookmarkEnd w:id="630"/>
      <w:bookmarkEnd w:id="631"/>
      <w:bookmarkEnd w:id="632"/>
      <w:bookmarkEnd w:id="633"/>
    </w:p>
    <w:p>
      <w:pPr>
        <w:autoSpaceDE w:val="0"/>
        <w:autoSpaceDN w:val="0"/>
        <w:ind w:firstLine="480"/>
        <w:jc w:val="both"/>
        <w:textAlignment w:val="auto"/>
        <w:rPr>
          <w:sz w:val="24"/>
          <w:highlight w:val="none"/>
        </w:rPr>
      </w:pPr>
      <w:r>
        <w:rPr>
          <w:sz w:val="24"/>
          <w:highlight w:val="none"/>
        </w:rPr>
        <w:t>环境经济损益分析是建设项目环境影响评价的一个重要组成部分，它是综合评价建设项目的环保投资是否能够补偿或多大程度上补偿了由此可能造成的环境损失的重要依据，其主要任务是分析建设项目拟投入或投入的环保投资，所能收到的环境保护效果。因此，环境经济损益分析除了需计算用于治理控制污染所需的投资和费用外，还要同时核算项目建设可能收到的经济效益、环境效益和社会效益。</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34" w:name="_Toc503218123"/>
      <w:bookmarkStart w:id="635" w:name="_Toc499651424"/>
      <w:bookmarkStart w:id="636" w:name="_Toc536557304"/>
      <w:bookmarkStart w:id="637" w:name="_Toc524285116"/>
      <w:bookmarkStart w:id="638" w:name="_Toc11745"/>
      <w:bookmarkStart w:id="639" w:name="_Toc521591819"/>
      <w:bookmarkStart w:id="640" w:name="_Toc22558"/>
      <w:bookmarkStart w:id="641" w:name="_Toc15701"/>
      <w:r>
        <w:rPr>
          <w:rFonts w:ascii="Times New Roman" w:hAnsi="Times New Roman" w:eastAsia="宋体"/>
          <w:bCs w:val="0"/>
          <w:snapToGrid w:val="0"/>
          <w:kern w:val="0"/>
          <w:sz w:val="28"/>
          <w:szCs w:val="28"/>
          <w:highlight w:val="none"/>
        </w:rPr>
        <w:t>环境影响经济损失分析</w:t>
      </w:r>
      <w:bookmarkEnd w:id="634"/>
      <w:bookmarkEnd w:id="635"/>
      <w:bookmarkEnd w:id="636"/>
      <w:bookmarkEnd w:id="637"/>
      <w:bookmarkEnd w:id="638"/>
      <w:bookmarkEnd w:id="639"/>
      <w:bookmarkEnd w:id="640"/>
      <w:bookmarkEnd w:id="641"/>
    </w:p>
    <w:p>
      <w:pPr>
        <w:pStyle w:val="6"/>
        <w:numPr>
          <w:ilvl w:val="2"/>
          <w:numId w:val="1"/>
        </w:numPr>
        <w:spacing w:before="0" w:after="0"/>
        <w:ind w:left="567"/>
        <w:rPr>
          <w:szCs w:val="28"/>
          <w:highlight w:val="none"/>
        </w:rPr>
      </w:pPr>
      <w:bookmarkStart w:id="642" w:name="_Toc29126"/>
      <w:bookmarkStart w:id="643" w:name="_Toc521591820"/>
      <w:r>
        <w:rPr>
          <w:szCs w:val="28"/>
          <w:highlight w:val="none"/>
        </w:rPr>
        <w:t>环境空气影响经济损失</w:t>
      </w:r>
      <w:bookmarkEnd w:id="642"/>
      <w:bookmarkEnd w:id="643"/>
    </w:p>
    <w:p>
      <w:pPr>
        <w:autoSpaceDE w:val="0"/>
        <w:autoSpaceDN w:val="0"/>
        <w:ind w:firstLine="480"/>
        <w:jc w:val="both"/>
        <w:textAlignment w:val="auto"/>
        <w:rPr>
          <w:sz w:val="24"/>
          <w:highlight w:val="none"/>
        </w:rPr>
      </w:pPr>
      <w:r>
        <w:rPr>
          <w:sz w:val="24"/>
          <w:highlight w:val="none"/>
        </w:rPr>
        <w:t>营运期项目的环境空气影响主要表现在粉尘使周围居民的空气环境质量有所下降，有可能对居民健康产生一定的影响。但是目前尚无环境空气影响经济损失的定量计算方法，环境空气影响造成的损失还难以直接用货币衡量，因此，以下将对环境空气影响损失进行定性分析。</w:t>
      </w:r>
    </w:p>
    <w:p>
      <w:pPr>
        <w:autoSpaceDE w:val="0"/>
        <w:autoSpaceDN w:val="0"/>
        <w:ind w:firstLine="480"/>
        <w:jc w:val="both"/>
        <w:textAlignment w:val="auto"/>
        <w:rPr>
          <w:sz w:val="24"/>
          <w:highlight w:val="none"/>
        </w:rPr>
      </w:pPr>
      <w:r>
        <w:rPr>
          <w:sz w:val="24"/>
          <w:highlight w:val="none"/>
        </w:rPr>
        <w:t>本项目建设后，</w:t>
      </w:r>
      <w:r>
        <w:rPr>
          <w:rFonts w:hint="eastAsia"/>
          <w:sz w:val="24"/>
          <w:highlight w:val="none"/>
          <w:lang w:val="en-US" w:eastAsia="zh-CN"/>
        </w:rPr>
        <w:t>物料</w:t>
      </w:r>
      <w:r>
        <w:rPr>
          <w:sz w:val="24"/>
          <w:highlight w:val="none"/>
        </w:rPr>
        <w:t>堆存等过程产生的粉尘，通过建设全封闭式结构，并设置洒水装置等措施可最大限度的减少粉尘排放；破碎</w:t>
      </w:r>
      <w:r>
        <w:rPr>
          <w:rFonts w:hint="eastAsia"/>
          <w:sz w:val="24"/>
          <w:highlight w:val="none"/>
        </w:rPr>
        <w:t>筛分</w:t>
      </w:r>
      <w:r>
        <w:rPr>
          <w:sz w:val="24"/>
          <w:highlight w:val="none"/>
        </w:rPr>
        <w:t>过程通过封闭车间，并在车间内设置集尘罩+布袋除尘器等措施，粉尘排放量较少，对周围居民的影响可降至最低。</w:t>
      </w:r>
    </w:p>
    <w:p>
      <w:pPr>
        <w:pStyle w:val="6"/>
        <w:numPr>
          <w:ilvl w:val="2"/>
          <w:numId w:val="1"/>
        </w:numPr>
        <w:spacing w:before="0" w:after="0"/>
        <w:ind w:left="567"/>
        <w:rPr>
          <w:szCs w:val="28"/>
          <w:highlight w:val="none"/>
        </w:rPr>
      </w:pPr>
      <w:bookmarkStart w:id="644" w:name="_Toc521591821"/>
      <w:bookmarkStart w:id="645" w:name="_Toc13814"/>
      <w:r>
        <w:rPr>
          <w:szCs w:val="28"/>
          <w:highlight w:val="none"/>
        </w:rPr>
        <w:t>水环境影响经济损失</w:t>
      </w:r>
      <w:bookmarkEnd w:id="644"/>
      <w:bookmarkEnd w:id="645"/>
    </w:p>
    <w:p>
      <w:pPr>
        <w:pStyle w:val="19"/>
        <w:spacing w:after="0" w:line="480" w:lineRule="exact"/>
        <w:ind w:firstLine="480"/>
        <w:jc w:val="both"/>
        <w:rPr>
          <w:sz w:val="24"/>
          <w:highlight w:val="none"/>
        </w:rPr>
      </w:pPr>
      <w:r>
        <w:rPr>
          <w:sz w:val="24"/>
          <w:highlight w:val="none"/>
        </w:rPr>
        <w:t>营运期</w:t>
      </w:r>
      <w:r>
        <w:rPr>
          <w:rFonts w:hint="eastAsia"/>
          <w:sz w:val="24"/>
          <w:szCs w:val="24"/>
          <w:highlight w:val="none"/>
          <w:lang w:val="en-US" w:eastAsia="zh-CN"/>
        </w:rPr>
        <w:t>本项目产生的废水泵入浓缩罐后经管道自流至北厂区干排系统处理，处理后作为球磨磁选用水回用、不外排，</w:t>
      </w:r>
      <w:r>
        <w:rPr>
          <w:bCs/>
          <w:kern w:val="2"/>
          <w:sz w:val="24"/>
          <w:szCs w:val="21"/>
          <w:highlight w:val="none"/>
        </w:rPr>
        <w:t>水环境经济损失很小。</w:t>
      </w:r>
    </w:p>
    <w:p>
      <w:pPr>
        <w:pStyle w:val="6"/>
        <w:numPr>
          <w:ilvl w:val="2"/>
          <w:numId w:val="1"/>
        </w:numPr>
        <w:spacing w:before="0" w:after="0"/>
        <w:ind w:left="567"/>
        <w:rPr>
          <w:szCs w:val="28"/>
          <w:highlight w:val="none"/>
        </w:rPr>
      </w:pPr>
      <w:bookmarkStart w:id="646" w:name="_Toc10748"/>
      <w:bookmarkStart w:id="647" w:name="_Toc521591822"/>
      <w:r>
        <w:rPr>
          <w:szCs w:val="28"/>
          <w:highlight w:val="none"/>
        </w:rPr>
        <w:t>噪声影响经济损失</w:t>
      </w:r>
      <w:bookmarkEnd w:id="646"/>
      <w:bookmarkEnd w:id="647"/>
    </w:p>
    <w:p>
      <w:pPr>
        <w:autoSpaceDE w:val="0"/>
        <w:autoSpaceDN w:val="0"/>
        <w:ind w:firstLine="480"/>
        <w:jc w:val="both"/>
        <w:textAlignment w:val="auto"/>
        <w:rPr>
          <w:sz w:val="24"/>
          <w:highlight w:val="none"/>
        </w:rPr>
      </w:pPr>
      <w:r>
        <w:rPr>
          <w:sz w:val="24"/>
          <w:highlight w:val="none"/>
        </w:rPr>
        <w:t>有关噪声影响的人群调查以及流行病学研究发现，在我国，生活在70dB（A）以上环境中居民的人均医疗费用比70dB（A）以下的同类地方高；噪声级在70dB（A）以上环境的居民有66.7%睡眠受到干扰，而睡眠受到干扰的职工会表现出生产效率有所下降。根据前面的噪声预测结果，在采取降噪措施前，本项目昼夜间噪声值均未达到70dB（A），因此本项目的建设不会引起噪声影响经济损失。</w:t>
      </w:r>
    </w:p>
    <w:p>
      <w:pPr>
        <w:pStyle w:val="6"/>
        <w:numPr>
          <w:ilvl w:val="2"/>
          <w:numId w:val="1"/>
        </w:numPr>
        <w:spacing w:before="0" w:after="0"/>
        <w:ind w:left="567"/>
        <w:rPr>
          <w:szCs w:val="28"/>
          <w:highlight w:val="none"/>
        </w:rPr>
      </w:pPr>
      <w:bookmarkStart w:id="648" w:name="_Toc521591823"/>
      <w:bookmarkStart w:id="649" w:name="_Toc31641"/>
      <w:r>
        <w:rPr>
          <w:szCs w:val="28"/>
          <w:highlight w:val="none"/>
        </w:rPr>
        <w:t>生态环境影响经济损失</w:t>
      </w:r>
      <w:bookmarkEnd w:id="648"/>
      <w:bookmarkEnd w:id="649"/>
    </w:p>
    <w:p>
      <w:pPr>
        <w:autoSpaceDE w:val="0"/>
        <w:autoSpaceDN w:val="0"/>
        <w:ind w:firstLine="480"/>
        <w:jc w:val="both"/>
        <w:textAlignment w:val="auto"/>
        <w:rPr>
          <w:sz w:val="24"/>
          <w:highlight w:val="none"/>
        </w:rPr>
      </w:pPr>
      <w:r>
        <w:rPr>
          <w:sz w:val="24"/>
          <w:highlight w:val="none"/>
        </w:rPr>
        <w:t>本项目</w:t>
      </w:r>
      <w:r>
        <w:rPr>
          <w:rFonts w:hint="eastAsia"/>
          <w:sz w:val="24"/>
          <w:highlight w:val="none"/>
          <w:lang w:val="en-US" w:eastAsia="zh-CN"/>
        </w:rPr>
        <w:t>在现有厂区内进行建设，</w:t>
      </w:r>
      <w:r>
        <w:rPr>
          <w:sz w:val="24"/>
          <w:highlight w:val="none"/>
        </w:rPr>
        <w:t>用地不在河北省生态保护红线范围内，且用地为</w:t>
      </w:r>
      <w:r>
        <w:rPr>
          <w:rFonts w:hint="eastAsia"/>
          <w:sz w:val="24"/>
          <w:highlight w:val="none"/>
          <w:lang w:val="en-US" w:eastAsia="zh-CN"/>
        </w:rPr>
        <w:t>建设</w:t>
      </w:r>
      <w:r>
        <w:rPr>
          <w:sz w:val="24"/>
          <w:highlight w:val="none"/>
        </w:rPr>
        <w:t>用地，占地范围内无</w:t>
      </w:r>
      <w:r>
        <w:rPr>
          <w:rFonts w:hint="eastAsia"/>
          <w:sz w:val="24"/>
          <w:highlight w:val="none"/>
        </w:rPr>
        <w:t>植被覆盖</w:t>
      </w:r>
      <w:r>
        <w:rPr>
          <w:sz w:val="24"/>
          <w:highlight w:val="none"/>
        </w:rPr>
        <w:t>，项目建设过程中注意防止水土流失，建成后及时绿化，项目建设不会造成生物量的损失，对生态环境不会造成严重影响。</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50" w:name="_Toc384552437"/>
      <w:bookmarkStart w:id="651" w:name="_Toc477175436"/>
      <w:bookmarkStart w:id="652" w:name="_Toc382810946"/>
      <w:bookmarkStart w:id="653" w:name="_Toc468451745"/>
      <w:bookmarkStart w:id="654" w:name="_Toc29090"/>
      <w:bookmarkStart w:id="655" w:name="_Toc387133348"/>
      <w:bookmarkStart w:id="656" w:name="_Toc499651425"/>
      <w:bookmarkStart w:id="657" w:name="_Toc503218124"/>
      <w:bookmarkStart w:id="658" w:name="_Toc17699"/>
      <w:bookmarkStart w:id="659" w:name="_Toc536557305"/>
      <w:bookmarkStart w:id="660" w:name="_Toc3990"/>
      <w:bookmarkStart w:id="661" w:name="_Toc1945"/>
      <w:bookmarkStart w:id="662" w:name="_Toc521591825"/>
      <w:bookmarkStart w:id="663" w:name="_Toc524285117"/>
      <w:r>
        <w:rPr>
          <w:rFonts w:ascii="Times New Roman" w:hAnsi="Times New Roman" w:eastAsia="宋体"/>
          <w:bCs w:val="0"/>
          <w:snapToGrid w:val="0"/>
          <w:kern w:val="0"/>
          <w:sz w:val="28"/>
          <w:szCs w:val="28"/>
          <w:highlight w:val="none"/>
        </w:rPr>
        <w:t>经济效益</w:t>
      </w:r>
      <w:bookmarkEnd w:id="650"/>
      <w:bookmarkEnd w:id="651"/>
      <w:bookmarkEnd w:id="652"/>
      <w:bookmarkEnd w:id="653"/>
      <w:bookmarkEnd w:id="654"/>
      <w:bookmarkEnd w:id="655"/>
      <w:bookmarkEnd w:id="656"/>
      <w:bookmarkEnd w:id="657"/>
      <w:r>
        <w:rPr>
          <w:rFonts w:ascii="Times New Roman" w:hAnsi="Times New Roman" w:eastAsia="宋体"/>
          <w:bCs w:val="0"/>
          <w:snapToGrid w:val="0"/>
          <w:kern w:val="0"/>
          <w:sz w:val="28"/>
          <w:szCs w:val="28"/>
          <w:highlight w:val="none"/>
        </w:rPr>
        <w:t>分析</w:t>
      </w:r>
      <w:bookmarkEnd w:id="658"/>
      <w:bookmarkEnd w:id="659"/>
      <w:bookmarkEnd w:id="660"/>
      <w:bookmarkEnd w:id="661"/>
      <w:bookmarkEnd w:id="662"/>
      <w:bookmarkEnd w:id="663"/>
    </w:p>
    <w:p>
      <w:pPr>
        <w:autoSpaceDE w:val="0"/>
        <w:autoSpaceDN w:val="0"/>
        <w:ind w:firstLine="480"/>
        <w:jc w:val="both"/>
        <w:textAlignment w:val="auto"/>
        <w:rPr>
          <w:bCs/>
          <w:sz w:val="24"/>
          <w:highlight w:val="none"/>
        </w:rPr>
      </w:pPr>
      <w:r>
        <w:rPr>
          <w:bCs/>
          <w:sz w:val="24"/>
          <w:highlight w:val="none"/>
        </w:rPr>
        <w:t>本工程的建设具有产业链效益，能够带动一方经济的快速发展，并能促进钢铁等相关行业的发展。</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64" w:name="_Toc468451746"/>
      <w:bookmarkStart w:id="665" w:name="_Toc382810949"/>
      <w:bookmarkStart w:id="666" w:name="_Toc10543"/>
      <w:bookmarkStart w:id="667" w:name="_Toc357926851"/>
      <w:bookmarkStart w:id="668" w:name="_Toc521591826"/>
      <w:bookmarkStart w:id="669" w:name="_Toc387133351"/>
      <w:bookmarkStart w:id="670" w:name="_Toc536557306"/>
      <w:bookmarkStart w:id="671" w:name="_Toc477175437"/>
      <w:bookmarkStart w:id="672" w:name="_Toc499651426"/>
      <w:bookmarkStart w:id="673" w:name="_Toc12232"/>
      <w:bookmarkStart w:id="674" w:name="_Toc24104"/>
      <w:bookmarkStart w:id="675" w:name="_Toc15271"/>
      <w:bookmarkStart w:id="676" w:name="_Toc384552440"/>
      <w:bookmarkStart w:id="677" w:name="_Toc524285118"/>
      <w:bookmarkStart w:id="678" w:name="_Toc503218125"/>
      <w:bookmarkStart w:id="679" w:name="_Toc364090221"/>
      <w:r>
        <w:rPr>
          <w:rFonts w:ascii="Times New Roman" w:hAnsi="Times New Roman" w:eastAsia="宋体"/>
          <w:bCs w:val="0"/>
          <w:snapToGrid w:val="0"/>
          <w:kern w:val="0"/>
          <w:sz w:val="28"/>
          <w:szCs w:val="28"/>
          <w:highlight w:val="none"/>
        </w:rPr>
        <w:t>环境效益分析</w: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pPr>
        <w:autoSpaceDE w:val="0"/>
        <w:autoSpaceDN w:val="0"/>
        <w:ind w:firstLine="480"/>
        <w:jc w:val="both"/>
        <w:textAlignment w:val="auto"/>
        <w:rPr>
          <w:bCs/>
          <w:sz w:val="24"/>
          <w:highlight w:val="none"/>
        </w:rPr>
      </w:pPr>
      <w:r>
        <w:rPr>
          <w:bCs/>
          <w:sz w:val="24"/>
          <w:highlight w:val="none"/>
        </w:rPr>
        <w:t>环境经济效益是指采取环保治理措施获取的直接经济效益。本项目在“三废”治理的过程中注重了对资源、能源的回收利用，从而大大减少了生产过程中的资源流失。结合本工程特点，应包括提高水重复利用量的节水经济效益、减少粉尘排放的经济效益、一定时期内改善区域生态环境的经济效益。</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80" w:name="_Toc7545"/>
      <w:bookmarkStart w:id="681" w:name="_Toc11898"/>
      <w:bookmarkStart w:id="682" w:name="_Toc503218126"/>
      <w:bookmarkStart w:id="683" w:name="_Toc524285119"/>
      <w:bookmarkStart w:id="684" w:name="_Toc536557307"/>
      <w:bookmarkStart w:id="685" w:name="_Toc521591827"/>
      <w:bookmarkStart w:id="686" w:name="_Toc28288"/>
      <w:bookmarkStart w:id="687" w:name="_Toc499651427"/>
      <w:r>
        <w:rPr>
          <w:rFonts w:ascii="Times New Roman" w:hAnsi="Times New Roman" w:eastAsia="宋体"/>
          <w:bCs w:val="0"/>
          <w:snapToGrid w:val="0"/>
          <w:kern w:val="0"/>
          <w:sz w:val="28"/>
          <w:szCs w:val="28"/>
          <w:highlight w:val="none"/>
        </w:rPr>
        <w:t>社会效益分析</w:t>
      </w:r>
      <w:bookmarkEnd w:id="680"/>
      <w:bookmarkEnd w:id="681"/>
      <w:bookmarkEnd w:id="682"/>
      <w:bookmarkEnd w:id="683"/>
      <w:bookmarkEnd w:id="684"/>
      <w:bookmarkEnd w:id="685"/>
      <w:bookmarkEnd w:id="686"/>
      <w:bookmarkEnd w:id="687"/>
    </w:p>
    <w:p>
      <w:pPr>
        <w:autoSpaceDE w:val="0"/>
        <w:autoSpaceDN w:val="0"/>
        <w:ind w:firstLine="480"/>
        <w:jc w:val="both"/>
        <w:textAlignment w:val="auto"/>
        <w:rPr>
          <w:bCs/>
          <w:sz w:val="24"/>
          <w:highlight w:val="none"/>
        </w:rPr>
      </w:pPr>
      <w:r>
        <w:rPr>
          <w:bCs/>
          <w:sz w:val="24"/>
          <w:highlight w:val="none"/>
        </w:rPr>
        <w:t>本项目实施后将带来多方面的社会效益，其对社会的促进作用主要体现在以下几点：</w:t>
      </w:r>
    </w:p>
    <w:p>
      <w:pPr>
        <w:autoSpaceDE w:val="0"/>
        <w:autoSpaceDN w:val="0"/>
        <w:ind w:firstLine="480"/>
        <w:jc w:val="both"/>
        <w:textAlignment w:val="auto"/>
        <w:rPr>
          <w:bCs/>
          <w:sz w:val="24"/>
          <w:highlight w:val="none"/>
        </w:rPr>
      </w:pPr>
      <w:r>
        <w:rPr>
          <w:bCs/>
          <w:sz w:val="24"/>
          <w:highlight w:val="none"/>
        </w:rPr>
        <w:t>（1）提供就业机会，解决农村剩余劳动力</w:t>
      </w:r>
    </w:p>
    <w:p>
      <w:pPr>
        <w:autoSpaceDE w:val="0"/>
        <w:autoSpaceDN w:val="0"/>
        <w:ind w:firstLine="480"/>
        <w:jc w:val="both"/>
        <w:textAlignment w:val="auto"/>
        <w:rPr>
          <w:bCs/>
          <w:sz w:val="24"/>
          <w:highlight w:val="none"/>
        </w:rPr>
      </w:pPr>
      <w:r>
        <w:rPr>
          <w:bCs/>
          <w:sz w:val="24"/>
          <w:highlight w:val="none"/>
        </w:rPr>
        <w:t>本次建设项目</w:t>
      </w:r>
      <w:r>
        <w:rPr>
          <w:rFonts w:hint="eastAsia"/>
          <w:bCs/>
          <w:sz w:val="24"/>
          <w:highlight w:val="none"/>
          <w:lang w:val="en-US" w:eastAsia="zh-CN"/>
        </w:rPr>
        <w:t>车间工作</w:t>
      </w:r>
      <w:r>
        <w:rPr>
          <w:bCs/>
          <w:sz w:val="24"/>
          <w:highlight w:val="none"/>
        </w:rPr>
        <w:t>人员人均可在当地解决。</w:t>
      </w:r>
    </w:p>
    <w:p>
      <w:pPr>
        <w:autoSpaceDE w:val="0"/>
        <w:autoSpaceDN w:val="0"/>
        <w:ind w:firstLine="480"/>
        <w:jc w:val="both"/>
        <w:textAlignment w:val="auto"/>
        <w:rPr>
          <w:bCs/>
          <w:sz w:val="24"/>
          <w:highlight w:val="none"/>
        </w:rPr>
      </w:pPr>
      <w:r>
        <w:rPr>
          <w:bCs/>
          <w:sz w:val="24"/>
          <w:highlight w:val="none"/>
        </w:rPr>
        <w:t>（2）增加农民收入，加快脱贫致富，促进农村经济繁荣。</w:t>
      </w:r>
    </w:p>
    <w:p>
      <w:pPr>
        <w:autoSpaceDE w:val="0"/>
        <w:autoSpaceDN w:val="0"/>
        <w:ind w:firstLine="480"/>
        <w:jc w:val="both"/>
        <w:textAlignment w:val="auto"/>
        <w:rPr>
          <w:bCs/>
          <w:sz w:val="24"/>
          <w:highlight w:val="none"/>
        </w:rPr>
      </w:pPr>
      <w:r>
        <w:rPr>
          <w:bCs/>
          <w:sz w:val="24"/>
          <w:highlight w:val="none"/>
        </w:rPr>
        <w:t>项目的实施改变了农村人口就业结构，随着农民收入的增加，有利于促进了农业进步和大农业发展。</w:t>
      </w:r>
    </w:p>
    <w:p>
      <w:pPr>
        <w:autoSpaceDE w:val="0"/>
        <w:autoSpaceDN w:val="0"/>
        <w:ind w:firstLine="480"/>
        <w:jc w:val="both"/>
        <w:textAlignment w:val="auto"/>
        <w:rPr>
          <w:bCs/>
          <w:sz w:val="24"/>
          <w:highlight w:val="none"/>
        </w:rPr>
      </w:pPr>
      <w:r>
        <w:rPr>
          <w:bCs/>
          <w:sz w:val="24"/>
          <w:highlight w:val="none"/>
        </w:rPr>
        <w:t>（3）带动相关产业的发展。</w:t>
      </w:r>
    </w:p>
    <w:p>
      <w:pPr>
        <w:autoSpaceDE w:val="0"/>
        <w:autoSpaceDN w:val="0"/>
        <w:ind w:firstLine="480"/>
        <w:jc w:val="both"/>
        <w:textAlignment w:val="auto"/>
        <w:rPr>
          <w:bCs/>
          <w:sz w:val="24"/>
          <w:highlight w:val="none"/>
        </w:rPr>
      </w:pPr>
      <w:r>
        <w:rPr>
          <w:bCs/>
          <w:sz w:val="24"/>
          <w:highlight w:val="none"/>
        </w:rPr>
        <w:t>本次建设项目的实施将带动建筑业、运输业以及服务业的发展，同时由于人口的聚集，对农产品的需求将会有所增加，可有效地推动农业种植结构的优化调整。</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88" w:name="_Toc536557308"/>
      <w:bookmarkStart w:id="689" w:name="_Toc521591828"/>
      <w:bookmarkStart w:id="690" w:name="_Toc503218128"/>
      <w:bookmarkStart w:id="691" w:name="_Toc24291"/>
      <w:bookmarkStart w:id="692" w:name="_Toc12052"/>
      <w:bookmarkStart w:id="693" w:name="_Toc524285120"/>
      <w:bookmarkStart w:id="694" w:name="_Toc499651429"/>
      <w:bookmarkStart w:id="695" w:name="_Toc28066"/>
      <w:r>
        <w:rPr>
          <w:rFonts w:ascii="Times New Roman" w:hAnsi="Times New Roman" w:eastAsia="宋体"/>
          <w:bCs w:val="0"/>
          <w:snapToGrid w:val="0"/>
          <w:kern w:val="0"/>
          <w:sz w:val="28"/>
          <w:szCs w:val="28"/>
          <w:highlight w:val="none"/>
        </w:rPr>
        <w:t>分析结论</w:t>
      </w:r>
      <w:bookmarkEnd w:id="688"/>
      <w:bookmarkEnd w:id="689"/>
      <w:bookmarkEnd w:id="690"/>
      <w:bookmarkEnd w:id="691"/>
      <w:bookmarkEnd w:id="692"/>
      <w:bookmarkEnd w:id="693"/>
      <w:bookmarkEnd w:id="694"/>
      <w:bookmarkEnd w:id="695"/>
    </w:p>
    <w:p>
      <w:pPr>
        <w:autoSpaceDE w:val="0"/>
        <w:autoSpaceDN w:val="0"/>
        <w:ind w:firstLine="480"/>
        <w:jc w:val="both"/>
        <w:textAlignment w:val="auto"/>
        <w:rPr>
          <w:bCs/>
          <w:sz w:val="24"/>
          <w:highlight w:val="none"/>
        </w:rPr>
      </w:pPr>
      <w:r>
        <w:rPr>
          <w:bCs/>
          <w:sz w:val="24"/>
          <w:highlight w:val="none"/>
        </w:rPr>
        <w:t>综合以上分析，本项目具有较好经济、环境和社会效益，它的建成，将能够拉动地方经济的快速发展；废物资源化利用，将促进人类与社会的和谐发展。</w:t>
      </w:r>
    </w:p>
    <w:p>
      <w:pPr>
        <w:ind w:firstLine="0" w:firstLineChars="0"/>
        <w:rPr>
          <w:highlight w:val="gree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pPr>
    </w:p>
    <w:p>
      <w:pPr>
        <w:pStyle w:val="4"/>
        <w:numPr>
          <w:ilvl w:val="0"/>
          <w:numId w:val="1"/>
        </w:numPr>
        <w:rPr>
          <w:rFonts w:ascii="Times New Roman"/>
          <w:sz w:val="36"/>
          <w:highlight w:val="none"/>
        </w:rPr>
      </w:pPr>
      <w:bookmarkStart w:id="696" w:name="_Toc334831508"/>
      <w:bookmarkStart w:id="697" w:name="_Toc535351482"/>
      <w:bookmarkStart w:id="698" w:name="_Toc477175439"/>
      <w:bookmarkStart w:id="699" w:name="_Toc524285121"/>
      <w:bookmarkStart w:id="700" w:name="_Toc521591829"/>
      <w:bookmarkStart w:id="701" w:name="_Toc20860"/>
      <w:bookmarkStart w:id="702" w:name="_Toc499651430"/>
      <w:bookmarkStart w:id="703" w:name="_Toc25918"/>
      <w:bookmarkStart w:id="704" w:name="_Toc503218129"/>
      <w:bookmarkStart w:id="705" w:name="_Toc19729"/>
      <w:bookmarkStart w:id="706" w:name="_Toc536557309"/>
      <w:r>
        <w:rPr>
          <w:rFonts w:ascii="Times New Roman"/>
          <w:sz w:val="36"/>
          <w:highlight w:val="none"/>
        </w:rPr>
        <w:t>环境管理和</w:t>
      </w:r>
      <w:bookmarkEnd w:id="696"/>
      <w:bookmarkEnd w:id="697"/>
      <w:r>
        <w:rPr>
          <w:rFonts w:ascii="Times New Roman"/>
          <w:sz w:val="36"/>
          <w:highlight w:val="none"/>
        </w:rPr>
        <w:t>环境监测</w:t>
      </w:r>
      <w:bookmarkEnd w:id="698"/>
      <w:bookmarkEnd w:id="699"/>
      <w:bookmarkEnd w:id="700"/>
      <w:bookmarkEnd w:id="701"/>
      <w:bookmarkEnd w:id="702"/>
      <w:bookmarkEnd w:id="703"/>
      <w:bookmarkEnd w:id="704"/>
      <w:bookmarkEnd w:id="705"/>
      <w:bookmarkEnd w:id="706"/>
    </w:p>
    <w:p>
      <w:pPr>
        <w:autoSpaceDE w:val="0"/>
        <w:autoSpaceDN w:val="0"/>
        <w:ind w:firstLine="480"/>
        <w:jc w:val="both"/>
        <w:textAlignment w:val="auto"/>
        <w:rPr>
          <w:bCs/>
          <w:sz w:val="24"/>
          <w:highlight w:val="none"/>
        </w:rPr>
      </w:pPr>
      <w:r>
        <w:rPr>
          <w:bCs/>
          <w:sz w:val="24"/>
          <w:highlight w:val="none"/>
        </w:rPr>
        <w:t>环境管理是以环境科学理论为基础，运用经济、法律、技术、行政、教育等手段对经济、社会发展过程中施加给环境的影响进行调节控制，实现经济、社会和环境效益的和谐统一。</w:t>
      </w:r>
    </w:p>
    <w:p>
      <w:pPr>
        <w:autoSpaceDE w:val="0"/>
        <w:autoSpaceDN w:val="0"/>
        <w:ind w:firstLine="480"/>
        <w:jc w:val="both"/>
        <w:textAlignment w:val="auto"/>
        <w:rPr>
          <w:bCs/>
          <w:sz w:val="24"/>
          <w:highlight w:val="none"/>
        </w:rPr>
      </w:pPr>
      <w:r>
        <w:rPr>
          <w:bCs/>
          <w:sz w:val="24"/>
          <w:highlight w:val="none"/>
        </w:rPr>
        <w:t>企业的环境管理和环境监测机构的建立，是从保护环境出发，根据建设项目特点，尤其是企业内部的重大环境因素，以及相应环保措施的落实，以一定的管理机构、制度确保环保措施实施的环境管理和监测计划，监督各项环保措施的实施，监测各项环保设施运行效果，更好地为环境管理提供科学依据。</w:t>
      </w:r>
    </w:p>
    <w:p>
      <w:pPr>
        <w:autoSpaceDE w:val="0"/>
        <w:autoSpaceDN w:val="0"/>
        <w:ind w:firstLine="480"/>
        <w:jc w:val="both"/>
        <w:textAlignment w:val="auto"/>
        <w:rPr>
          <w:bCs/>
          <w:sz w:val="24"/>
          <w:highlight w:val="none"/>
        </w:rPr>
      </w:pPr>
      <w:r>
        <w:rPr>
          <w:bCs/>
          <w:sz w:val="24"/>
          <w:highlight w:val="none"/>
        </w:rPr>
        <w:t>本项目环境管理计划力求针对项目存在的主要环境问题以及应采取的环保工程措施，提出本项目环境管理和监测计划，也供各级环保部门对该项目进行环境管理时参考。</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07" w:name="_Toc536557310"/>
      <w:bookmarkStart w:id="708" w:name="_Toc524285123"/>
      <w:bookmarkStart w:id="709" w:name="_Toc521591831"/>
      <w:bookmarkStart w:id="710" w:name="_Toc27383"/>
      <w:bookmarkStart w:id="711" w:name="_Toc176578296"/>
      <w:bookmarkStart w:id="712" w:name="_Toc186367930"/>
      <w:bookmarkStart w:id="713" w:name="_Toc321984021"/>
      <w:bookmarkStart w:id="714" w:name="_Toc503218130"/>
      <w:bookmarkStart w:id="715" w:name="_Toc499651431"/>
      <w:bookmarkStart w:id="716" w:name="_Toc25288"/>
      <w:bookmarkStart w:id="717" w:name="_Toc27492"/>
      <w:bookmarkStart w:id="718" w:name="_Toc477175440"/>
      <w:r>
        <w:rPr>
          <w:rFonts w:ascii="Times New Roman" w:hAnsi="Times New Roman" w:eastAsia="宋体"/>
          <w:bCs w:val="0"/>
          <w:snapToGrid w:val="0"/>
          <w:kern w:val="0"/>
          <w:sz w:val="28"/>
          <w:szCs w:val="28"/>
          <w:highlight w:val="none"/>
        </w:rPr>
        <w:t>运营期环境管理</w:t>
      </w:r>
      <w:bookmarkEnd w:id="707"/>
      <w:bookmarkEnd w:id="708"/>
      <w:bookmarkEnd w:id="709"/>
      <w:bookmarkEnd w:id="710"/>
      <w:bookmarkEnd w:id="711"/>
      <w:bookmarkEnd w:id="712"/>
      <w:bookmarkEnd w:id="713"/>
      <w:bookmarkEnd w:id="714"/>
      <w:bookmarkEnd w:id="715"/>
      <w:bookmarkEnd w:id="716"/>
      <w:bookmarkEnd w:id="717"/>
      <w:bookmarkEnd w:id="718"/>
    </w:p>
    <w:p>
      <w:pPr>
        <w:autoSpaceDE w:val="0"/>
        <w:autoSpaceDN w:val="0"/>
        <w:ind w:firstLine="480"/>
        <w:jc w:val="both"/>
        <w:textAlignment w:val="auto"/>
        <w:rPr>
          <w:sz w:val="24"/>
          <w:highlight w:val="none"/>
        </w:rPr>
      </w:pPr>
      <w:r>
        <w:rPr>
          <w:sz w:val="24"/>
          <w:highlight w:val="none"/>
        </w:rPr>
        <w:t>环境管理是企业管理工作重要组成部分。其主要目的是通过环境管理工作的开展，提高全体员工环保意识，促进企业积极主动地预防和治理污染，避免因管理不善产生环境污染。因此，企业要贯彻落实国家和地方有关法律和法规，正确处理企业发展与环境保护的关系，实现清洁生产，从而真正达到持续发展的战略目标。</w:t>
      </w:r>
    </w:p>
    <w:p>
      <w:pPr>
        <w:pStyle w:val="6"/>
        <w:numPr>
          <w:ilvl w:val="2"/>
          <w:numId w:val="1"/>
        </w:numPr>
        <w:spacing w:before="0" w:after="0"/>
        <w:ind w:left="567"/>
        <w:rPr>
          <w:szCs w:val="28"/>
          <w:highlight w:val="none"/>
        </w:rPr>
      </w:pPr>
      <w:bookmarkStart w:id="719" w:name="_Toc521591832"/>
      <w:bookmarkStart w:id="720" w:name="_Toc5636"/>
      <w:r>
        <w:rPr>
          <w:szCs w:val="28"/>
          <w:highlight w:val="none"/>
        </w:rPr>
        <w:t>机构组成</w:t>
      </w:r>
      <w:bookmarkEnd w:id="719"/>
      <w:bookmarkEnd w:id="720"/>
    </w:p>
    <w:p>
      <w:pPr>
        <w:autoSpaceDE w:val="0"/>
        <w:autoSpaceDN w:val="0"/>
        <w:ind w:firstLine="480"/>
        <w:jc w:val="both"/>
        <w:textAlignment w:val="auto"/>
        <w:rPr>
          <w:sz w:val="24"/>
          <w:highlight w:val="none"/>
        </w:rPr>
      </w:pPr>
      <w:r>
        <w:rPr>
          <w:sz w:val="24"/>
          <w:highlight w:val="none"/>
        </w:rPr>
        <w:t>建立环境管理机构是环境管理工作科学化、制度化、经常化的组织保障，是将环境保护纳入企业管理和生产计划并制定合理的污染控制指标，使企业排污符合国家和地方有关排放标准，并实现“一控双达标”，企业内部必须建立环境管理机构。</w:t>
      </w:r>
    </w:p>
    <w:p>
      <w:pPr>
        <w:autoSpaceDE w:val="0"/>
        <w:autoSpaceDN w:val="0"/>
        <w:ind w:firstLine="480"/>
        <w:jc w:val="both"/>
        <w:textAlignment w:val="auto"/>
        <w:rPr>
          <w:sz w:val="24"/>
          <w:highlight w:val="none"/>
        </w:rPr>
      </w:pPr>
      <w:r>
        <w:rPr>
          <w:sz w:val="24"/>
          <w:highlight w:val="none"/>
        </w:rPr>
        <w:t>根据项目实际情况，企业应当建立环保机构，负责项目施工、运营期间的安全生产和环境管理工作。由公司总经理负责，1名副经理分管主抓，成员由各生产岗位领导组成，专门研究、决策有关环境保护方面的事宜。同时配备1专职环保员，担负起全厂环境管理工作，使各项环保措施、制度得以贯彻落实。</w:t>
      </w:r>
    </w:p>
    <w:p>
      <w:pPr>
        <w:pStyle w:val="6"/>
        <w:numPr>
          <w:ilvl w:val="2"/>
          <w:numId w:val="1"/>
        </w:numPr>
        <w:spacing w:before="0" w:after="0"/>
        <w:ind w:left="567"/>
        <w:rPr>
          <w:szCs w:val="28"/>
          <w:highlight w:val="none"/>
        </w:rPr>
      </w:pPr>
      <w:bookmarkStart w:id="721" w:name="_Toc521591833"/>
      <w:bookmarkStart w:id="722" w:name="_Toc9134"/>
      <w:r>
        <w:rPr>
          <w:szCs w:val="28"/>
          <w:highlight w:val="none"/>
        </w:rPr>
        <w:t>机构职责</w:t>
      </w:r>
      <w:bookmarkEnd w:id="721"/>
      <w:bookmarkEnd w:id="722"/>
    </w:p>
    <w:p>
      <w:pPr>
        <w:autoSpaceDE w:val="0"/>
        <w:autoSpaceDN w:val="0"/>
        <w:ind w:firstLine="480"/>
        <w:jc w:val="both"/>
        <w:textAlignment w:val="auto"/>
        <w:rPr>
          <w:sz w:val="24"/>
          <w:highlight w:val="none"/>
        </w:rPr>
      </w:pPr>
      <w:r>
        <w:rPr>
          <w:sz w:val="24"/>
          <w:highlight w:val="none"/>
        </w:rPr>
        <w:t>企业环保机构应具有厂内行使环保执法的权利，并接受当地环保管理部门的指导和监督。其主要职责如下：</w:t>
      </w:r>
    </w:p>
    <w:p>
      <w:pPr>
        <w:autoSpaceDE w:val="0"/>
        <w:autoSpaceDN w:val="0"/>
        <w:ind w:firstLine="480"/>
        <w:jc w:val="both"/>
        <w:textAlignment w:val="auto"/>
        <w:rPr>
          <w:sz w:val="24"/>
          <w:highlight w:val="none"/>
        </w:rPr>
      </w:pPr>
      <w:r>
        <w:rPr>
          <w:sz w:val="24"/>
          <w:highlight w:val="none"/>
        </w:rPr>
        <w:t>（1）贯彻、宣传国家的环保方针、政策和法律法规。</w:t>
      </w:r>
    </w:p>
    <w:p>
      <w:pPr>
        <w:autoSpaceDE w:val="0"/>
        <w:autoSpaceDN w:val="0"/>
        <w:ind w:firstLine="480"/>
        <w:jc w:val="both"/>
        <w:textAlignment w:val="auto"/>
        <w:rPr>
          <w:sz w:val="24"/>
          <w:highlight w:val="none"/>
        </w:rPr>
      </w:pPr>
      <w:r>
        <w:rPr>
          <w:sz w:val="24"/>
          <w:highlight w:val="none"/>
        </w:rPr>
        <w:t>（2）制定本厂的环保管理制度。建立和健全企业内部环境保护目标责任制度和考核制度，严格考核各环保设施处理效果，要有相应的奖惩制度。</w:t>
      </w:r>
    </w:p>
    <w:p>
      <w:pPr>
        <w:autoSpaceDE w:val="0"/>
        <w:autoSpaceDN w:val="0"/>
        <w:ind w:firstLine="480"/>
        <w:jc w:val="both"/>
        <w:textAlignment w:val="auto"/>
        <w:rPr>
          <w:sz w:val="24"/>
          <w:highlight w:val="none"/>
        </w:rPr>
      </w:pPr>
      <w:r>
        <w:rPr>
          <w:sz w:val="24"/>
          <w:highlight w:val="none"/>
        </w:rPr>
        <w:t>（3）监督检查本项目执行“三同时”规定的情况。</w:t>
      </w:r>
    </w:p>
    <w:p>
      <w:pPr>
        <w:tabs>
          <w:tab w:val="left" w:pos="1395"/>
        </w:tabs>
        <w:autoSpaceDE w:val="0"/>
        <w:autoSpaceDN w:val="0"/>
        <w:ind w:firstLine="480"/>
        <w:jc w:val="both"/>
        <w:textAlignment w:val="auto"/>
        <w:rPr>
          <w:sz w:val="24"/>
          <w:highlight w:val="none"/>
        </w:rPr>
      </w:pPr>
      <w:r>
        <w:rPr>
          <w:sz w:val="24"/>
          <w:highlight w:val="none"/>
        </w:rPr>
        <w:t>（4）定期进行环保设备检查、维修和保养工作，确保环保设施长期、稳定、达标运转。建立并管理好环保设施档案资料。</w:t>
      </w:r>
    </w:p>
    <w:p>
      <w:pPr>
        <w:tabs>
          <w:tab w:val="left" w:pos="1395"/>
        </w:tabs>
        <w:autoSpaceDE w:val="0"/>
        <w:autoSpaceDN w:val="0"/>
        <w:ind w:firstLine="480"/>
        <w:jc w:val="both"/>
        <w:textAlignment w:val="auto"/>
        <w:rPr>
          <w:sz w:val="24"/>
          <w:highlight w:val="none"/>
        </w:rPr>
      </w:pPr>
      <w:r>
        <w:rPr>
          <w:sz w:val="24"/>
          <w:highlight w:val="none"/>
        </w:rPr>
        <w:t>（5）负责选矿厂环保设施的日常运行管理工作，制定事故防范措施。</w:t>
      </w:r>
    </w:p>
    <w:p>
      <w:pPr>
        <w:tabs>
          <w:tab w:val="left" w:pos="1395"/>
        </w:tabs>
        <w:autoSpaceDE w:val="0"/>
        <w:autoSpaceDN w:val="0"/>
        <w:ind w:firstLine="480"/>
        <w:jc w:val="both"/>
        <w:textAlignment w:val="auto"/>
        <w:rPr>
          <w:sz w:val="24"/>
          <w:highlight w:val="none"/>
        </w:rPr>
      </w:pPr>
      <w:r>
        <w:rPr>
          <w:sz w:val="24"/>
          <w:highlight w:val="none"/>
        </w:rPr>
        <w:t>（6）有计划地做好普及环境科学知识和环境法律知识的宣传教育工作，对场内环保人员和附近居民进行环境保护教育，不断提高居民的环境意识和环保人员的业务素质。</w:t>
      </w:r>
    </w:p>
    <w:p>
      <w:pPr>
        <w:autoSpaceDE w:val="0"/>
        <w:autoSpaceDN w:val="0"/>
        <w:ind w:firstLine="480"/>
        <w:jc w:val="both"/>
        <w:textAlignment w:val="auto"/>
        <w:rPr>
          <w:sz w:val="24"/>
          <w:highlight w:val="none"/>
        </w:rPr>
      </w:pPr>
      <w:r>
        <w:rPr>
          <w:sz w:val="24"/>
          <w:highlight w:val="none"/>
        </w:rPr>
        <w:t>（7）负责与本项目污染源监测工作对接，了解掌握本项目污染动态，发现异常要及时查找原因，并反馈给生产工段，防止污染事故发生。</w:t>
      </w:r>
    </w:p>
    <w:p>
      <w:pPr>
        <w:pStyle w:val="6"/>
        <w:numPr>
          <w:ilvl w:val="2"/>
          <w:numId w:val="1"/>
        </w:numPr>
        <w:spacing w:before="0" w:after="0"/>
        <w:ind w:left="567"/>
        <w:rPr>
          <w:szCs w:val="28"/>
          <w:highlight w:val="none"/>
        </w:rPr>
      </w:pPr>
      <w:bookmarkStart w:id="723" w:name="_Toc521591834"/>
      <w:bookmarkStart w:id="724" w:name="_Toc32579"/>
      <w:r>
        <w:rPr>
          <w:szCs w:val="28"/>
          <w:highlight w:val="none"/>
        </w:rPr>
        <w:t>环境管理制度</w:t>
      </w:r>
      <w:bookmarkEnd w:id="723"/>
      <w:bookmarkEnd w:id="724"/>
    </w:p>
    <w:p>
      <w:pPr>
        <w:autoSpaceDE w:val="0"/>
        <w:autoSpaceDN w:val="0"/>
        <w:ind w:firstLine="480"/>
        <w:jc w:val="both"/>
        <w:textAlignment w:val="auto"/>
        <w:rPr>
          <w:sz w:val="24"/>
          <w:highlight w:val="none"/>
        </w:rPr>
      </w:pPr>
      <w:r>
        <w:rPr>
          <w:sz w:val="24"/>
          <w:highlight w:val="none"/>
        </w:rPr>
        <w:t>企业应建立健全必要的环境管理规章制度，并把它作为企业领导和全体职工必须严格遵守的一种规范和总则。“有规可循、执规必严”是环境管理得以顺利实施的重要保证。各项规章制度要体现环境管理的任务、内容和准则，使环境管理特点和要求渗透到企业的各项管理工作之中。</w:t>
      </w:r>
    </w:p>
    <w:p>
      <w:pPr>
        <w:autoSpaceDE w:val="0"/>
        <w:autoSpaceDN w:val="0"/>
        <w:ind w:firstLine="480"/>
        <w:jc w:val="both"/>
        <w:textAlignment w:val="auto"/>
        <w:rPr>
          <w:sz w:val="24"/>
          <w:highlight w:val="none"/>
        </w:rPr>
      </w:pPr>
      <w:r>
        <w:rPr>
          <w:sz w:val="24"/>
          <w:highlight w:val="none"/>
        </w:rPr>
        <w:t>最基本的环境管理制度有以下几方面：</w:t>
      </w:r>
    </w:p>
    <w:p>
      <w:pPr>
        <w:autoSpaceDE w:val="0"/>
        <w:autoSpaceDN w:val="0"/>
        <w:ind w:firstLine="480"/>
        <w:jc w:val="both"/>
        <w:textAlignment w:val="auto"/>
        <w:rPr>
          <w:sz w:val="24"/>
          <w:highlight w:val="none"/>
        </w:rPr>
      </w:pPr>
      <w:r>
        <w:rPr>
          <w:sz w:val="24"/>
          <w:highlight w:val="none"/>
        </w:rPr>
        <w:t>（1）环境保护职责管理制度</w:t>
      </w:r>
    </w:p>
    <w:p>
      <w:pPr>
        <w:autoSpaceDE w:val="0"/>
        <w:autoSpaceDN w:val="0"/>
        <w:ind w:firstLine="480"/>
        <w:jc w:val="both"/>
        <w:textAlignment w:val="auto"/>
        <w:rPr>
          <w:sz w:val="24"/>
          <w:highlight w:val="none"/>
        </w:rPr>
      </w:pPr>
      <w:r>
        <w:rPr>
          <w:sz w:val="24"/>
          <w:highlight w:val="none"/>
        </w:rPr>
        <w:t>（2）废水、废气、固体废物排放管理制度</w:t>
      </w:r>
    </w:p>
    <w:p>
      <w:pPr>
        <w:autoSpaceDE w:val="0"/>
        <w:autoSpaceDN w:val="0"/>
        <w:ind w:firstLine="480"/>
        <w:jc w:val="both"/>
        <w:textAlignment w:val="auto"/>
        <w:rPr>
          <w:sz w:val="24"/>
          <w:highlight w:val="none"/>
        </w:rPr>
      </w:pPr>
      <w:r>
        <w:rPr>
          <w:sz w:val="24"/>
          <w:highlight w:val="none"/>
        </w:rPr>
        <w:t>（3）处理装置日常运行管理制度</w:t>
      </w:r>
    </w:p>
    <w:p>
      <w:pPr>
        <w:autoSpaceDE w:val="0"/>
        <w:autoSpaceDN w:val="0"/>
        <w:ind w:firstLine="480"/>
        <w:jc w:val="both"/>
        <w:textAlignment w:val="auto"/>
        <w:rPr>
          <w:sz w:val="24"/>
          <w:highlight w:val="none"/>
        </w:rPr>
      </w:pPr>
      <w:r>
        <w:rPr>
          <w:sz w:val="24"/>
          <w:highlight w:val="none"/>
        </w:rPr>
        <w:t>（4）排污情况报告制度</w:t>
      </w:r>
    </w:p>
    <w:p>
      <w:pPr>
        <w:autoSpaceDE w:val="0"/>
        <w:autoSpaceDN w:val="0"/>
        <w:ind w:firstLine="480"/>
        <w:jc w:val="both"/>
        <w:textAlignment w:val="auto"/>
        <w:rPr>
          <w:sz w:val="24"/>
          <w:highlight w:val="none"/>
        </w:rPr>
      </w:pPr>
      <w:r>
        <w:rPr>
          <w:sz w:val="24"/>
          <w:highlight w:val="none"/>
        </w:rPr>
        <w:t>（5）污染事故处理制度</w:t>
      </w:r>
    </w:p>
    <w:p>
      <w:pPr>
        <w:ind w:firstLine="480"/>
        <w:jc w:val="both"/>
        <w:rPr>
          <w:sz w:val="24"/>
          <w:highlight w:val="none"/>
        </w:rPr>
      </w:pPr>
      <w:r>
        <w:rPr>
          <w:sz w:val="24"/>
          <w:highlight w:val="none"/>
        </w:rPr>
        <w:t>（6）环保教育制度</w:t>
      </w:r>
    </w:p>
    <w:p>
      <w:pPr>
        <w:ind w:firstLine="480"/>
        <w:jc w:val="both"/>
        <w:rPr>
          <w:sz w:val="24"/>
          <w:highlight w:val="none"/>
        </w:rPr>
      </w:pPr>
      <w:r>
        <w:rPr>
          <w:sz w:val="24"/>
          <w:highlight w:val="none"/>
        </w:rPr>
        <w:t>通过对各项环境管理制度建立和严格执行，形成目标管理、监督反馈紧密配合的环保工作管理体系，可有效防止非正常生产和突发性事故造成的危害。</w:t>
      </w:r>
    </w:p>
    <w:p>
      <w:pPr>
        <w:pStyle w:val="6"/>
        <w:numPr>
          <w:ilvl w:val="2"/>
          <w:numId w:val="1"/>
        </w:numPr>
        <w:spacing w:before="0" w:after="0"/>
        <w:ind w:left="0" w:firstLine="0"/>
        <w:rPr>
          <w:b w:val="0"/>
          <w:szCs w:val="28"/>
          <w:highlight w:val="none"/>
        </w:rPr>
      </w:pPr>
      <w:r>
        <w:rPr>
          <w:rFonts w:hint="eastAsia"/>
          <w:b w:val="0"/>
          <w:szCs w:val="28"/>
          <w:highlight w:val="none"/>
        </w:rPr>
        <w:t>建设单位公开信息内容</w:t>
      </w:r>
    </w:p>
    <w:p>
      <w:pPr>
        <w:ind w:firstLine="480"/>
        <w:rPr>
          <w:sz w:val="24"/>
          <w:highlight w:val="none"/>
        </w:rPr>
      </w:pPr>
      <w:r>
        <w:rPr>
          <w:rFonts w:hint="eastAsia"/>
          <w:sz w:val="24"/>
          <w:highlight w:val="none"/>
        </w:rPr>
        <w:t>建设单位公开信息内容见下表。</w:t>
      </w:r>
    </w:p>
    <w:p>
      <w:pPr>
        <w:spacing w:line="240" w:lineRule="auto"/>
        <w:ind w:firstLine="0" w:firstLineChars="0"/>
        <w:jc w:val="center"/>
        <w:rPr>
          <w:rFonts w:eastAsia="黑体"/>
          <w:bCs/>
          <w:kern w:val="2"/>
          <w:sz w:val="21"/>
          <w:szCs w:val="21"/>
          <w:highlight w:val="none"/>
        </w:rPr>
      </w:pPr>
      <w:r>
        <w:rPr>
          <w:rFonts w:hint="eastAsia" w:eastAsia="黑体"/>
          <w:bCs/>
          <w:kern w:val="2"/>
          <w:sz w:val="21"/>
          <w:szCs w:val="21"/>
          <w:highlight w:val="none"/>
        </w:rPr>
        <w:t>表8.1-1     建设单位公开信息内容一览表</w:t>
      </w:r>
    </w:p>
    <w:tbl>
      <w:tblPr>
        <w:tblStyle w:val="48"/>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1559"/>
        <w:gridCol w:w="6152"/>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序号</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公开信息</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内容</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基础信息</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单位名称、组织机构代码、法定代表人、生产地址、联系方式，以及生产经营和管理服务的主要内容、产品及规模</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2</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排污信息</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主要污染物及特征污染物的名称、排放方式、排放口数量和分布情况、排放浓度和总量、超标情况，以及执行的污染物排放标准、核定的排放总量</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3</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污染防治设施</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污染防治设施的建设和运行情况</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4</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环保手续</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建设项目环境影响评价及其他环境保护行政许可情况</w:t>
            </w:r>
          </w:p>
        </w:tc>
      </w:tr>
    </w:tbl>
    <w:p>
      <w:pPr>
        <w:pStyle w:val="6"/>
        <w:numPr>
          <w:ilvl w:val="2"/>
          <w:numId w:val="1"/>
        </w:numPr>
        <w:spacing w:before="0" w:after="0"/>
        <w:ind w:left="567"/>
        <w:rPr>
          <w:szCs w:val="28"/>
          <w:highlight w:val="none"/>
        </w:rPr>
      </w:pPr>
      <w:bookmarkStart w:id="725" w:name="_Toc5945"/>
      <w:bookmarkStart w:id="726" w:name="_Toc521591835"/>
      <w:r>
        <w:rPr>
          <w:szCs w:val="28"/>
          <w:highlight w:val="none"/>
        </w:rPr>
        <w:t>排污口规范化</w:t>
      </w:r>
      <w:bookmarkEnd w:id="725"/>
      <w:bookmarkEnd w:id="726"/>
    </w:p>
    <w:p>
      <w:pPr>
        <w:ind w:firstLine="480"/>
        <w:jc w:val="both"/>
        <w:rPr>
          <w:sz w:val="24"/>
          <w:highlight w:val="none"/>
        </w:rPr>
      </w:pPr>
      <w:r>
        <w:rPr>
          <w:sz w:val="24"/>
          <w:highlight w:val="none"/>
        </w:rPr>
        <w:t>排污口是企业污染物进入环境，污染环境的通道，强化排污口的管理是实施污染物总量控制的基础工作之一，也是区域环境管理逐步实现污染物排放科学化、定量化的重要手段。具体管理原则如下：</w:t>
      </w:r>
    </w:p>
    <w:p>
      <w:pPr>
        <w:ind w:firstLine="480"/>
        <w:jc w:val="both"/>
        <w:rPr>
          <w:sz w:val="24"/>
          <w:highlight w:val="none"/>
        </w:rPr>
      </w:pPr>
      <w:r>
        <w:rPr>
          <w:sz w:val="24"/>
          <w:highlight w:val="none"/>
        </w:rPr>
        <w:t>（1）向环境排放污染物的排放口必须规范化；</w:t>
      </w:r>
    </w:p>
    <w:p>
      <w:pPr>
        <w:ind w:firstLine="480"/>
        <w:jc w:val="both"/>
        <w:rPr>
          <w:sz w:val="24"/>
          <w:highlight w:val="none"/>
        </w:rPr>
      </w:pPr>
      <w:r>
        <w:rPr>
          <w:sz w:val="24"/>
          <w:highlight w:val="none"/>
        </w:rPr>
        <w:t>在场区“三废”及噪声排放点设置明显标志，标志的设置应执行《环境保护图形标志排放口（源）》（GB15562.1—1995）及《环境保护图形固体废物贮存（处置）场》（GB15562.2—1995）中有关规定。排放口图形标志见图8</w:t>
      </w:r>
      <w:r>
        <w:rPr>
          <w:rFonts w:hint="eastAsia"/>
          <w:sz w:val="24"/>
          <w:highlight w:val="none"/>
        </w:rPr>
        <w:t>.1</w:t>
      </w:r>
      <w:r>
        <w:rPr>
          <w:sz w:val="24"/>
          <w:highlight w:val="none"/>
        </w:rPr>
        <w:t>-1。</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44"/>
        <w:gridCol w:w="1686"/>
        <w:gridCol w:w="1626"/>
        <w:gridCol w:w="1560"/>
        <w:gridCol w:w="6"/>
        <w:gridCol w:w="2695"/>
        <w:gridCol w:w="11"/>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856" w:type="pct"/>
            <w:vAlign w:val="center"/>
          </w:tcPr>
          <w:p>
            <w:pPr>
              <w:pStyle w:val="19"/>
              <w:spacing w:after="0" w:line="240" w:lineRule="auto"/>
              <w:ind w:firstLine="0" w:firstLineChars="0"/>
              <w:jc w:val="center"/>
              <w:rPr>
                <w:spacing w:val="21"/>
                <w:sz w:val="21"/>
                <w:szCs w:val="21"/>
                <w:highlight w:val="none"/>
              </w:rPr>
            </w:pPr>
            <w:bookmarkStart w:id="727" w:name="_Hlk3797884"/>
            <w:r>
              <w:rPr>
                <w:spacing w:val="21"/>
                <w:sz w:val="21"/>
                <w:szCs w:val="21"/>
                <w:highlight w:val="none"/>
              </w:rPr>
              <w:t>排放口</w:t>
            </w:r>
          </w:p>
        </w:tc>
        <w:tc>
          <w:tcPr>
            <w:tcW w:w="1016" w:type="pct"/>
            <w:vAlign w:val="center"/>
          </w:tcPr>
          <w:p>
            <w:pPr>
              <w:pStyle w:val="19"/>
              <w:spacing w:after="0" w:line="240" w:lineRule="auto"/>
              <w:ind w:firstLine="0" w:firstLineChars="0"/>
              <w:jc w:val="center"/>
              <w:rPr>
                <w:spacing w:val="21"/>
                <w:sz w:val="21"/>
                <w:szCs w:val="21"/>
                <w:highlight w:val="none"/>
              </w:rPr>
            </w:pPr>
            <w:r>
              <w:rPr>
                <w:spacing w:val="21"/>
                <w:sz w:val="21"/>
                <w:szCs w:val="21"/>
                <w:highlight w:val="none"/>
              </w:rPr>
              <w:t>噪声源</w:t>
            </w:r>
          </w:p>
        </w:tc>
        <w:tc>
          <w:tcPr>
            <w:tcW w:w="1010" w:type="pct"/>
            <w:vAlign w:val="center"/>
          </w:tcPr>
          <w:p>
            <w:pPr>
              <w:pStyle w:val="19"/>
              <w:spacing w:after="0" w:line="240" w:lineRule="auto"/>
              <w:ind w:left="-70" w:leftChars="-25" w:right="-70" w:rightChars="-25" w:firstLine="0" w:firstLineChars="0"/>
              <w:jc w:val="center"/>
              <w:rPr>
                <w:spacing w:val="21"/>
                <w:sz w:val="21"/>
                <w:szCs w:val="21"/>
                <w:highlight w:val="none"/>
              </w:rPr>
            </w:pPr>
            <w:r>
              <w:rPr>
                <w:spacing w:val="21"/>
                <w:sz w:val="21"/>
                <w:szCs w:val="21"/>
                <w:highlight w:val="none"/>
              </w:rPr>
              <w:t>废气排放口</w:t>
            </w:r>
          </w:p>
        </w:tc>
        <w:tc>
          <w:tcPr>
            <w:tcW w:w="1097" w:type="pct"/>
            <w:gridSpan w:val="2"/>
            <w:vAlign w:val="center"/>
          </w:tcPr>
          <w:p>
            <w:pPr>
              <w:pStyle w:val="19"/>
              <w:spacing w:after="0" w:line="240" w:lineRule="auto"/>
              <w:ind w:firstLine="0" w:firstLineChars="0"/>
              <w:jc w:val="center"/>
              <w:rPr>
                <w:spacing w:val="21"/>
                <w:sz w:val="21"/>
                <w:szCs w:val="21"/>
                <w:highlight w:val="none"/>
              </w:rPr>
            </w:pPr>
            <w:r>
              <w:rPr>
                <w:spacing w:val="21"/>
                <w:sz w:val="21"/>
                <w:szCs w:val="21"/>
                <w:highlight w:val="none"/>
              </w:rPr>
              <w:t>固体废物</w:t>
            </w:r>
          </w:p>
          <w:p>
            <w:pPr>
              <w:pStyle w:val="19"/>
              <w:spacing w:after="0" w:line="240" w:lineRule="auto"/>
              <w:ind w:firstLine="0" w:firstLineChars="0"/>
              <w:jc w:val="center"/>
              <w:rPr>
                <w:spacing w:val="21"/>
                <w:sz w:val="21"/>
                <w:szCs w:val="21"/>
                <w:highlight w:val="none"/>
              </w:rPr>
            </w:pPr>
            <w:r>
              <w:rPr>
                <w:spacing w:val="21"/>
                <w:sz w:val="21"/>
                <w:szCs w:val="21"/>
                <w:highlight w:val="none"/>
              </w:rPr>
              <w:t>堆放场</w:t>
            </w:r>
          </w:p>
        </w:tc>
        <w:tc>
          <w:tcPr>
            <w:tcW w:w="1021" w:type="pct"/>
            <w:gridSpan w:val="2"/>
            <w:vAlign w:val="center"/>
          </w:tcPr>
          <w:p>
            <w:pPr>
              <w:pStyle w:val="19"/>
              <w:spacing w:after="0" w:line="240" w:lineRule="auto"/>
              <w:ind w:firstLine="0" w:firstLineChars="0"/>
              <w:jc w:val="center"/>
              <w:rPr>
                <w:spacing w:val="21"/>
                <w:sz w:val="21"/>
                <w:szCs w:val="21"/>
                <w:highlight w:val="none"/>
              </w:rPr>
            </w:pPr>
            <w:r>
              <w:rPr>
                <w:rFonts w:hint="eastAsia"/>
                <w:spacing w:val="21"/>
                <w:sz w:val="21"/>
                <w:szCs w:val="21"/>
                <w:highlight w:val="none"/>
              </w:rPr>
              <w:t>危险废物</w:t>
            </w:r>
          </w:p>
          <w:p>
            <w:pPr>
              <w:pStyle w:val="19"/>
              <w:spacing w:after="0" w:line="240" w:lineRule="auto"/>
              <w:ind w:firstLine="0" w:firstLineChars="0"/>
              <w:jc w:val="center"/>
              <w:rPr>
                <w:spacing w:val="21"/>
                <w:sz w:val="21"/>
                <w:szCs w:val="21"/>
                <w:highlight w:val="none"/>
              </w:rPr>
            </w:pPr>
            <w:r>
              <w:rPr>
                <w:rFonts w:hint="eastAsia"/>
                <w:spacing w:val="21"/>
                <w:sz w:val="21"/>
                <w:szCs w:val="21"/>
                <w:highlight w:val="none"/>
              </w:rPr>
              <w:t>暂存间</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wBefore w:w="4" w:type="pct"/>
          <w:trHeight w:val="1521" w:hRule="atLeast"/>
          <w:jc w:val="center"/>
        </w:trPr>
        <w:tc>
          <w:tcPr>
            <w:tcW w:w="851" w:type="pct"/>
            <w:vAlign w:val="center"/>
          </w:tcPr>
          <w:p>
            <w:pPr>
              <w:pStyle w:val="19"/>
              <w:spacing w:after="0" w:line="240" w:lineRule="auto"/>
              <w:ind w:firstLine="0" w:firstLineChars="0"/>
              <w:jc w:val="center"/>
              <w:rPr>
                <w:spacing w:val="21"/>
                <w:sz w:val="21"/>
                <w:szCs w:val="21"/>
                <w:highlight w:val="none"/>
              </w:rPr>
            </w:pPr>
            <w:r>
              <w:rPr>
                <w:spacing w:val="21"/>
                <w:sz w:val="21"/>
                <w:szCs w:val="21"/>
                <w:highlight w:val="none"/>
              </w:rPr>
              <w:t>图形</w:t>
            </w:r>
          </w:p>
          <w:p>
            <w:pPr>
              <w:pStyle w:val="19"/>
              <w:spacing w:after="0" w:line="240" w:lineRule="auto"/>
              <w:ind w:firstLine="0" w:firstLineChars="0"/>
              <w:jc w:val="center"/>
              <w:rPr>
                <w:spacing w:val="21"/>
                <w:sz w:val="21"/>
                <w:szCs w:val="21"/>
                <w:highlight w:val="none"/>
              </w:rPr>
            </w:pPr>
            <w:r>
              <w:rPr>
                <w:spacing w:val="21"/>
                <w:sz w:val="21"/>
                <w:szCs w:val="21"/>
                <w:highlight w:val="none"/>
              </w:rPr>
              <w:t>符号</w:t>
            </w:r>
          </w:p>
        </w:tc>
        <w:tc>
          <w:tcPr>
            <w:tcW w:w="1016" w:type="pct"/>
            <w:vAlign w:val="center"/>
          </w:tcPr>
          <w:p>
            <w:pPr>
              <w:pStyle w:val="19"/>
              <w:adjustRightInd w:val="0"/>
              <w:spacing w:after="0" w:line="240" w:lineRule="auto"/>
              <w:ind w:firstLine="0" w:firstLineChars="0"/>
              <w:jc w:val="center"/>
              <w:rPr>
                <w:spacing w:val="21"/>
                <w:sz w:val="21"/>
                <w:szCs w:val="21"/>
                <w:highlight w:val="none"/>
              </w:rPr>
            </w:pPr>
            <w:r>
              <w:rPr>
                <w:spacing w:val="21"/>
                <w:sz w:val="21"/>
                <w:szCs w:val="21"/>
                <w:highlight w:val="none"/>
              </w:rPr>
              <w:drawing>
                <wp:inline distT="0" distB="0" distL="0" distR="0">
                  <wp:extent cx="933450" cy="8763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933580" cy="876422"/>
                          </a:xfrm>
                          <a:prstGeom prst="rect">
                            <a:avLst/>
                          </a:prstGeom>
                        </pic:spPr>
                      </pic:pic>
                    </a:graphicData>
                  </a:graphic>
                </wp:inline>
              </w:drawing>
            </w:r>
          </w:p>
        </w:tc>
        <w:tc>
          <w:tcPr>
            <w:tcW w:w="1010" w:type="pct"/>
            <w:vAlign w:val="center"/>
          </w:tcPr>
          <w:p>
            <w:pPr>
              <w:pStyle w:val="19"/>
              <w:adjustRightInd w:val="0"/>
              <w:spacing w:after="0" w:line="240" w:lineRule="auto"/>
              <w:ind w:firstLine="0" w:firstLineChars="0"/>
              <w:jc w:val="center"/>
              <w:rPr>
                <w:spacing w:val="21"/>
                <w:sz w:val="21"/>
                <w:szCs w:val="21"/>
                <w:highlight w:val="none"/>
              </w:rPr>
            </w:pPr>
            <w:r>
              <w:rPr>
                <w:spacing w:val="21"/>
                <w:sz w:val="21"/>
                <w:szCs w:val="21"/>
                <w:highlight w:val="none"/>
              </w:rPr>
              <w:drawing>
                <wp:inline distT="0" distB="0" distL="0" distR="0">
                  <wp:extent cx="895350" cy="828675"/>
                  <wp:effectExtent l="0" t="0" r="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895475" cy="828791"/>
                          </a:xfrm>
                          <a:prstGeom prst="rect">
                            <a:avLst/>
                          </a:prstGeom>
                        </pic:spPr>
                      </pic:pic>
                    </a:graphicData>
                  </a:graphic>
                </wp:inline>
              </w:drawing>
            </w:r>
          </w:p>
        </w:tc>
        <w:tc>
          <w:tcPr>
            <w:tcW w:w="1097" w:type="pct"/>
            <w:gridSpan w:val="2"/>
            <w:vAlign w:val="center"/>
          </w:tcPr>
          <w:p>
            <w:pPr>
              <w:pStyle w:val="19"/>
              <w:adjustRightInd w:val="0"/>
              <w:spacing w:after="0" w:line="240" w:lineRule="auto"/>
              <w:ind w:firstLine="0" w:firstLineChars="0"/>
              <w:jc w:val="center"/>
              <w:rPr>
                <w:spacing w:val="21"/>
                <w:sz w:val="21"/>
                <w:szCs w:val="21"/>
                <w:highlight w:val="none"/>
              </w:rPr>
            </w:pPr>
            <w:r>
              <w:rPr>
                <w:spacing w:val="21"/>
                <w:sz w:val="21"/>
                <w:szCs w:val="21"/>
                <w:highlight w:val="none"/>
              </w:rPr>
              <w:drawing>
                <wp:inline distT="0" distB="0" distL="0" distR="0">
                  <wp:extent cx="857250" cy="828675"/>
                  <wp:effectExtent l="0" t="0" r="0" b="952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857370" cy="828791"/>
                          </a:xfrm>
                          <a:prstGeom prst="rect">
                            <a:avLst/>
                          </a:prstGeom>
                        </pic:spPr>
                      </pic:pic>
                    </a:graphicData>
                  </a:graphic>
                </wp:inline>
              </w:drawing>
            </w:r>
          </w:p>
        </w:tc>
        <w:tc>
          <w:tcPr>
            <w:tcW w:w="1021" w:type="pct"/>
            <w:gridSpan w:val="2"/>
            <w:vAlign w:val="center"/>
          </w:tcPr>
          <w:p>
            <w:pPr>
              <w:pStyle w:val="19"/>
              <w:adjustRightInd w:val="0"/>
              <w:spacing w:after="0" w:line="240" w:lineRule="auto"/>
              <w:ind w:firstLine="0" w:firstLineChars="0"/>
              <w:jc w:val="center"/>
              <w:rPr>
                <w:spacing w:val="21"/>
                <w:sz w:val="21"/>
                <w:szCs w:val="21"/>
                <w:highlight w:val="none"/>
              </w:rPr>
            </w:pPr>
            <w:r>
              <w:drawing>
                <wp:inline distT="0" distB="0" distL="114300" distR="114300">
                  <wp:extent cx="1562735" cy="984885"/>
                  <wp:effectExtent l="0" t="0" r="18415" b="5715"/>
                  <wp:docPr id="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9"/>
                          <pic:cNvPicPr>
                            <a:picLocks noChangeAspect="1"/>
                          </pic:cNvPicPr>
                        </pic:nvPicPr>
                        <pic:blipFill>
                          <a:blip r:embed="rId104"/>
                          <a:stretch>
                            <a:fillRect/>
                          </a:stretch>
                        </pic:blipFill>
                        <pic:spPr>
                          <a:xfrm>
                            <a:off x="0" y="0"/>
                            <a:ext cx="1562735" cy="984885"/>
                          </a:xfrm>
                          <a:prstGeom prst="rect">
                            <a:avLst/>
                          </a:prstGeom>
                          <a:noFill/>
                          <a:ln>
                            <a:noFill/>
                          </a:ln>
                        </pic:spPr>
                      </pic:pic>
                    </a:graphicData>
                  </a:graphic>
                </wp:inline>
              </w:drawing>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gridAfter w:val="1"/>
          <w:wBefore w:w="4" w:type="pct"/>
          <w:wAfter w:w="4" w:type="pct"/>
          <w:jc w:val="center"/>
        </w:trPr>
        <w:tc>
          <w:tcPr>
            <w:tcW w:w="851" w:type="pct"/>
            <w:vAlign w:val="center"/>
          </w:tcPr>
          <w:p>
            <w:pPr>
              <w:pStyle w:val="19"/>
              <w:spacing w:after="0" w:line="240" w:lineRule="auto"/>
              <w:ind w:left="-70" w:leftChars="-25" w:right="-70" w:rightChars="-25" w:firstLine="0" w:firstLineChars="0"/>
              <w:jc w:val="center"/>
              <w:rPr>
                <w:spacing w:val="21"/>
                <w:sz w:val="21"/>
                <w:szCs w:val="21"/>
                <w:highlight w:val="none"/>
              </w:rPr>
            </w:pPr>
            <w:r>
              <w:rPr>
                <w:spacing w:val="21"/>
                <w:sz w:val="21"/>
                <w:szCs w:val="21"/>
                <w:highlight w:val="none"/>
              </w:rPr>
              <w:t>背景颜色</w:t>
            </w:r>
          </w:p>
        </w:tc>
        <w:tc>
          <w:tcPr>
            <w:tcW w:w="3119" w:type="pct"/>
            <w:gridSpan w:val="3"/>
            <w:vAlign w:val="center"/>
          </w:tcPr>
          <w:p>
            <w:pPr>
              <w:pStyle w:val="19"/>
              <w:spacing w:after="0" w:line="240" w:lineRule="auto"/>
              <w:ind w:firstLine="504"/>
              <w:jc w:val="center"/>
              <w:rPr>
                <w:spacing w:val="21"/>
                <w:sz w:val="21"/>
                <w:szCs w:val="21"/>
                <w:highlight w:val="none"/>
              </w:rPr>
            </w:pPr>
            <w:r>
              <w:rPr>
                <w:spacing w:val="21"/>
                <w:sz w:val="21"/>
                <w:szCs w:val="21"/>
                <w:highlight w:val="none"/>
              </w:rPr>
              <w:t>绿色</w:t>
            </w:r>
          </w:p>
        </w:tc>
        <w:tc>
          <w:tcPr>
            <w:tcW w:w="1021" w:type="pct"/>
            <w:gridSpan w:val="2"/>
            <w:vAlign w:val="center"/>
          </w:tcPr>
          <w:p>
            <w:pPr>
              <w:pStyle w:val="19"/>
              <w:spacing w:after="0" w:line="240" w:lineRule="auto"/>
              <w:ind w:firstLine="0" w:firstLineChars="0"/>
              <w:jc w:val="center"/>
              <w:rPr>
                <w:spacing w:val="21"/>
                <w:sz w:val="21"/>
                <w:szCs w:val="21"/>
                <w:highlight w:val="none"/>
              </w:rPr>
            </w:pPr>
            <w:r>
              <w:rPr>
                <w:spacing w:val="21"/>
                <w:sz w:val="21"/>
                <w:szCs w:val="21"/>
                <w:highlight w:val="none"/>
              </w:rPr>
              <w:t>黄色</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gridAfter w:val="1"/>
          <w:wBefore w:w="4" w:type="pct"/>
          <w:wAfter w:w="4" w:type="pct"/>
          <w:jc w:val="center"/>
        </w:trPr>
        <w:tc>
          <w:tcPr>
            <w:tcW w:w="851" w:type="pct"/>
            <w:vAlign w:val="center"/>
          </w:tcPr>
          <w:p>
            <w:pPr>
              <w:pStyle w:val="19"/>
              <w:spacing w:after="0" w:line="240" w:lineRule="auto"/>
              <w:ind w:left="-70" w:leftChars="-25" w:right="-70" w:rightChars="-25" w:firstLine="0" w:firstLineChars="0"/>
              <w:jc w:val="center"/>
              <w:rPr>
                <w:spacing w:val="21"/>
                <w:sz w:val="21"/>
                <w:szCs w:val="21"/>
                <w:highlight w:val="none"/>
              </w:rPr>
            </w:pPr>
            <w:r>
              <w:rPr>
                <w:spacing w:val="21"/>
                <w:sz w:val="21"/>
                <w:szCs w:val="21"/>
                <w:highlight w:val="none"/>
              </w:rPr>
              <w:t>图形颜色</w:t>
            </w:r>
          </w:p>
        </w:tc>
        <w:tc>
          <w:tcPr>
            <w:tcW w:w="3119" w:type="pct"/>
            <w:gridSpan w:val="3"/>
            <w:vAlign w:val="center"/>
          </w:tcPr>
          <w:p>
            <w:pPr>
              <w:pStyle w:val="19"/>
              <w:spacing w:after="0" w:line="240" w:lineRule="auto"/>
              <w:ind w:firstLine="504"/>
              <w:jc w:val="center"/>
              <w:rPr>
                <w:spacing w:val="21"/>
                <w:sz w:val="21"/>
                <w:szCs w:val="21"/>
                <w:highlight w:val="none"/>
              </w:rPr>
            </w:pPr>
            <w:r>
              <w:rPr>
                <w:spacing w:val="21"/>
                <w:sz w:val="21"/>
                <w:szCs w:val="21"/>
                <w:highlight w:val="none"/>
              </w:rPr>
              <w:t>白色</w:t>
            </w:r>
          </w:p>
        </w:tc>
        <w:tc>
          <w:tcPr>
            <w:tcW w:w="1021" w:type="pct"/>
            <w:gridSpan w:val="2"/>
            <w:vAlign w:val="center"/>
          </w:tcPr>
          <w:p>
            <w:pPr>
              <w:pStyle w:val="19"/>
              <w:spacing w:after="0" w:line="240" w:lineRule="auto"/>
              <w:ind w:firstLine="0" w:firstLineChars="0"/>
              <w:jc w:val="center"/>
              <w:rPr>
                <w:spacing w:val="21"/>
                <w:sz w:val="21"/>
                <w:szCs w:val="21"/>
                <w:highlight w:val="none"/>
              </w:rPr>
            </w:pPr>
            <w:r>
              <w:rPr>
                <w:spacing w:val="21"/>
                <w:sz w:val="21"/>
                <w:szCs w:val="21"/>
                <w:highlight w:val="none"/>
              </w:rPr>
              <w:t>黑色</w:t>
            </w:r>
          </w:p>
        </w:tc>
      </w:tr>
      <w:bookmarkEnd w:id="727"/>
    </w:tbl>
    <w:p>
      <w:pPr>
        <w:ind w:firstLine="0" w:firstLineChars="0"/>
        <w:jc w:val="center"/>
        <w:rPr>
          <w:rFonts w:eastAsia="黑体"/>
          <w:sz w:val="21"/>
          <w:szCs w:val="21"/>
          <w:highlight w:val="none"/>
        </w:rPr>
      </w:pPr>
      <w:r>
        <w:rPr>
          <w:rFonts w:eastAsia="黑体"/>
          <w:bCs/>
          <w:kern w:val="2"/>
          <w:sz w:val="21"/>
          <w:szCs w:val="21"/>
          <w:highlight w:val="none"/>
        </w:rPr>
        <w:t>图8.1-1  排放口图形标志</w:t>
      </w:r>
    </w:p>
    <w:p>
      <w:pPr>
        <w:ind w:firstLine="480"/>
        <w:jc w:val="both"/>
        <w:rPr>
          <w:sz w:val="24"/>
          <w:highlight w:val="none"/>
        </w:rPr>
      </w:pPr>
      <w:r>
        <w:rPr>
          <w:sz w:val="24"/>
          <w:highlight w:val="none"/>
        </w:rPr>
        <w:t>（2）列入总量控制污染物、排污口列为管理重点；</w:t>
      </w:r>
    </w:p>
    <w:p>
      <w:pPr>
        <w:ind w:firstLine="480"/>
        <w:jc w:val="both"/>
        <w:rPr>
          <w:sz w:val="24"/>
          <w:highlight w:val="none"/>
        </w:rPr>
      </w:pPr>
      <w:r>
        <w:rPr>
          <w:sz w:val="24"/>
          <w:highlight w:val="none"/>
        </w:rPr>
        <w:t>（3）排污口应便于采样与计量监测，便于日常现场监督检查。</w:t>
      </w:r>
    </w:p>
    <w:p>
      <w:pPr>
        <w:ind w:firstLine="480"/>
        <w:jc w:val="both"/>
        <w:rPr>
          <w:sz w:val="24"/>
          <w:highlight w:val="none"/>
        </w:rPr>
      </w:pPr>
      <w:r>
        <w:rPr>
          <w:sz w:val="24"/>
          <w:highlight w:val="none"/>
        </w:rPr>
        <w:t>（4）如实向环保管理部门申报排污口数量、位置及所排放的主要污染物种类、数量、浓度、排放去向等情况；</w:t>
      </w:r>
    </w:p>
    <w:p>
      <w:pPr>
        <w:ind w:firstLine="480"/>
        <w:jc w:val="both"/>
        <w:rPr>
          <w:sz w:val="24"/>
          <w:highlight w:val="none"/>
        </w:rPr>
      </w:pPr>
      <w:r>
        <w:rPr>
          <w:sz w:val="24"/>
          <w:highlight w:val="none"/>
        </w:rPr>
        <w:t>（5）废气排气装置应设置便于采样、监测的采样孔和采样平台，设置应符合《污染源监测技术规范》。</w:t>
      </w:r>
    </w:p>
    <w:p>
      <w:pPr>
        <w:pStyle w:val="6"/>
        <w:numPr>
          <w:ilvl w:val="2"/>
          <w:numId w:val="1"/>
        </w:numPr>
        <w:spacing w:before="0" w:after="0"/>
        <w:ind w:left="567"/>
        <w:rPr>
          <w:szCs w:val="28"/>
          <w:highlight w:val="none"/>
        </w:rPr>
      </w:pPr>
      <w:r>
        <w:rPr>
          <w:szCs w:val="28"/>
          <w:highlight w:val="none"/>
        </w:rPr>
        <w:t>排污</w:t>
      </w:r>
      <w:r>
        <w:rPr>
          <w:rFonts w:hint="eastAsia"/>
          <w:szCs w:val="28"/>
          <w:highlight w:val="none"/>
        </w:rPr>
        <w:t>许可</w:t>
      </w:r>
    </w:p>
    <w:p>
      <w:pPr>
        <w:ind w:firstLine="480"/>
        <w:jc w:val="both"/>
        <w:rPr>
          <w:sz w:val="24"/>
          <w:highlight w:val="none"/>
          <w:lang w:val="zh-CN"/>
        </w:rPr>
      </w:pPr>
      <w:r>
        <w:rPr>
          <w:rFonts w:hint="eastAsia"/>
          <w:sz w:val="24"/>
          <w:highlight w:val="none"/>
          <w:lang w:val="zh-CN"/>
        </w:rPr>
        <w:t>根据《固定污染源排污许可分类管理名录（2019年版）》（环境保护部令第45号）、环保部《关于做好环境影响评价制度与排污许可制衔接相关工作的通知》（环办环评[2017]84号），本项目属于《固定污染源排污许可分类管理名录（2019年版）》范畴，实行登记管理，应在本项目启动生产设施或排污之前进行排污登记。</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28" w:name="_Toc482171393"/>
      <w:bookmarkStart w:id="729" w:name="_Toc26087"/>
      <w:bookmarkStart w:id="730" w:name="_Toc499651432"/>
      <w:bookmarkStart w:id="731" w:name="_Toc536557311"/>
      <w:bookmarkStart w:id="732" w:name="_Toc10112"/>
      <w:bookmarkStart w:id="733" w:name="_Toc11774"/>
      <w:bookmarkStart w:id="734" w:name="_Toc503218131"/>
      <w:bookmarkStart w:id="735" w:name="_Toc521591836"/>
      <w:bookmarkStart w:id="736" w:name="_Toc524285124"/>
      <w:bookmarkStart w:id="737" w:name="_Toc321984022"/>
      <w:bookmarkStart w:id="738" w:name="_Toc176578297"/>
      <w:bookmarkStart w:id="739" w:name="_Toc186367931"/>
      <w:bookmarkStart w:id="740" w:name="_Toc477175441"/>
      <w:r>
        <w:rPr>
          <w:rFonts w:ascii="Times New Roman" w:hAnsi="Times New Roman" w:eastAsia="宋体"/>
          <w:bCs w:val="0"/>
          <w:snapToGrid w:val="0"/>
          <w:kern w:val="0"/>
          <w:sz w:val="28"/>
          <w:szCs w:val="28"/>
          <w:highlight w:val="none"/>
        </w:rPr>
        <w:t>污染物排放清单</w:t>
      </w:r>
      <w:bookmarkEnd w:id="728"/>
      <w:bookmarkEnd w:id="729"/>
      <w:bookmarkEnd w:id="730"/>
      <w:bookmarkEnd w:id="731"/>
      <w:bookmarkEnd w:id="732"/>
      <w:bookmarkEnd w:id="733"/>
      <w:bookmarkEnd w:id="734"/>
      <w:bookmarkEnd w:id="735"/>
      <w:bookmarkEnd w:id="736"/>
    </w:p>
    <w:p>
      <w:pPr>
        <w:ind w:firstLine="480"/>
        <w:rPr>
          <w:sz w:val="24"/>
          <w:szCs w:val="24"/>
          <w:highlight w:val="none"/>
        </w:rPr>
      </w:pPr>
      <w:r>
        <w:rPr>
          <w:sz w:val="24"/>
          <w:szCs w:val="24"/>
          <w:highlight w:val="none"/>
        </w:rPr>
        <w:t>本项目建成后，主要污染物排放量统计情况见表8.</w:t>
      </w:r>
      <w:r>
        <w:rPr>
          <w:rFonts w:hint="eastAsia"/>
          <w:sz w:val="24"/>
          <w:szCs w:val="24"/>
          <w:highlight w:val="none"/>
        </w:rPr>
        <w:t>2</w:t>
      </w:r>
      <w:r>
        <w:rPr>
          <w:sz w:val="24"/>
          <w:szCs w:val="24"/>
          <w:highlight w:val="none"/>
        </w:rPr>
        <w:t>-1。</w:t>
      </w:r>
    </w:p>
    <w:p>
      <w:pPr>
        <w:ind w:left="560" w:firstLine="0" w:firstLineChars="0"/>
        <w:rPr>
          <w:highlight w:val="gree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12" w:charSpace="0"/>
        </w:sectPr>
      </w:pP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表8.</w:t>
      </w:r>
      <w:r>
        <w:rPr>
          <w:rFonts w:hint="eastAsia" w:eastAsia="黑体"/>
          <w:bCs/>
          <w:kern w:val="2"/>
          <w:sz w:val="21"/>
          <w:szCs w:val="21"/>
          <w:highlight w:val="none"/>
        </w:rPr>
        <w:t>2</w:t>
      </w:r>
      <w:r>
        <w:rPr>
          <w:rFonts w:eastAsia="黑体"/>
          <w:bCs/>
          <w:kern w:val="2"/>
          <w:sz w:val="21"/>
          <w:szCs w:val="21"/>
          <w:highlight w:val="none"/>
        </w:rPr>
        <w:t>-1污染物排放清单</w:t>
      </w:r>
    </w:p>
    <w:tbl>
      <w:tblPr>
        <w:tblStyle w:val="48"/>
        <w:tblW w:w="1366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2"/>
        <w:gridCol w:w="903"/>
        <w:gridCol w:w="917"/>
        <w:gridCol w:w="1883"/>
        <w:gridCol w:w="2325"/>
        <w:gridCol w:w="1173"/>
        <w:gridCol w:w="1281"/>
        <w:gridCol w:w="1143"/>
        <w:gridCol w:w="927"/>
        <w:gridCol w:w="1912"/>
        <w:gridCol w:w="77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spacing w:line="240" w:lineRule="auto"/>
              <w:ind w:firstLine="0" w:firstLineChars="0"/>
              <w:jc w:val="center"/>
              <w:rPr>
                <w:sz w:val="21"/>
                <w:szCs w:val="21"/>
                <w:highlight w:val="none"/>
              </w:rPr>
            </w:pPr>
            <w:r>
              <w:rPr>
                <w:sz w:val="21"/>
                <w:szCs w:val="21"/>
                <w:highlight w:val="none"/>
              </w:rPr>
              <w:t>工程类别</w:t>
            </w:r>
          </w:p>
        </w:tc>
        <w:tc>
          <w:tcPr>
            <w:tcW w:w="1883" w:type="dxa"/>
            <w:vAlign w:val="center"/>
          </w:tcPr>
          <w:p>
            <w:pPr>
              <w:spacing w:line="240" w:lineRule="auto"/>
              <w:ind w:firstLine="0" w:firstLineChars="0"/>
              <w:jc w:val="center"/>
              <w:rPr>
                <w:sz w:val="21"/>
                <w:szCs w:val="21"/>
                <w:highlight w:val="none"/>
              </w:rPr>
            </w:pPr>
            <w:r>
              <w:rPr>
                <w:sz w:val="21"/>
                <w:szCs w:val="21"/>
                <w:highlight w:val="none"/>
              </w:rPr>
              <w:t>工程名称</w:t>
            </w:r>
          </w:p>
        </w:tc>
        <w:tc>
          <w:tcPr>
            <w:tcW w:w="9533" w:type="dxa"/>
            <w:gridSpan w:val="7"/>
            <w:vAlign w:val="center"/>
          </w:tcPr>
          <w:p>
            <w:pPr>
              <w:spacing w:line="240" w:lineRule="auto"/>
              <w:ind w:firstLine="0" w:firstLineChars="0"/>
              <w:jc w:val="center"/>
              <w:rPr>
                <w:sz w:val="21"/>
                <w:szCs w:val="21"/>
                <w:highlight w:val="none"/>
              </w:rPr>
            </w:pPr>
            <w:r>
              <w:rPr>
                <w:sz w:val="21"/>
                <w:szCs w:val="21"/>
                <w:highlight w:val="none"/>
              </w:rPr>
              <w:t>工程内容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spacing w:line="240" w:lineRule="auto"/>
              <w:ind w:firstLine="0" w:firstLineChars="0"/>
              <w:jc w:val="center"/>
              <w:rPr>
                <w:sz w:val="21"/>
                <w:szCs w:val="21"/>
                <w:highlight w:val="none"/>
              </w:rPr>
            </w:pPr>
            <w:r>
              <w:rPr>
                <w:sz w:val="21"/>
                <w:szCs w:val="21"/>
                <w:highlight w:val="none"/>
              </w:rPr>
              <w:t>主体工程</w:t>
            </w:r>
          </w:p>
        </w:tc>
        <w:tc>
          <w:tcPr>
            <w:tcW w:w="1883" w:type="dxa"/>
            <w:vAlign w:val="center"/>
          </w:tcPr>
          <w:p>
            <w:pPr>
              <w:spacing w:line="240" w:lineRule="auto"/>
              <w:ind w:firstLine="0" w:firstLineChars="0"/>
              <w:jc w:val="center"/>
              <w:rPr>
                <w:sz w:val="21"/>
                <w:szCs w:val="21"/>
                <w:highlight w:val="none"/>
              </w:rPr>
            </w:pPr>
            <w:r>
              <w:rPr>
                <w:rFonts w:hint="eastAsia"/>
                <w:kern w:val="2"/>
                <w:sz w:val="21"/>
                <w:szCs w:val="21"/>
                <w:highlight w:val="none"/>
              </w:rPr>
              <w:t>遵化市恒泰矿业有限公司年处理60万吨铁矿石、30万吨粗精矿改扩建项目</w:t>
            </w:r>
          </w:p>
        </w:tc>
        <w:tc>
          <w:tcPr>
            <w:tcW w:w="9533" w:type="dxa"/>
            <w:gridSpan w:val="7"/>
            <w:vAlign w:val="center"/>
          </w:tcPr>
          <w:p>
            <w:pPr>
              <w:spacing w:line="240" w:lineRule="auto"/>
              <w:ind w:firstLine="0" w:firstLineChars="0"/>
              <w:jc w:val="both"/>
              <w:rPr>
                <w:sz w:val="21"/>
                <w:szCs w:val="21"/>
                <w:highlight w:val="none"/>
              </w:rPr>
            </w:pPr>
            <w:r>
              <w:rPr>
                <w:rFonts w:hint="eastAsia"/>
                <w:kern w:val="2"/>
                <w:sz w:val="21"/>
                <w:szCs w:val="21"/>
                <w:highlight w:val="none"/>
                <w:lang w:val="en-US" w:eastAsia="zh-CN"/>
              </w:rPr>
              <w:t>主要新增南厂区的破碎生产能力，将原有年30万吨破碎生产能力提升至年60万吨，建设完成后南厂区年产粗精矿30万吨，全部作为北厂区精选生产线原料使用，本项目主要新增1套破碎设备，</w:t>
            </w:r>
            <w:r>
              <w:rPr>
                <w:rFonts w:hint="eastAsia"/>
                <w:kern w:val="2"/>
                <w:sz w:val="21"/>
                <w:szCs w:val="21"/>
                <w:highlight w:val="none"/>
              </w:rPr>
              <w:t>主要建设破碎车间、</w:t>
            </w:r>
            <w:r>
              <w:rPr>
                <w:rFonts w:hint="eastAsia"/>
                <w:kern w:val="2"/>
                <w:sz w:val="21"/>
                <w:szCs w:val="21"/>
                <w:highlight w:val="none"/>
                <w:lang w:val="en-US" w:eastAsia="zh-CN"/>
              </w:rPr>
              <w:t>原料棚</w:t>
            </w:r>
            <w:r>
              <w:rPr>
                <w:rFonts w:hint="eastAsia"/>
                <w:kern w:val="2"/>
                <w:sz w:val="21"/>
                <w:szCs w:val="21"/>
                <w:highlight w:val="none"/>
              </w:rPr>
              <w:t>、成品库</w:t>
            </w:r>
            <w:r>
              <w:rPr>
                <w:rFonts w:hint="eastAsia"/>
                <w:kern w:val="2"/>
                <w:sz w:val="21"/>
                <w:szCs w:val="21"/>
                <w:highlight w:val="none"/>
                <w:lang w:val="en-US" w:eastAsia="zh-CN"/>
              </w:rPr>
              <w:t>等</w:t>
            </w:r>
            <w:r>
              <w:rPr>
                <w:rFonts w:hint="eastAsia"/>
                <w:kern w:val="2"/>
                <w:sz w:val="21"/>
                <w:szCs w:val="21"/>
                <w:highlight w:val="none"/>
              </w:rPr>
              <w:t>相关配套公辅设施</w:t>
            </w:r>
            <w:r>
              <w:rPr>
                <w:rFonts w:hint="eastAsia"/>
                <w:kern w:val="2"/>
                <w:sz w:val="21"/>
                <w:szCs w:val="21"/>
                <w:highlight w:val="none"/>
                <w:lang w:eastAsia="zh-CN"/>
              </w:rPr>
              <w:t>，</w:t>
            </w:r>
            <w:r>
              <w:rPr>
                <w:rFonts w:hint="eastAsia"/>
                <w:kern w:val="2"/>
                <w:sz w:val="21"/>
                <w:szCs w:val="21"/>
                <w:highlight w:val="none"/>
                <w:lang w:val="en-US" w:eastAsia="zh-CN"/>
              </w:rPr>
              <w:t>北厂区维持现状不变，项目建设完成后全厂</w:t>
            </w:r>
            <w:r>
              <w:rPr>
                <w:rFonts w:hint="eastAsia"/>
                <w:kern w:val="2"/>
                <w:sz w:val="21"/>
                <w:szCs w:val="21"/>
                <w:highlight w:val="none"/>
              </w:rPr>
              <w:t>年处理60万吨铁矿石、30万吨粗</w:t>
            </w:r>
            <w:r>
              <w:rPr>
                <w:rFonts w:hint="eastAsia"/>
                <w:kern w:val="2"/>
                <w:sz w:val="21"/>
                <w:szCs w:val="21"/>
                <w:highlight w:val="none"/>
                <w:lang w:eastAsia="zh-CN"/>
              </w:rPr>
              <w:t>，</w:t>
            </w:r>
            <w:r>
              <w:rPr>
                <w:rFonts w:hint="eastAsia"/>
                <w:kern w:val="2"/>
                <w:sz w:val="21"/>
                <w:szCs w:val="21"/>
                <w:highlight w:val="none"/>
                <w:lang w:val="en-US" w:eastAsia="zh-CN"/>
              </w:rPr>
              <w:t>全厂保持年产品位66%铁精粉25万吨的生产能力不变</w:t>
            </w:r>
            <w:r>
              <w:rPr>
                <w:rFonts w:hint="eastAsia"/>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68" w:type="dxa"/>
            <w:gridSpan w:val="11"/>
            <w:vAlign w:val="center"/>
          </w:tcPr>
          <w:p>
            <w:pPr>
              <w:spacing w:line="240" w:lineRule="auto"/>
              <w:ind w:firstLine="0" w:firstLineChars="0"/>
              <w:jc w:val="center"/>
              <w:rPr>
                <w:sz w:val="21"/>
                <w:szCs w:val="21"/>
                <w:highlight w:val="none"/>
              </w:rPr>
            </w:pPr>
            <w:r>
              <w:rPr>
                <w:sz w:val="21"/>
                <w:szCs w:val="21"/>
                <w:highlight w:val="none"/>
                <w:lang w:val="zh-CN"/>
              </w:rPr>
              <w:t>产品及产能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spacing w:line="240" w:lineRule="auto"/>
              <w:ind w:firstLine="0" w:firstLineChars="0"/>
              <w:jc w:val="center"/>
              <w:rPr>
                <w:sz w:val="21"/>
                <w:szCs w:val="21"/>
                <w:highlight w:val="none"/>
              </w:rPr>
            </w:pPr>
            <w:r>
              <w:rPr>
                <w:sz w:val="21"/>
                <w:szCs w:val="21"/>
                <w:highlight w:val="none"/>
                <w:lang w:val="zh-CN"/>
              </w:rPr>
              <w:t>产品名称</w:t>
            </w:r>
          </w:p>
        </w:tc>
        <w:tc>
          <w:tcPr>
            <w:tcW w:w="4208" w:type="dxa"/>
            <w:gridSpan w:val="2"/>
            <w:vAlign w:val="center"/>
          </w:tcPr>
          <w:p>
            <w:pPr>
              <w:spacing w:line="240" w:lineRule="auto"/>
              <w:ind w:firstLine="0" w:firstLineChars="0"/>
              <w:jc w:val="center"/>
              <w:rPr>
                <w:sz w:val="21"/>
                <w:szCs w:val="21"/>
                <w:highlight w:val="none"/>
              </w:rPr>
            </w:pPr>
            <w:r>
              <w:rPr>
                <w:sz w:val="21"/>
                <w:szCs w:val="21"/>
                <w:highlight w:val="none"/>
                <w:lang w:val="zh-CN"/>
              </w:rPr>
              <w:t>产量</w:t>
            </w:r>
          </w:p>
        </w:tc>
        <w:tc>
          <w:tcPr>
            <w:tcW w:w="4524" w:type="dxa"/>
            <w:gridSpan w:val="4"/>
            <w:vAlign w:val="center"/>
          </w:tcPr>
          <w:p>
            <w:pPr>
              <w:spacing w:line="240" w:lineRule="auto"/>
              <w:ind w:firstLine="0" w:firstLineChars="0"/>
              <w:jc w:val="center"/>
              <w:rPr>
                <w:sz w:val="21"/>
                <w:szCs w:val="21"/>
                <w:highlight w:val="none"/>
              </w:rPr>
            </w:pPr>
            <w:r>
              <w:rPr>
                <w:sz w:val="21"/>
                <w:szCs w:val="21"/>
                <w:highlight w:val="none"/>
                <w:lang w:val="zh-CN"/>
              </w:rPr>
              <w:t>设计年生产的时间（</w:t>
            </w:r>
            <w:r>
              <w:rPr>
                <w:sz w:val="21"/>
                <w:szCs w:val="21"/>
                <w:highlight w:val="none"/>
              </w:rPr>
              <w:t>h</w:t>
            </w:r>
            <w:r>
              <w:rPr>
                <w:sz w:val="21"/>
                <w:szCs w:val="21"/>
                <w:highlight w:val="none"/>
                <w:lang w:val="zh-CN"/>
              </w:rPr>
              <w:t>）</w:t>
            </w:r>
          </w:p>
        </w:tc>
        <w:tc>
          <w:tcPr>
            <w:tcW w:w="2684" w:type="dxa"/>
            <w:gridSpan w:val="2"/>
            <w:vAlign w:val="center"/>
          </w:tcPr>
          <w:p>
            <w:pPr>
              <w:spacing w:line="240" w:lineRule="auto"/>
              <w:ind w:firstLine="0" w:firstLineChars="0"/>
              <w:jc w:val="center"/>
              <w:rPr>
                <w:sz w:val="21"/>
                <w:szCs w:val="21"/>
                <w:highlight w:val="none"/>
              </w:rPr>
            </w:pPr>
            <w:r>
              <w:rPr>
                <w:sz w:val="21"/>
                <w:szCs w:val="21"/>
                <w:highlight w:val="none"/>
                <w:lang w:val="zh-CN"/>
              </w:rPr>
              <w:t>其他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spacing w:line="240" w:lineRule="auto"/>
              <w:ind w:firstLine="0" w:firstLineChars="0"/>
              <w:jc w:val="center"/>
              <w:rPr>
                <w:sz w:val="21"/>
                <w:szCs w:val="21"/>
                <w:highlight w:val="none"/>
              </w:rPr>
            </w:pPr>
            <w:r>
              <w:rPr>
                <w:sz w:val="21"/>
                <w:szCs w:val="21"/>
                <w:highlight w:val="none"/>
                <w:lang w:val="zh-CN"/>
              </w:rPr>
              <w:t>铁精粉</w:t>
            </w:r>
          </w:p>
        </w:tc>
        <w:tc>
          <w:tcPr>
            <w:tcW w:w="4208" w:type="dxa"/>
            <w:gridSpan w:val="2"/>
            <w:vAlign w:val="center"/>
          </w:tcPr>
          <w:p>
            <w:pPr>
              <w:spacing w:line="240" w:lineRule="auto"/>
              <w:ind w:firstLine="0" w:firstLineChars="0"/>
              <w:jc w:val="center"/>
              <w:rPr>
                <w:sz w:val="21"/>
                <w:szCs w:val="21"/>
                <w:highlight w:val="none"/>
              </w:rPr>
            </w:pPr>
            <w:r>
              <w:rPr>
                <w:sz w:val="21"/>
                <w:szCs w:val="21"/>
                <w:highlight w:val="none"/>
              </w:rPr>
              <w:t>年产品位6</w:t>
            </w:r>
            <w:r>
              <w:rPr>
                <w:rFonts w:hint="eastAsia"/>
                <w:sz w:val="21"/>
                <w:szCs w:val="21"/>
                <w:highlight w:val="none"/>
              </w:rPr>
              <w:t>6</w:t>
            </w:r>
            <w:r>
              <w:rPr>
                <w:sz w:val="21"/>
                <w:szCs w:val="21"/>
                <w:highlight w:val="none"/>
              </w:rPr>
              <w:t>%铁精粉</w:t>
            </w:r>
            <w:r>
              <w:rPr>
                <w:rFonts w:hint="eastAsia"/>
                <w:sz w:val="21"/>
                <w:szCs w:val="21"/>
                <w:highlight w:val="none"/>
              </w:rPr>
              <w:t>25</w:t>
            </w:r>
            <w:r>
              <w:rPr>
                <w:sz w:val="21"/>
                <w:szCs w:val="21"/>
                <w:highlight w:val="none"/>
              </w:rPr>
              <w:t>万吨</w:t>
            </w:r>
          </w:p>
        </w:tc>
        <w:tc>
          <w:tcPr>
            <w:tcW w:w="4524" w:type="dxa"/>
            <w:gridSpan w:val="4"/>
            <w:vAlign w:val="center"/>
          </w:tcPr>
          <w:p>
            <w:pPr>
              <w:spacing w:line="240" w:lineRule="auto"/>
              <w:ind w:firstLine="0" w:firstLineChars="0"/>
              <w:jc w:val="center"/>
              <w:rPr>
                <w:sz w:val="21"/>
                <w:szCs w:val="21"/>
                <w:highlight w:val="none"/>
              </w:rPr>
            </w:pPr>
            <w:r>
              <w:rPr>
                <w:sz w:val="21"/>
                <w:szCs w:val="21"/>
                <w:highlight w:val="none"/>
              </w:rPr>
              <w:t>7200</w:t>
            </w:r>
          </w:p>
        </w:tc>
        <w:tc>
          <w:tcPr>
            <w:tcW w:w="2684" w:type="dxa"/>
            <w:gridSpan w:val="2"/>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Align w:val="center"/>
          </w:tcPr>
          <w:p>
            <w:pPr>
              <w:spacing w:line="240" w:lineRule="auto"/>
              <w:ind w:firstLine="0" w:firstLineChars="0"/>
              <w:jc w:val="center"/>
              <w:rPr>
                <w:sz w:val="21"/>
                <w:szCs w:val="21"/>
                <w:highlight w:val="none"/>
              </w:rPr>
            </w:pPr>
            <w:r>
              <w:rPr>
                <w:sz w:val="21"/>
                <w:szCs w:val="21"/>
                <w:highlight w:val="none"/>
              </w:rPr>
              <w:t>类别</w:t>
            </w:r>
          </w:p>
        </w:tc>
        <w:tc>
          <w:tcPr>
            <w:tcW w:w="903" w:type="dxa"/>
            <w:vAlign w:val="center"/>
          </w:tcPr>
          <w:p>
            <w:pPr>
              <w:spacing w:line="240" w:lineRule="auto"/>
              <w:ind w:firstLine="0" w:firstLineChars="0"/>
              <w:jc w:val="center"/>
              <w:rPr>
                <w:sz w:val="21"/>
                <w:szCs w:val="21"/>
                <w:highlight w:val="none"/>
              </w:rPr>
            </w:pPr>
            <w:r>
              <w:rPr>
                <w:sz w:val="21"/>
                <w:szCs w:val="21"/>
                <w:highlight w:val="none"/>
              </w:rPr>
              <w:t>工程</w:t>
            </w:r>
          </w:p>
          <w:p>
            <w:pPr>
              <w:spacing w:line="240" w:lineRule="auto"/>
              <w:ind w:firstLine="0" w:firstLineChars="0"/>
              <w:jc w:val="center"/>
              <w:rPr>
                <w:sz w:val="21"/>
                <w:szCs w:val="21"/>
                <w:highlight w:val="none"/>
              </w:rPr>
            </w:pPr>
            <w:r>
              <w:rPr>
                <w:sz w:val="21"/>
                <w:szCs w:val="21"/>
                <w:highlight w:val="none"/>
              </w:rPr>
              <w:t>组成</w:t>
            </w:r>
          </w:p>
        </w:tc>
        <w:tc>
          <w:tcPr>
            <w:tcW w:w="917" w:type="dxa"/>
            <w:vAlign w:val="center"/>
          </w:tcPr>
          <w:p>
            <w:pPr>
              <w:spacing w:line="240" w:lineRule="auto"/>
              <w:ind w:firstLine="0" w:firstLineChars="0"/>
              <w:jc w:val="center"/>
              <w:rPr>
                <w:sz w:val="21"/>
                <w:szCs w:val="21"/>
                <w:highlight w:val="none"/>
              </w:rPr>
            </w:pPr>
            <w:r>
              <w:rPr>
                <w:sz w:val="21"/>
                <w:szCs w:val="21"/>
                <w:highlight w:val="none"/>
              </w:rPr>
              <w:t>原辅材料组分</w:t>
            </w:r>
          </w:p>
        </w:tc>
        <w:tc>
          <w:tcPr>
            <w:tcW w:w="1883" w:type="dxa"/>
            <w:vAlign w:val="center"/>
          </w:tcPr>
          <w:p>
            <w:pPr>
              <w:spacing w:line="240" w:lineRule="auto"/>
              <w:ind w:firstLine="0" w:firstLineChars="0"/>
              <w:jc w:val="center"/>
              <w:rPr>
                <w:sz w:val="21"/>
                <w:szCs w:val="21"/>
                <w:highlight w:val="none"/>
              </w:rPr>
            </w:pPr>
            <w:r>
              <w:rPr>
                <w:sz w:val="21"/>
                <w:szCs w:val="21"/>
                <w:highlight w:val="none"/>
              </w:rPr>
              <w:t>污染物</w:t>
            </w:r>
          </w:p>
        </w:tc>
        <w:tc>
          <w:tcPr>
            <w:tcW w:w="2325" w:type="dxa"/>
            <w:vAlign w:val="center"/>
          </w:tcPr>
          <w:p>
            <w:pPr>
              <w:spacing w:line="240" w:lineRule="auto"/>
              <w:ind w:firstLine="0" w:firstLineChars="0"/>
              <w:jc w:val="center"/>
              <w:rPr>
                <w:sz w:val="21"/>
                <w:szCs w:val="21"/>
                <w:highlight w:val="none"/>
              </w:rPr>
            </w:pPr>
            <w:r>
              <w:rPr>
                <w:sz w:val="21"/>
                <w:szCs w:val="21"/>
                <w:highlight w:val="none"/>
              </w:rPr>
              <w:t>环保措施</w:t>
            </w:r>
          </w:p>
        </w:tc>
        <w:tc>
          <w:tcPr>
            <w:tcW w:w="1173" w:type="dxa"/>
            <w:vAlign w:val="center"/>
          </w:tcPr>
          <w:p>
            <w:pPr>
              <w:spacing w:line="240" w:lineRule="auto"/>
              <w:ind w:firstLine="0" w:firstLineChars="0"/>
              <w:jc w:val="center"/>
              <w:rPr>
                <w:sz w:val="21"/>
                <w:szCs w:val="21"/>
                <w:highlight w:val="none"/>
              </w:rPr>
            </w:pPr>
            <w:r>
              <w:rPr>
                <w:sz w:val="21"/>
                <w:szCs w:val="21"/>
                <w:highlight w:val="none"/>
              </w:rPr>
              <w:t>产生量</w:t>
            </w:r>
          </w:p>
        </w:tc>
        <w:tc>
          <w:tcPr>
            <w:tcW w:w="1281" w:type="dxa"/>
            <w:vAlign w:val="center"/>
          </w:tcPr>
          <w:p>
            <w:pPr>
              <w:spacing w:line="240" w:lineRule="auto"/>
              <w:ind w:firstLine="0" w:firstLineChars="0"/>
              <w:jc w:val="center"/>
              <w:rPr>
                <w:sz w:val="21"/>
                <w:szCs w:val="21"/>
                <w:highlight w:val="none"/>
              </w:rPr>
            </w:pPr>
            <w:r>
              <w:rPr>
                <w:sz w:val="21"/>
                <w:szCs w:val="21"/>
                <w:highlight w:val="none"/>
              </w:rPr>
              <w:t>排放浓度</w:t>
            </w:r>
          </w:p>
        </w:tc>
        <w:tc>
          <w:tcPr>
            <w:tcW w:w="1143" w:type="dxa"/>
            <w:vAlign w:val="center"/>
          </w:tcPr>
          <w:p>
            <w:pPr>
              <w:spacing w:line="240" w:lineRule="auto"/>
              <w:ind w:firstLine="0" w:firstLineChars="0"/>
              <w:jc w:val="center"/>
              <w:rPr>
                <w:sz w:val="21"/>
                <w:szCs w:val="21"/>
                <w:highlight w:val="none"/>
              </w:rPr>
            </w:pPr>
            <w:r>
              <w:rPr>
                <w:sz w:val="21"/>
                <w:szCs w:val="21"/>
                <w:highlight w:val="none"/>
              </w:rPr>
              <w:t>排放速率</w:t>
            </w:r>
          </w:p>
        </w:tc>
        <w:tc>
          <w:tcPr>
            <w:tcW w:w="927" w:type="dxa"/>
            <w:vAlign w:val="center"/>
          </w:tcPr>
          <w:p>
            <w:pPr>
              <w:spacing w:line="240" w:lineRule="auto"/>
              <w:ind w:firstLine="0" w:firstLineChars="0"/>
              <w:jc w:val="center"/>
              <w:rPr>
                <w:sz w:val="21"/>
                <w:szCs w:val="21"/>
                <w:highlight w:val="none"/>
              </w:rPr>
            </w:pPr>
            <w:r>
              <w:rPr>
                <w:sz w:val="21"/>
                <w:szCs w:val="21"/>
                <w:highlight w:val="none"/>
              </w:rPr>
              <w:t>排放量</w:t>
            </w:r>
          </w:p>
        </w:tc>
        <w:tc>
          <w:tcPr>
            <w:tcW w:w="1912" w:type="dxa"/>
            <w:vAlign w:val="center"/>
          </w:tcPr>
          <w:p>
            <w:pPr>
              <w:spacing w:line="240" w:lineRule="auto"/>
              <w:ind w:firstLine="0" w:firstLineChars="0"/>
              <w:jc w:val="center"/>
              <w:rPr>
                <w:sz w:val="21"/>
                <w:szCs w:val="21"/>
                <w:highlight w:val="none"/>
              </w:rPr>
            </w:pPr>
            <w:r>
              <w:rPr>
                <w:sz w:val="21"/>
                <w:szCs w:val="21"/>
                <w:highlight w:val="none"/>
              </w:rPr>
              <w:t>执行标准</w:t>
            </w:r>
          </w:p>
        </w:tc>
        <w:tc>
          <w:tcPr>
            <w:tcW w:w="772" w:type="dxa"/>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432" w:type="dxa"/>
            <w:vMerge w:val="restart"/>
            <w:vAlign w:val="center"/>
          </w:tcPr>
          <w:p>
            <w:pPr>
              <w:spacing w:line="240" w:lineRule="auto"/>
              <w:ind w:firstLine="420"/>
              <w:jc w:val="center"/>
              <w:rPr>
                <w:sz w:val="21"/>
                <w:szCs w:val="21"/>
                <w:highlight w:val="none"/>
              </w:rPr>
            </w:pPr>
            <w:r>
              <w:rPr>
                <w:sz w:val="21"/>
                <w:szCs w:val="21"/>
                <w:highlight w:val="none"/>
              </w:rPr>
              <w:t>废废气</w:t>
            </w:r>
          </w:p>
        </w:tc>
        <w:tc>
          <w:tcPr>
            <w:tcW w:w="903" w:type="dxa"/>
            <w:vMerge w:val="restart"/>
            <w:vAlign w:val="center"/>
          </w:tcPr>
          <w:p>
            <w:pPr>
              <w:spacing w:line="240" w:lineRule="auto"/>
              <w:ind w:firstLine="0" w:firstLineChars="0"/>
              <w:jc w:val="center"/>
              <w:rPr>
                <w:sz w:val="21"/>
                <w:szCs w:val="21"/>
                <w:highlight w:val="none"/>
              </w:rPr>
            </w:pPr>
            <w:r>
              <w:rPr>
                <w:sz w:val="21"/>
                <w:szCs w:val="21"/>
                <w:highlight w:val="none"/>
              </w:rPr>
              <w:t>破碎筛分生产线</w:t>
            </w:r>
          </w:p>
        </w:tc>
        <w:tc>
          <w:tcPr>
            <w:tcW w:w="917" w:type="dxa"/>
            <w:vMerge w:val="restart"/>
            <w:vAlign w:val="center"/>
          </w:tcPr>
          <w:p>
            <w:pPr>
              <w:spacing w:line="240" w:lineRule="auto"/>
              <w:ind w:firstLine="0" w:firstLineChars="0"/>
              <w:jc w:val="center"/>
              <w:rPr>
                <w:sz w:val="21"/>
                <w:szCs w:val="21"/>
                <w:highlight w:val="none"/>
              </w:rPr>
            </w:pPr>
            <w:r>
              <w:rPr>
                <w:sz w:val="21"/>
                <w:szCs w:val="21"/>
                <w:highlight w:val="none"/>
              </w:rPr>
              <w:t>铁矿石</w:t>
            </w:r>
          </w:p>
        </w:tc>
        <w:tc>
          <w:tcPr>
            <w:tcW w:w="1883" w:type="dxa"/>
            <w:vAlign w:val="center"/>
          </w:tcPr>
          <w:p>
            <w:pPr>
              <w:spacing w:line="240" w:lineRule="auto"/>
              <w:ind w:firstLine="0" w:firstLineChars="0"/>
              <w:jc w:val="center"/>
              <w:rPr>
                <w:sz w:val="21"/>
                <w:szCs w:val="21"/>
                <w:highlight w:val="none"/>
              </w:rPr>
            </w:pPr>
            <w:r>
              <w:rPr>
                <w:sz w:val="21"/>
                <w:szCs w:val="21"/>
                <w:highlight w:val="none"/>
              </w:rPr>
              <w:t>颗粒物</w:t>
            </w:r>
          </w:p>
        </w:tc>
        <w:tc>
          <w:tcPr>
            <w:tcW w:w="2325" w:type="dxa"/>
            <w:vAlign w:val="center"/>
          </w:tcPr>
          <w:p>
            <w:pPr>
              <w:spacing w:line="240" w:lineRule="auto"/>
              <w:ind w:firstLine="0" w:firstLineChars="0"/>
              <w:jc w:val="center"/>
              <w:rPr>
                <w:sz w:val="21"/>
                <w:szCs w:val="21"/>
                <w:highlight w:val="none"/>
              </w:rPr>
            </w:pPr>
            <w:r>
              <w:rPr>
                <w:sz w:val="21"/>
                <w:szCs w:val="21"/>
                <w:highlight w:val="none"/>
              </w:rPr>
              <w:t>封闭厂房+集气罩+布袋除尘器+</w:t>
            </w:r>
            <w:r>
              <w:rPr>
                <w:rFonts w:hint="eastAsia"/>
                <w:sz w:val="21"/>
                <w:szCs w:val="21"/>
                <w:highlight w:val="none"/>
              </w:rPr>
              <w:t>20</w:t>
            </w:r>
            <w:r>
              <w:rPr>
                <w:sz w:val="21"/>
                <w:szCs w:val="21"/>
                <w:highlight w:val="none"/>
              </w:rPr>
              <w:t>m高排气筒</w:t>
            </w:r>
          </w:p>
        </w:tc>
        <w:tc>
          <w:tcPr>
            <w:tcW w:w="1173"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276t</w:t>
            </w:r>
            <w:r>
              <w:rPr>
                <w:sz w:val="21"/>
                <w:szCs w:val="21"/>
                <w:highlight w:val="none"/>
              </w:rPr>
              <w:t>/a</w:t>
            </w:r>
          </w:p>
        </w:tc>
        <w:tc>
          <w:tcPr>
            <w:tcW w:w="1281" w:type="dxa"/>
            <w:vAlign w:val="center"/>
          </w:tcPr>
          <w:p>
            <w:pPr>
              <w:spacing w:line="240" w:lineRule="auto"/>
              <w:ind w:firstLine="0" w:firstLineChars="0"/>
              <w:jc w:val="center"/>
              <w:rPr>
                <w:sz w:val="21"/>
                <w:szCs w:val="21"/>
                <w:highlight w:val="none"/>
              </w:rPr>
            </w:pPr>
            <w:r>
              <w:rPr>
                <w:rFonts w:hint="eastAsia"/>
                <w:sz w:val="21"/>
                <w:szCs w:val="21"/>
                <w:highlight w:val="none"/>
              </w:rPr>
              <w:t>9.1</w:t>
            </w:r>
            <w:r>
              <w:rPr>
                <w:sz w:val="21"/>
                <w:szCs w:val="21"/>
                <w:highlight w:val="none"/>
                <w:lang w:val="zh-CN"/>
              </w:rPr>
              <w:t>mg/m</w:t>
            </w:r>
            <w:r>
              <w:rPr>
                <w:sz w:val="21"/>
                <w:szCs w:val="21"/>
                <w:highlight w:val="none"/>
                <w:vertAlign w:val="superscript"/>
                <w:lang w:val="zh-CN"/>
              </w:rPr>
              <w:t>3</w:t>
            </w: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0.36</w:t>
            </w:r>
            <w:r>
              <w:rPr>
                <w:sz w:val="21"/>
                <w:szCs w:val="21"/>
                <w:highlight w:val="none"/>
              </w:rPr>
              <w:t>kg/h</w:t>
            </w:r>
          </w:p>
        </w:tc>
        <w:tc>
          <w:tcPr>
            <w:tcW w:w="927" w:type="dxa"/>
            <w:vAlign w:val="center"/>
          </w:tcPr>
          <w:p>
            <w:pPr>
              <w:spacing w:line="240" w:lineRule="auto"/>
              <w:ind w:firstLine="0" w:firstLineChars="0"/>
              <w:jc w:val="center"/>
              <w:rPr>
                <w:sz w:val="21"/>
                <w:szCs w:val="21"/>
                <w:highlight w:val="none"/>
              </w:rPr>
            </w:pPr>
            <w:r>
              <w:rPr>
                <w:rFonts w:hint="eastAsia"/>
                <w:sz w:val="21"/>
                <w:szCs w:val="21"/>
                <w:highlight w:val="none"/>
              </w:rPr>
              <w:t>2.62</w:t>
            </w:r>
            <w:r>
              <w:rPr>
                <w:sz w:val="21"/>
                <w:szCs w:val="21"/>
                <w:highlight w:val="none"/>
              </w:rPr>
              <w:t>t/a</w:t>
            </w:r>
          </w:p>
        </w:tc>
        <w:tc>
          <w:tcPr>
            <w:tcW w:w="1912" w:type="dxa"/>
            <w:vMerge w:val="restart"/>
            <w:vAlign w:val="center"/>
          </w:tcPr>
          <w:p>
            <w:pPr>
              <w:spacing w:line="240" w:lineRule="auto"/>
              <w:ind w:firstLine="0" w:firstLineChars="0"/>
              <w:jc w:val="center"/>
              <w:rPr>
                <w:sz w:val="21"/>
                <w:szCs w:val="21"/>
                <w:highlight w:val="none"/>
              </w:rPr>
            </w:pPr>
            <w:r>
              <w:rPr>
                <w:sz w:val="21"/>
                <w:szCs w:val="21"/>
                <w:highlight w:val="none"/>
              </w:rPr>
              <w:t>《铁矿采选工业污染物排放标准》（GB28661-2012）</w:t>
            </w:r>
          </w:p>
        </w:tc>
        <w:tc>
          <w:tcPr>
            <w:tcW w:w="772" w:type="dxa"/>
            <w:vMerge w:val="restart"/>
            <w:vAlign w:val="center"/>
          </w:tcPr>
          <w:p>
            <w:pPr>
              <w:spacing w:line="240" w:lineRule="auto"/>
              <w:ind w:firstLine="0" w:firstLineChars="0"/>
              <w:jc w:val="center"/>
              <w:rPr>
                <w:sz w:val="21"/>
                <w:szCs w:val="21"/>
                <w:highlight w:val="none"/>
              </w:rPr>
            </w:pPr>
            <w:r>
              <w:rPr>
                <w:sz w:val="21"/>
                <w:szCs w:val="21"/>
                <w:highlight w:val="none"/>
              </w:rPr>
              <w:t>排至环境空气中</w:t>
            </w:r>
          </w:p>
          <w:p>
            <w:pPr>
              <w:spacing w:line="240" w:lineRule="auto"/>
              <w:ind w:firstLine="0" w:firstLineChars="0"/>
              <w:jc w:val="center"/>
              <w:rPr>
                <w:sz w:val="21"/>
                <w:szCs w:val="21"/>
                <w:highlight w:val="none"/>
              </w:rPr>
            </w:pPr>
          </w:p>
          <w:p>
            <w:pPr>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42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rPr>
            </w:pPr>
          </w:p>
        </w:tc>
        <w:tc>
          <w:tcPr>
            <w:tcW w:w="917" w:type="dxa"/>
            <w:vMerge w:val="continue"/>
            <w:vAlign w:val="center"/>
          </w:tcPr>
          <w:p>
            <w:pPr>
              <w:spacing w:line="240" w:lineRule="auto"/>
              <w:ind w:firstLine="0" w:firstLineChars="0"/>
              <w:jc w:val="center"/>
              <w:rPr>
                <w:sz w:val="21"/>
                <w:szCs w:val="21"/>
                <w:highlight w:val="none"/>
              </w:rPr>
            </w:pPr>
          </w:p>
        </w:tc>
        <w:tc>
          <w:tcPr>
            <w:tcW w:w="1883" w:type="dxa"/>
            <w:vAlign w:val="center"/>
          </w:tcPr>
          <w:p>
            <w:pPr>
              <w:spacing w:line="240" w:lineRule="auto"/>
              <w:ind w:firstLine="0" w:firstLineChars="0"/>
              <w:jc w:val="center"/>
              <w:rPr>
                <w:sz w:val="21"/>
                <w:szCs w:val="21"/>
                <w:highlight w:val="none"/>
              </w:rPr>
            </w:pPr>
            <w:r>
              <w:rPr>
                <w:snapToGrid w:val="0"/>
                <w:sz w:val="21"/>
                <w:szCs w:val="21"/>
                <w:highlight w:val="none"/>
              </w:rPr>
              <w:t>颗粒物</w:t>
            </w:r>
          </w:p>
        </w:tc>
        <w:tc>
          <w:tcPr>
            <w:tcW w:w="2325" w:type="dxa"/>
            <w:vAlign w:val="center"/>
          </w:tcPr>
          <w:p>
            <w:pPr>
              <w:spacing w:line="240" w:lineRule="auto"/>
              <w:ind w:firstLine="0" w:firstLineChars="0"/>
              <w:jc w:val="center"/>
              <w:rPr>
                <w:sz w:val="21"/>
                <w:szCs w:val="21"/>
                <w:highlight w:val="none"/>
              </w:rPr>
            </w:pPr>
            <w:r>
              <w:rPr>
                <w:sz w:val="21"/>
                <w:szCs w:val="21"/>
                <w:highlight w:val="none"/>
              </w:rPr>
              <w:t>车间进出口逸散</w:t>
            </w:r>
          </w:p>
        </w:tc>
        <w:tc>
          <w:tcPr>
            <w:tcW w:w="1173" w:type="dxa"/>
            <w:vMerge w:val="continue"/>
            <w:vAlign w:val="center"/>
          </w:tcPr>
          <w:p>
            <w:pPr>
              <w:spacing w:line="240" w:lineRule="auto"/>
              <w:ind w:firstLine="0" w:firstLineChars="0"/>
              <w:jc w:val="center"/>
              <w:rPr>
                <w:sz w:val="21"/>
                <w:szCs w:val="21"/>
                <w:highlight w:val="none"/>
              </w:rPr>
            </w:pPr>
          </w:p>
        </w:tc>
        <w:tc>
          <w:tcPr>
            <w:tcW w:w="1281" w:type="dxa"/>
            <w:vAlign w:val="center"/>
          </w:tcPr>
          <w:p>
            <w:pPr>
              <w:spacing w:line="240" w:lineRule="auto"/>
              <w:ind w:firstLine="0" w:firstLineChars="0"/>
              <w:jc w:val="center"/>
              <w:rPr>
                <w:sz w:val="21"/>
                <w:szCs w:val="21"/>
                <w:highlight w:val="none"/>
              </w:rPr>
            </w:pPr>
            <w:r>
              <w:rPr>
                <w:sz w:val="21"/>
                <w:szCs w:val="21"/>
                <w:highlight w:val="none"/>
              </w:rPr>
              <w:t>/</w:t>
            </w:r>
          </w:p>
        </w:tc>
        <w:tc>
          <w:tcPr>
            <w:tcW w:w="1143" w:type="dxa"/>
            <w:vAlign w:val="center"/>
          </w:tcPr>
          <w:p>
            <w:pPr>
              <w:spacing w:line="240" w:lineRule="auto"/>
              <w:ind w:firstLine="0" w:firstLineChars="0"/>
              <w:jc w:val="center"/>
              <w:rPr>
                <w:sz w:val="21"/>
                <w:szCs w:val="21"/>
                <w:highlight w:val="none"/>
              </w:rPr>
            </w:pPr>
            <w:r>
              <w:rPr>
                <w:sz w:val="21"/>
                <w:szCs w:val="21"/>
                <w:highlight w:val="none"/>
              </w:rPr>
              <w:t>/</w:t>
            </w:r>
          </w:p>
        </w:tc>
        <w:tc>
          <w:tcPr>
            <w:tcW w:w="927" w:type="dxa"/>
            <w:vAlign w:val="center"/>
          </w:tcPr>
          <w:p>
            <w:pPr>
              <w:spacing w:line="240" w:lineRule="auto"/>
              <w:ind w:firstLine="0" w:firstLineChars="0"/>
              <w:jc w:val="center"/>
              <w:rPr>
                <w:sz w:val="21"/>
                <w:szCs w:val="21"/>
                <w:highlight w:val="none"/>
              </w:rPr>
            </w:pPr>
            <w:r>
              <w:rPr>
                <w:rFonts w:hint="eastAsia"/>
                <w:sz w:val="21"/>
                <w:szCs w:val="21"/>
                <w:highlight w:val="none"/>
              </w:rPr>
              <w:t>0.276</w:t>
            </w:r>
            <w:r>
              <w:rPr>
                <w:sz w:val="21"/>
                <w:szCs w:val="21"/>
                <w:highlight w:val="none"/>
              </w:rPr>
              <w:t>t/a</w:t>
            </w:r>
          </w:p>
        </w:tc>
        <w:tc>
          <w:tcPr>
            <w:tcW w:w="1912" w:type="dxa"/>
            <w:vMerge w:val="continue"/>
            <w:vAlign w:val="center"/>
          </w:tcPr>
          <w:p>
            <w:pPr>
              <w:spacing w:line="240" w:lineRule="auto"/>
              <w:ind w:firstLine="0" w:firstLineChars="0"/>
              <w:jc w:val="center"/>
              <w:rPr>
                <w:sz w:val="21"/>
                <w:szCs w:val="21"/>
                <w:highlight w:val="none"/>
              </w:rPr>
            </w:pPr>
          </w:p>
        </w:tc>
        <w:tc>
          <w:tcPr>
            <w:tcW w:w="772" w:type="dxa"/>
            <w:vMerge w:val="continue"/>
            <w:vAlign w:val="center"/>
          </w:tcPr>
          <w:p>
            <w:pPr>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420"/>
              <w:jc w:val="center"/>
              <w:rPr>
                <w:sz w:val="21"/>
                <w:szCs w:val="21"/>
                <w:highlight w:val="none"/>
              </w:rPr>
            </w:pPr>
          </w:p>
        </w:tc>
        <w:tc>
          <w:tcPr>
            <w:tcW w:w="903"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成品</w:t>
            </w:r>
            <w:r>
              <w:rPr>
                <w:sz w:val="21"/>
                <w:szCs w:val="21"/>
                <w:highlight w:val="none"/>
              </w:rPr>
              <w:t>库</w:t>
            </w:r>
          </w:p>
        </w:tc>
        <w:tc>
          <w:tcPr>
            <w:tcW w:w="917" w:type="dxa"/>
            <w:vAlign w:val="center"/>
          </w:tcPr>
          <w:p>
            <w:pPr>
              <w:spacing w:line="240" w:lineRule="auto"/>
              <w:ind w:firstLine="0" w:firstLineChars="0"/>
              <w:jc w:val="center"/>
              <w:rPr>
                <w:sz w:val="21"/>
                <w:szCs w:val="21"/>
                <w:highlight w:val="none"/>
              </w:rPr>
            </w:pPr>
            <w:r>
              <w:rPr>
                <w:sz w:val="21"/>
                <w:szCs w:val="21"/>
                <w:highlight w:val="none"/>
              </w:rPr>
              <w:t>/</w:t>
            </w:r>
          </w:p>
        </w:tc>
        <w:tc>
          <w:tcPr>
            <w:tcW w:w="1883" w:type="dxa"/>
            <w:vAlign w:val="center"/>
          </w:tcPr>
          <w:p>
            <w:pPr>
              <w:spacing w:line="240" w:lineRule="auto"/>
              <w:ind w:firstLine="0" w:firstLineChars="0"/>
              <w:jc w:val="center"/>
              <w:rPr>
                <w:snapToGrid w:val="0"/>
                <w:sz w:val="21"/>
                <w:szCs w:val="21"/>
                <w:highlight w:val="none"/>
              </w:rPr>
            </w:pPr>
            <w:r>
              <w:rPr>
                <w:snapToGrid w:val="0"/>
                <w:sz w:val="21"/>
                <w:szCs w:val="21"/>
                <w:highlight w:val="none"/>
              </w:rPr>
              <w:t>颗粒物</w:t>
            </w:r>
          </w:p>
        </w:tc>
        <w:tc>
          <w:tcPr>
            <w:tcW w:w="2325" w:type="dxa"/>
            <w:vAlign w:val="center"/>
          </w:tcPr>
          <w:p>
            <w:pPr>
              <w:spacing w:line="240" w:lineRule="auto"/>
              <w:ind w:firstLine="0" w:firstLineChars="0"/>
              <w:jc w:val="center"/>
              <w:rPr>
                <w:sz w:val="21"/>
                <w:szCs w:val="21"/>
                <w:highlight w:val="none"/>
              </w:rPr>
            </w:pPr>
            <w:r>
              <w:rPr>
                <w:sz w:val="21"/>
                <w:szCs w:val="21"/>
                <w:highlight w:val="none"/>
              </w:rPr>
              <w:t>封闭，喷淋系统</w:t>
            </w:r>
          </w:p>
        </w:tc>
        <w:tc>
          <w:tcPr>
            <w:tcW w:w="1173" w:type="dxa"/>
            <w:vAlign w:val="center"/>
          </w:tcPr>
          <w:p>
            <w:pPr>
              <w:spacing w:line="240" w:lineRule="auto"/>
              <w:ind w:firstLine="0" w:firstLineChars="0"/>
              <w:jc w:val="center"/>
              <w:rPr>
                <w:sz w:val="21"/>
                <w:szCs w:val="21"/>
                <w:highlight w:val="none"/>
              </w:rPr>
            </w:pPr>
            <w:r>
              <w:rPr>
                <w:rFonts w:hint="eastAsia"/>
                <w:sz w:val="21"/>
                <w:szCs w:val="21"/>
                <w:highlight w:val="none"/>
              </w:rPr>
              <w:t>1.39</w:t>
            </w:r>
            <w:r>
              <w:rPr>
                <w:sz w:val="21"/>
                <w:szCs w:val="21"/>
                <w:highlight w:val="none"/>
              </w:rPr>
              <w:t>t/a</w:t>
            </w:r>
          </w:p>
        </w:tc>
        <w:tc>
          <w:tcPr>
            <w:tcW w:w="1281" w:type="dxa"/>
            <w:vAlign w:val="center"/>
          </w:tcPr>
          <w:p>
            <w:pPr>
              <w:spacing w:line="240" w:lineRule="auto"/>
              <w:ind w:firstLine="0" w:firstLineChars="0"/>
              <w:jc w:val="center"/>
              <w:rPr>
                <w:sz w:val="21"/>
                <w:szCs w:val="21"/>
                <w:highlight w:val="none"/>
              </w:rPr>
            </w:pPr>
            <w:r>
              <w:rPr>
                <w:sz w:val="21"/>
                <w:szCs w:val="21"/>
                <w:highlight w:val="none"/>
              </w:rPr>
              <w:t>/</w:t>
            </w:r>
          </w:p>
        </w:tc>
        <w:tc>
          <w:tcPr>
            <w:tcW w:w="1143" w:type="dxa"/>
            <w:vAlign w:val="center"/>
          </w:tcPr>
          <w:p>
            <w:pPr>
              <w:spacing w:line="240" w:lineRule="auto"/>
              <w:ind w:firstLine="0" w:firstLineChars="0"/>
              <w:jc w:val="center"/>
              <w:rPr>
                <w:sz w:val="21"/>
                <w:szCs w:val="21"/>
                <w:highlight w:val="none"/>
              </w:rPr>
            </w:pPr>
            <w:r>
              <w:rPr>
                <w:sz w:val="21"/>
                <w:szCs w:val="21"/>
                <w:highlight w:val="none"/>
              </w:rPr>
              <w:t>/</w:t>
            </w:r>
          </w:p>
        </w:tc>
        <w:tc>
          <w:tcPr>
            <w:tcW w:w="927" w:type="dxa"/>
            <w:vAlign w:val="center"/>
          </w:tcPr>
          <w:p>
            <w:pPr>
              <w:spacing w:line="240" w:lineRule="auto"/>
              <w:ind w:firstLine="0" w:firstLineChars="0"/>
              <w:jc w:val="center"/>
              <w:rPr>
                <w:sz w:val="21"/>
                <w:szCs w:val="21"/>
                <w:highlight w:val="none"/>
              </w:rPr>
            </w:pPr>
            <w:r>
              <w:rPr>
                <w:rFonts w:hint="eastAsia"/>
                <w:sz w:val="21"/>
                <w:szCs w:val="21"/>
                <w:highlight w:val="none"/>
              </w:rPr>
              <w:t>1.39</w:t>
            </w:r>
            <w:r>
              <w:rPr>
                <w:sz w:val="21"/>
                <w:szCs w:val="21"/>
                <w:highlight w:val="none"/>
              </w:rPr>
              <w:t>t/a</w:t>
            </w:r>
          </w:p>
        </w:tc>
        <w:tc>
          <w:tcPr>
            <w:tcW w:w="1912" w:type="dxa"/>
            <w:vMerge w:val="continue"/>
            <w:vAlign w:val="center"/>
          </w:tcPr>
          <w:p>
            <w:pPr>
              <w:spacing w:line="240" w:lineRule="auto"/>
              <w:ind w:firstLine="0" w:firstLineChars="0"/>
              <w:jc w:val="center"/>
              <w:rPr>
                <w:sz w:val="21"/>
                <w:szCs w:val="21"/>
                <w:highlight w:val="none"/>
              </w:rPr>
            </w:pPr>
          </w:p>
        </w:tc>
        <w:tc>
          <w:tcPr>
            <w:tcW w:w="772" w:type="dxa"/>
            <w:vMerge w:val="continue"/>
            <w:vAlign w:val="center"/>
          </w:tcPr>
          <w:p>
            <w:pPr>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420"/>
              <w:jc w:val="center"/>
              <w:rPr>
                <w:sz w:val="21"/>
                <w:szCs w:val="21"/>
                <w:highlight w:val="none"/>
              </w:rPr>
            </w:pPr>
          </w:p>
        </w:tc>
        <w:tc>
          <w:tcPr>
            <w:tcW w:w="903" w:type="dxa"/>
            <w:vAlign w:val="center"/>
          </w:tcPr>
          <w:p>
            <w:pPr>
              <w:spacing w:line="240" w:lineRule="auto"/>
              <w:ind w:firstLine="0" w:firstLineChars="0"/>
              <w:jc w:val="center"/>
              <w:rPr>
                <w:sz w:val="21"/>
                <w:szCs w:val="21"/>
                <w:highlight w:val="none"/>
              </w:rPr>
            </w:pPr>
            <w:r>
              <w:rPr>
                <w:rFonts w:hint="eastAsia"/>
                <w:sz w:val="21"/>
                <w:szCs w:val="21"/>
                <w:highlight w:val="none"/>
              </w:rPr>
              <w:t>物料</w:t>
            </w:r>
          </w:p>
          <w:p>
            <w:pPr>
              <w:spacing w:line="240" w:lineRule="auto"/>
              <w:ind w:firstLine="0" w:firstLineChars="0"/>
              <w:jc w:val="center"/>
              <w:rPr>
                <w:sz w:val="21"/>
                <w:szCs w:val="21"/>
                <w:highlight w:val="none"/>
              </w:rPr>
            </w:pPr>
            <w:r>
              <w:rPr>
                <w:rFonts w:hint="eastAsia"/>
                <w:sz w:val="21"/>
                <w:szCs w:val="21"/>
                <w:highlight w:val="none"/>
              </w:rPr>
              <w:t>运输</w:t>
            </w:r>
          </w:p>
        </w:tc>
        <w:tc>
          <w:tcPr>
            <w:tcW w:w="917"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883" w:type="dxa"/>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颗粒物</w:t>
            </w:r>
          </w:p>
        </w:tc>
        <w:tc>
          <w:tcPr>
            <w:tcW w:w="2325" w:type="dxa"/>
            <w:vAlign w:val="center"/>
          </w:tcPr>
          <w:p>
            <w:pPr>
              <w:spacing w:line="240" w:lineRule="auto"/>
              <w:ind w:firstLine="0" w:firstLineChars="0"/>
              <w:jc w:val="center"/>
              <w:rPr>
                <w:sz w:val="21"/>
                <w:szCs w:val="21"/>
                <w:highlight w:val="none"/>
              </w:rPr>
            </w:pPr>
            <w:r>
              <w:rPr>
                <w:rFonts w:hint="eastAsia"/>
                <w:sz w:val="21"/>
                <w:szCs w:val="21"/>
                <w:highlight w:val="none"/>
              </w:rPr>
              <w:t>洒水抑尘、控制车速</w:t>
            </w:r>
          </w:p>
        </w:tc>
        <w:tc>
          <w:tcPr>
            <w:tcW w:w="1173" w:type="dxa"/>
            <w:tcBorders>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281"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927"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912" w:type="dxa"/>
            <w:vAlign w:val="center"/>
          </w:tcPr>
          <w:p>
            <w:pPr>
              <w:ind w:firstLine="0" w:firstLineChars="0"/>
              <w:jc w:val="center"/>
              <w:rPr>
                <w:sz w:val="21"/>
                <w:szCs w:val="21"/>
                <w:highlight w:val="none"/>
              </w:rPr>
            </w:pPr>
            <w:r>
              <w:rPr>
                <w:bCs/>
                <w:sz w:val="21"/>
                <w:szCs w:val="21"/>
                <w:highlight w:val="none"/>
              </w:rPr>
              <w:t>/</w:t>
            </w: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32" w:type="dxa"/>
            <w:vAlign w:val="center"/>
          </w:tcPr>
          <w:p>
            <w:pPr>
              <w:spacing w:line="240" w:lineRule="auto"/>
              <w:ind w:firstLine="0" w:firstLineChars="0"/>
              <w:jc w:val="center"/>
              <w:rPr>
                <w:sz w:val="21"/>
                <w:szCs w:val="21"/>
                <w:highlight w:val="none"/>
              </w:rPr>
            </w:pPr>
            <w:r>
              <w:rPr>
                <w:sz w:val="21"/>
                <w:szCs w:val="21"/>
                <w:highlight w:val="none"/>
              </w:rPr>
              <w:t>废水</w:t>
            </w:r>
          </w:p>
        </w:tc>
        <w:tc>
          <w:tcPr>
            <w:tcW w:w="903" w:type="dxa"/>
            <w:vAlign w:val="center"/>
          </w:tcPr>
          <w:p>
            <w:pPr>
              <w:spacing w:line="240" w:lineRule="auto"/>
              <w:ind w:firstLine="0" w:firstLineChars="0"/>
              <w:rPr>
                <w:rFonts w:hint="default" w:eastAsia="宋体"/>
                <w:sz w:val="21"/>
                <w:szCs w:val="21"/>
                <w:highlight w:val="none"/>
                <w:lang w:val="en-US" w:eastAsia="zh-CN"/>
              </w:rPr>
            </w:pPr>
            <w:r>
              <w:rPr>
                <w:rFonts w:hint="eastAsia"/>
                <w:sz w:val="21"/>
                <w:szCs w:val="21"/>
                <w:highlight w:val="none"/>
                <w:lang w:val="en-US" w:eastAsia="zh-CN"/>
              </w:rPr>
              <w:t>振动筛</w:t>
            </w:r>
          </w:p>
        </w:tc>
        <w:tc>
          <w:tcPr>
            <w:tcW w:w="2800" w:type="dxa"/>
            <w:gridSpan w:val="2"/>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湿式作业</w:t>
            </w:r>
            <w:r>
              <w:rPr>
                <w:sz w:val="21"/>
                <w:szCs w:val="21"/>
                <w:highlight w:val="none"/>
                <w:lang w:val="zh-CN"/>
              </w:rPr>
              <w:t>废水</w:t>
            </w:r>
          </w:p>
        </w:tc>
        <w:tc>
          <w:tcPr>
            <w:tcW w:w="2325" w:type="dxa"/>
            <w:vAlign w:val="center"/>
          </w:tcPr>
          <w:p>
            <w:pPr>
              <w:spacing w:line="240" w:lineRule="auto"/>
              <w:ind w:firstLine="0" w:firstLineChars="0"/>
              <w:rPr>
                <w:bCs/>
                <w:sz w:val="21"/>
                <w:szCs w:val="21"/>
                <w:highlight w:val="none"/>
              </w:rPr>
            </w:pPr>
            <w:r>
              <w:rPr>
                <w:rFonts w:hint="eastAsia"/>
                <w:sz w:val="21"/>
                <w:szCs w:val="21"/>
                <w:highlight w:val="none"/>
                <w:lang w:val="en-US" w:eastAsia="zh-CN"/>
              </w:rPr>
              <w:t>泵入浓缩罐通过管道自流至北厂区干排系统处理后回用于球磨磁选工序、不外排</w:t>
            </w:r>
          </w:p>
        </w:tc>
        <w:tc>
          <w:tcPr>
            <w:tcW w:w="1173" w:type="dxa"/>
            <w:tcBorders>
              <w:bottom w:val="nil"/>
            </w:tcBorders>
            <w:vAlign w:val="center"/>
          </w:tcPr>
          <w:p>
            <w:pPr>
              <w:spacing w:line="240" w:lineRule="auto"/>
              <w:ind w:firstLine="0" w:firstLineChars="0"/>
              <w:jc w:val="center"/>
              <w:rPr>
                <w:sz w:val="21"/>
                <w:szCs w:val="21"/>
                <w:highlight w:val="none"/>
                <w:lang w:val="zh-CN"/>
              </w:rPr>
            </w:pPr>
            <w:r>
              <w:rPr>
                <w:sz w:val="21"/>
                <w:szCs w:val="21"/>
                <w:highlight w:val="none"/>
                <w:lang w:val="zh-CN"/>
              </w:rPr>
              <w:t>/</w:t>
            </w:r>
          </w:p>
        </w:tc>
        <w:tc>
          <w:tcPr>
            <w:tcW w:w="2424" w:type="dxa"/>
            <w:gridSpan w:val="2"/>
            <w:vAlign w:val="center"/>
          </w:tcPr>
          <w:p>
            <w:pPr>
              <w:spacing w:line="240" w:lineRule="auto"/>
              <w:ind w:firstLine="0" w:firstLineChars="0"/>
              <w:jc w:val="center"/>
              <w:rPr>
                <w:sz w:val="21"/>
                <w:szCs w:val="21"/>
                <w:highlight w:val="none"/>
                <w:lang w:val="zh-CN"/>
              </w:rPr>
            </w:pPr>
            <w:r>
              <w:rPr>
                <w:sz w:val="21"/>
                <w:szCs w:val="21"/>
                <w:highlight w:val="none"/>
                <w:lang w:val="zh-CN"/>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w:t>
            </w:r>
          </w:p>
        </w:tc>
        <w:tc>
          <w:tcPr>
            <w:tcW w:w="1912" w:type="dxa"/>
            <w:vAlign w:val="center"/>
          </w:tcPr>
          <w:p>
            <w:pPr>
              <w:spacing w:line="240" w:lineRule="auto"/>
              <w:ind w:firstLine="0" w:firstLineChars="0"/>
              <w:jc w:val="center"/>
              <w:rPr>
                <w:sz w:val="21"/>
                <w:szCs w:val="21"/>
                <w:highlight w:val="none"/>
              </w:rPr>
            </w:pPr>
            <w:r>
              <w:rPr>
                <w:kern w:val="24"/>
                <w:sz w:val="21"/>
                <w:szCs w:val="21"/>
                <w:highlight w:val="none"/>
              </w:rPr>
              <w:t>/</w:t>
            </w:r>
          </w:p>
        </w:tc>
        <w:tc>
          <w:tcPr>
            <w:tcW w:w="772" w:type="dxa"/>
            <w:vAlign w:val="center"/>
          </w:tcPr>
          <w:p>
            <w:pPr>
              <w:spacing w:line="240" w:lineRule="auto"/>
              <w:ind w:firstLine="0" w:firstLineChars="0"/>
              <w:jc w:val="center"/>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32" w:type="dxa"/>
            <w:vMerge w:val="restart"/>
            <w:vAlign w:val="center"/>
          </w:tcPr>
          <w:p>
            <w:pPr>
              <w:spacing w:line="240" w:lineRule="auto"/>
              <w:ind w:firstLine="0" w:firstLineChars="0"/>
              <w:jc w:val="center"/>
              <w:rPr>
                <w:sz w:val="21"/>
                <w:szCs w:val="21"/>
                <w:highlight w:val="none"/>
              </w:rPr>
            </w:pPr>
            <w:r>
              <w:rPr>
                <w:sz w:val="21"/>
                <w:szCs w:val="21"/>
                <w:highlight w:val="none"/>
              </w:rPr>
              <w:t>固废</w:t>
            </w:r>
          </w:p>
        </w:tc>
        <w:tc>
          <w:tcPr>
            <w:tcW w:w="903" w:type="dxa"/>
            <w:vMerge w:val="restart"/>
            <w:vAlign w:val="center"/>
          </w:tcPr>
          <w:p>
            <w:pPr>
              <w:spacing w:line="240" w:lineRule="auto"/>
              <w:ind w:firstLine="0" w:firstLineChars="0"/>
              <w:jc w:val="center"/>
              <w:rPr>
                <w:rFonts w:hint="eastAsia"/>
                <w:sz w:val="21"/>
                <w:szCs w:val="21"/>
                <w:highlight w:val="none"/>
                <w:lang w:val="en-US" w:eastAsia="zh-CN"/>
              </w:rPr>
            </w:pPr>
            <w:r>
              <w:rPr>
                <w:rFonts w:hint="eastAsia"/>
                <w:sz w:val="21"/>
                <w:szCs w:val="21"/>
                <w:highlight w:val="none"/>
                <w:lang w:val="en-US" w:eastAsia="zh-CN"/>
              </w:rPr>
              <w:t>破碎</w:t>
            </w:r>
          </w:p>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分选</w:t>
            </w:r>
          </w:p>
        </w:tc>
        <w:tc>
          <w:tcPr>
            <w:tcW w:w="2800" w:type="dxa"/>
            <w:gridSpan w:val="2"/>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砂石料</w:t>
            </w:r>
          </w:p>
        </w:tc>
        <w:tc>
          <w:tcPr>
            <w:tcW w:w="2325" w:type="dxa"/>
            <w:vAlign w:val="center"/>
          </w:tcPr>
          <w:p>
            <w:pPr>
              <w:spacing w:line="240" w:lineRule="auto"/>
              <w:ind w:firstLine="0" w:firstLineChars="0"/>
              <w:rPr>
                <w:bCs/>
                <w:sz w:val="21"/>
                <w:szCs w:val="21"/>
                <w:highlight w:val="none"/>
              </w:rPr>
            </w:pPr>
            <w:r>
              <w:rPr>
                <w:bCs/>
                <w:sz w:val="21"/>
                <w:szCs w:val="21"/>
                <w:highlight w:val="none"/>
              </w:rPr>
              <w:t>作为建筑材料外售</w:t>
            </w:r>
          </w:p>
        </w:tc>
        <w:tc>
          <w:tcPr>
            <w:tcW w:w="1173" w:type="dxa"/>
            <w:vAlign w:val="center"/>
          </w:tcPr>
          <w:p>
            <w:pPr>
              <w:spacing w:line="240" w:lineRule="auto"/>
              <w:ind w:firstLine="0" w:firstLineChars="0"/>
              <w:jc w:val="center"/>
              <w:rPr>
                <w:sz w:val="21"/>
                <w:szCs w:val="21"/>
                <w:highlight w:val="none"/>
              </w:rPr>
            </w:pPr>
            <w:r>
              <w:rPr>
                <w:rFonts w:hint="eastAsia"/>
                <w:kern w:val="2"/>
                <w:sz w:val="21"/>
                <w:szCs w:val="21"/>
                <w:highlight w:val="none"/>
                <w:lang w:val="en-US" w:eastAsia="zh-CN"/>
              </w:rPr>
              <w:t>131125</w:t>
            </w:r>
            <w:r>
              <w:rPr>
                <w:sz w:val="21"/>
                <w:szCs w:val="21"/>
                <w:highlight w:val="none"/>
              </w:rPr>
              <w:t>t/a</w:t>
            </w:r>
          </w:p>
        </w:tc>
        <w:tc>
          <w:tcPr>
            <w:tcW w:w="2424" w:type="dxa"/>
            <w:gridSpan w:val="2"/>
            <w:vAlign w:val="center"/>
          </w:tcPr>
          <w:p>
            <w:pPr>
              <w:ind w:firstLine="37" w:firstLineChars="18"/>
              <w:jc w:val="center"/>
              <w:rPr>
                <w:bCs/>
                <w:sz w:val="21"/>
                <w:szCs w:val="21"/>
                <w:highlight w:val="none"/>
              </w:rPr>
            </w:pPr>
            <w:r>
              <w:rPr>
                <w:bCs/>
                <w:sz w:val="21"/>
                <w:szCs w:val="21"/>
                <w:highlight w:val="none"/>
              </w:rPr>
              <w:t>/</w:t>
            </w:r>
          </w:p>
        </w:tc>
        <w:tc>
          <w:tcPr>
            <w:tcW w:w="927" w:type="dxa"/>
            <w:vAlign w:val="center"/>
          </w:tcPr>
          <w:p>
            <w:pPr>
              <w:ind w:firstLine="0" w:firstLineChars="0"/>
              <w:jc w:val="center"/>
              <w:rPr>
                <w:sz w:val="21"/>
                <w:szCs w:val="21"/>
                <w:highlight w:val="none"/>
              </w:rPr>
            </w:pPr>
            <w:r>
              <w:rPr>
                <w:sz w:val="21"/>
                <w:szCs w:val="21"/>
                <w:highlight w:val="none"/>
              </w:rPr>
              <w:t>0t/a</w:t>
            </w:r>
          </w:p>
        </w:tc>
        <w:tc>
          <w:tcPr>
            <w:tcW w:w="1912" w:type="dxa"/>
            <w:vAlign w:val="center"/>
          </w:tcPr>
          <w:p>
            <w:pPr>
              <w:ind w:firstLine="0" w:firstLineChars="0"/>
              <w:jc w:val="center"/>
              <w:rPr>
                <w:sz w:val="21"/>
                <w:szCs w:val="21"/>
                <w:highlight w:val="none"/>
              </w:rPr>
            </w:pPr>
            <w:r>
              <w:rPr>
                <w:bCs/>
                <w:sz w:val="21"/>
                <w:szCs w:val="21"/>
                <w:highlight w:val="none"/>
              </w:rPr>
              <w:t>/</w:t>
            </w:r>
          </w:p>
        </w:tc>
        <w:tc>
          <w:tcPr>
            <w:tcW w:w="772" w:type="dxa"/>
            <w:vMerge w:val="restart"/>
            <w:vAlign w:val="center"/>
          </w:tcPr>
          <w:p>
            <w:pPr>
              <w:spacing w:line="240" w:lineRule="auto"/>
              <w:ind w:firstLine="0" w:firstLineChars="0"/>
              <w:jc w:val="center"/>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0" w:firstLineChars="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lang w:val="zh-CN"/>
              </w:rPr>
            </w:pPr>
          </w:p>
        </w:tc>
        <w:tc>
          <w:tcPr>
            <w:tcW w:w="2800" w:type="dxa"/>
            <w:gridSpan w:val="2"/>
            <w:vAlign w:val="center"/>
          </w:tcPr>
          <w:p>
            <w:pPr>
              <w:spacing w:line="240" w:lineRule="auto"/>
              <w:ind w:firstLine="0" w:firstLineChars="0"/>
              <w:jc w:val="center"/>
              <w:rPr>
                <w:sz w:val="21"/>
                <w:szCs w:val="21"/>
                <w:highlight w:val="none"/>
              </w:rPr>
            </w:pPr>
            <w:r>
              <w:rPr>
                <w:sz w:val="21"/>
                <w:szCs w:val="21"/>
                <w:highlight w:val="none"/>
              </w:rPr>
              <w:t>除尘器收尘</w:t>
            </w:r>
          </w:p>
        </w:tc>
        <w:tc>
          <w:tcPr>
            <w:tcW w:w="2325" w:type="dxa"/>
            <w:vAlign w:val="center"/>
          </w:tcPr>
          <w:p>
            <w:pPr>
              <w:spacing w:line="240" w:lineRule="auto"/>
              <w:ind w:firstLine="0" w:firstLineChars="0"/>
              <w:jc w:val="center"/>
              <w:rPr>
                <w:sz w:val="21"/>
                <w:szCs w:val="21"/>
                <w:highlight w:val="none"/>
              </w:rPr>
            </w:pPr>
            <w:r>
              <w:rPr>
                <w:rFonts w:hint="eastAsia"/>
                <w:sz w:val="21"/>
                <w:szCs w:val="21"/>
                <w:highlight w:val="none"/>
              </w:rPr>
              <w:t>返回球磨</w:t>
            </w:r>
            <w:r>
              <w:rPr>
                <w:sz w:val="21"/>
                <w:szCs w:val="21"/>
                <w:highlight w:val="none"/>
              </w:rPr>
              <w:t>系统</w:t>
            </w:r>
          </w:p>
        </w:tc>
        <w:tc>
          <w:tcPr>
            <w:tcW w:w="1173" w:type="dxa"/>
            <w:vAlign w:val="center"/>
          </w:tcPr>
          <w:p>
            <w:pPr>
              <w:spacing w:line="240" w:lineRule="auto"/>
              <w:ind w:firstLine="0" w:firstLineChars="0"/>
              <w:jc w:val="center"/>
              <w:rPr>
                <w:sz w:val="21"/>
                <w:szCs w:val="21"/>
                <w:highlight w:val="none"/>
              </w:rPr>
            </w:pPr>
            <w:r>
              <w:rPr>
                <w:rFonts w:hint="eastAsia"/>
                <w:sz w:val="21"/>
                <w:szCs w:val="21"/>
                <w:highlight w:val="none"/>
              </w:rPr>
              <w:t>259.6</w:t>
            </w:r>
            <w:r>
              <w:rPr>
                <w:sz w:val="21"/>
                <w:szCs w:val="21"/>
                <w:highlight w:val="none"/>
              </w:rPr>
              <w:t>t/a</w:t>
            </w:r>
          </w:p>
        </w:tc>
        <w:tc>
          <w:tcPr>
            <w:tcW w:w="2424" w:type="dxa"/>
            <w:gridSpan w:val="2"/>
            <w:vAlign w:val="center"/>
          </w:tcPr>
          <w:p>
            <w:pPr>
              <w:spacing w:line="240" w:lineRule="auto"/>
              <w:ind w:firstLine="0" w:firstLineChars="0"/>
              <w:jc w:val="center"/>
              <w:rPr>
                <w:bCs/>
                <w:sz w:val="21"/>
                <w:szCs w:val="21"/>
                <w:highlight w:val="none"/>
              </w:rPr>
            </w:pPr>
            <w:r>
              <w:rPr>
                <w:bCs/>
                <w:sz w:val="21"/>
                <w:szCs w:val="21"/>
                <w:highlight w:val="none"/>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0t/a</w:t>
            </w:r>
          </w:p>
        </w:tc>
        <w:tc>
          <w:tcPr>
            <w:tcW w:w="1912" w:type="dxa"/>
            <w:vAlign w:val="center"/>
          </w:tcPr>
          <w:p>
            <w:pPr>
              <w:spacing w:line="240" w:lineRule="auto"/>
              <w:ind w:firstLine="0" w:firstLineChars="0"/>
              <w:jc w:val="center"/>
              <w:rPr>
                <w:sz w:val="21"/>
                <w:szCs w:val="21"/>
                <w:highlight w:val="none"/>
              </w:rPr>
            </w:pPr>
            <w:r>
              <w:rPr>
                <w:bCs/>
                <w:sz w:val="21"/>
                <w:szCs w:val="21"/>
                <w:highlight w:val="none"/>
              </w:rPr>
              <w:t>/</w:t>
            </w: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0" w:firstLineChars="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lang w:val="zh-CN"/>
              </w:rPr>
            </w:pPr>
          </w:p>
        </w:tc>
        <w:tc>
          <w:tcPr>
            <w:tcW w:w="2800" w:type="dxa"/>
            <w:gridSpan w:val="2"/>
            <w:vAlign w:val="center"/>
          </w:tcPr>
          <w:p>
            <w:pPr>
              <w:spacing w:line="240" w:lineRule="auto"/>
              <w:ind w:firstLine="0" w:firstLineChars="0"/>
              <w:jc w:val="center"/>
              <w:rPr>
                <w:sz w:val="21"/>
                <w:szCs w:val="21"/>
                <w:highlight w:val="none"/>
              </w:rPr>
            </w:pPr>
            <w:r>
              <w:rPr>
                <w:sz w:val="21"/>
                <w:szCs w:val="21"/>
                <w:highlight w:val="none"/>
              </w:rPr>
              <w:t>废</w:t>
            </w:r>
            <w:r>
              <w:rPr>
                <w:rFonts w:hint="eastAsia"/>
                <w:sz w:val="21"/>
                <w:szCs w:val="21"/>
                <w:highlight w:val="none"/>
              </w:rPr>
              <w:t>矿物</w:t>
            </w:r>
            <w:r>
              <w:rPr>
                <w:sz w:val="21"/>
                <w:szCs w:val="21"/>
                <w:highlight w:val="none"/>
              </w:rPr>
              <w:t>油、废油桶</w:t>
            </w:r>
          </w:p>
        </w:tc>
        <w:tc>
          <w:tcPr>
            <w:tcW w:w="2325" w:type="dxa"/>
            <w:vAlign w:val="center"/>
          </w:tcPr>
          <w:p>
            <w:pPr>
              <w:spacing w:line="240" w:lineRule="auto"/>
              <w:ind w:firstLine="0" w:firstLineChars="0"/>
              <w:jc w:val="center"/>
              <w:rPr>
                <w:bCs/>
                <w:sz w:val="21"/>
                <w:szCs w:val="21"/>
                <w:highlight w:val="none"/>
              </w:rPr>
            </w:pPr>
            <w:r>
              <w:rPr>
                <w:bCs/>
                <w:sz w:val="21"/>
                <w:szCs w:val="21"/>
                <w:highlight w:val="none"/>
              </w:rPr>
              <w:t>危废间暂存，定期送危废处理单位处理</w:t>
            </w:r>
          </w:p>
        </w:tc>
        <w:tc>
          <w:tcPr>
            <w:tcW w:w="1173" w:type="dxa"/>
            <w:vAlign w:val="center"/>
          </w:tcPr>
          <w:p>
            <w:pPr>
              <w:spacing w:line="240" w:lineRule="auto"/>
              <w:ind w:firstLine="0" w:firstLineChars="0"/>
              <w:jc w:val="center"/>
              <w:rPr>
                <w:sz w:val="21"/>
                <w:szCs w:val="21"/>
                <w:highlight w:val="none"/>
              </w:rPr>
            </w:pPr>
            <w:r>
              <w:rPr>
                <w:rFonts w:hint="eastAsia"/>
                <w:sz w:val="21"/>
                <w:szCs w:val="21"/>
                <w:highlight w:val="none"/>
              </w:rPr>
              <w:t>0.3</w:t>
            </w:r>
            <w:r>
              <w:rPr>
                <w:sz w:val="21"/>
                <w:szCs w:val="21"/>
                <w:highlight w:val="none"/>
              </w:rPr>
              <w:t>t/a</w:t>
            </w:r>
          </w:p>
        </w:tc>
        <w:tc>
          <w:tcPr>
            <w:tcW w:w="2424" w:type="dxa"/>
            <w:gridSpan w:val="2"/>
            <w:vAlign w:val="center"/>
          </w:tcPr>
          <w:p>
            <w:pPr>
              <w:spacing w:line="240" w:lineRule="auto"/>
              <w:ind w:firstLine="0" w:firstLineChars="0"/>
              <w:jc w:val="center"/>
              <w:rPr>
                <w:bCs/>
                <w:sz w:val="21"/>
                <w:szCs w:val="21"/>
                <w:highlight w:val="none"/>
              </w:rPr>
            </w:pPr>
            <w:r>
              <w:rPr>
                <w:bCs/>
                <w:sz w:val="21"/>
                <w:szCs w:val="21"/>
                <w:highlight w:val="none"/>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0t/a</w:t>
            </w:r>
          </w:p>
        </w:tc>
        <w:tc>
          <w:tcPr>
            <w:tcW w:w="1912" w:type="dxa"/>
            <w:vAlign w:val="center"/>
          </w:tcPr>
          <w:p>
            <w:pPr>
              <w:spacing w:line="240" w:lineRule="auto"/>
              <w:ind w:firstLine="0" w:firstLineChars="0"/>
              <w:jc w:val="center"/>
              <w:rPr>
                <w:sz w:val="21"/>
                <w:szCs w:val="21"/>
                <w:highlight w:val="none"/>
              </w:rPr>
            </w:pPr>
            <w:r>
              <w:rPr>
                <w:sz w:val="21"/>
                <w:szCs w:val="21"/>
                <w:highlight w:val="none"/>
              </w:rPr>
              <w:t>/</w:t>
            </w: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autoSpaceDE w:val="0"/>
              <w:autoSpaceDN w:val="0"/>
              <w:adjustRightInd w:val="0"/>
              <w:spacing w:line="240" w:lineRule="auto"/>
              <w:ind w:firstLine="0" w:firstLineChars="0"/>
              <w:jc w:val="center"/>
              <w:rPr>
                <w:snapToGrid w:val="0"/>
                <w:sz w:val="21"/>
                <w:szCs w:val="21"/>
                <w:highlight w:val="none"/>
                <w:lang w:val="zh-CN"/>
              </w:rPr>
            </w:pPr>
            <w:r>
              <w:rPr>
                <w:snapToGrid w:val="0"/>
                <w:sz w:val="21"/>
                <w:szCs w:val="21"/>
                <w:highlight w:val="none"/>
                <w:lang w:val="zh-CN"/>
              </w:rPr>
              <w:t>绿化、硬化</w:t>
            </w:r>
          </w:p>
        </w:tc>
        <w:tc>
          <w:tcPr>
            <w:tcW w:w="10644" w:type="dxa"/>
            <w:gridSpan w:val="7"/>
            <w:vAlign w:val="center"/>
          </w:tcPr>
          <w:p>
            <w:pPr>
              <w:autoSpaceDE w:val="0"/>
              <w:autoSpaceDN w:val="0"/>
              <w:adjustRightInd w:val="0"/>
              <w:spacing w:line="240" w:lineRule="auto"/>
              <w:ind w:firstLine="0" w:firstLineChars="0"/>
              <w:jc w:val="center"/>
              <w:rPr>
                <w:snapToGrid w:val="0"/>
                <w:sz w:val="21"/>
                <w:szCs w:val="21"/>
                <w:highlight w:val="none"/>
              </w:rPr>
            </w:pPr>
            <w:r>
              <w:rPr>
                <w:sz w:val="21"/>
                <w:szCs w:val="21"/>
                <w:highlight w:val="none"/>
              </w:rPr>
              <w:t>厂区内地面进行硬化或绿化，无裸露地面</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autoSpaceDE w:val="0"/>
              <w:autoSpaceDN w:val="0"/>
              <w:adjustRightInd w:val="0"/>
              <w:snapToGrid w:val="0"/>
              <w:spacing w:line="240" w:lineRule="auto"/>
              <w:ind w:firstLine="0" w:firstLineChars="0"/>
              <w:jc w:val="center"/>
              <w:rPr>
                <w:snapToGrid w:val="0"/>
                <w:sz w:val="21"/>
                <w:szCs w:val="21"/>
                <w:highlight w:val="none"/>
              </w:rPr>
            </w:pPr>
            <w:r>
              <w:rPr>
                <w:snapToGrid w:val="0"/>
                <w:sz w:val="21"/>
                <w:szCs w:val="21"/>
                <w:highlight w:val="none"/>
              </w:rPr>
              <w:t>厂区抑尘</w:t>
            </w:r>
          </w:p>
        </w:tc>
        <w:tc>
          <w:tcPr>
            <w:tcW w:w="10644" w:type="dxa"/>
            <w:gridSpan w:val="7"/>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定期洒水，大风天气增加洒水次数</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autoSpaceDE w:val="0"/>
              <w:autoSpaceDN w:val="0"/>
              <w:adjustRightInd w:val="0"/>
              <w:snapToGrid w:val="0"/>
              <w:spacing w:line="240" w:lineRule="auto"/>
              <w:ind w:firstLine="420"/>
              <w:jc w:val="center"/>
              <w:rPr>
                <w:snapToGrid w:val="0"/>
                <w:sz w:val="21"/>
                <w:szCs w:val="21"/>
                <w:highlight w:val="none"/>
              </w:rPr>
            </w:pPr>
            <w:r>
              <w:rPr>
                <w:rFonts w:hint="eastAsia"/>
                <w:snapToGrid w:val="0"/>
                <w:sz w:val="21"/>
                <w:szCs w:val="21"/>
                <w:highlight w:val="none"/>
              </w:rPr>
              <w:t>视频监控</w:t>
            </w:r>
          </w:p>
        </w:tc>
        <w:tc>
          <w:tcPr>
            <w:tcW w:w="10644" w:type="dxa"/>
            <w:gridSpan w:val="7"/>
            <w:vAlign w:val="center"/>
          </w:tcPr>
          <w:p>
            <w:pPr>
              <w:autoSpaceDE w:val="0"/>
              <w:autoSpaceDN w:val="0"/>
              <w:adjustRightInd w:val="0"/>
              <w:spacing w:line="240" w:lineRule="auto"/>
              <w:ind w:firstLine="420"/>
              <w:jc w:val="center"/>
              <w:rPr>
                <w:sz w:val="21"/>
                <w:szCs w:val="21"/>
                <w:highlight w:val="none"/>
              </w:rPr>
            </w:pPr>
            <w:r>
              <w:rPr>
                <w:rFonts w:hint="eastAsia" w:cs="宋体"/>
                <w:sz w:val="21"/>
                <w:szCs w:val="21"/>
                <w:highlight w:val="none"/>
              </w:rPr>
              <w:t>在成品库门口及库房内、</w:t>
            </w:r>
            <w:r>
              <w:rPr>
                <w:rFonts w:hint="eastAsia" w:cs="宋体"/>
                <w:sz w:val="21"/>
                <w:szCs w:val="21"/>
                <w:highlight w:val="none"/>
                <w:lang w:val="en-US" w:eastAsia="zh-CN"/>
              </w:rPr>
              <w:t>破碎</w:t>
            </w:r>
            <w:r>
              <w:rPr>
                <w:rFonts w:hint="eastAsia" w:cs="宋体"/>
                <w:sz w:val="21"/>
                <w:szCs w:val="21"/>
                <w:highlight w:val="none"/>
              </w:rPr>
              <w:t>生产车间内、布袋除尘器设置视频监控，并与唐山市环境保护局遵化市分局联网，实现24小时视频监控。</w:t>
            </w:r>
          </w:p>
        </w:tc>
        <w:tc>
          <w:tcPr>
            <w:tcW w:w="772" w:type="dxa"/>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Merge w:val="restart"/>
            <w:vAlign w:val="center"/>
          </w:tcPr>
          <w:p>
            <w:pPr>
              <w:autoSpaceDE w:val="0"/>
              <w:autoSpaceDN w:val="0"/>
              <w:adjustRightInd w:val="0"/>
              <w:snapToGrid w:val="0"/>
              <w:spacing w:line="240" w:lineRule="auto"/>
              <w:ind w:firstLine="0" w:firstLineChars="0"/>
              <w:jc w:val="center"/>
              <w:rPr>
                <w:snapToGrid w:val="0"/>
                <w:sz w:val="21"/>
                <w:szCs w:val="21"/>
                <w:highlight w:val="none"/>
              </w:rPr>
            </w:pPr>
            <w:r>
              <w:rPr>
                <w:snapToGrid w:val="0"/>
                <w:sz w:val="21"/>
                <w:szCs w:val="21"/>
                <w:highlight w:val="none"/>
              </w:rPr>
              <w:t>环境管理内容</w:t>
            </w:r>
          </w:p>
        </w:tc>
        <w:tc>
          <w:tcPr>
            <w:tcW w:w="10644" w:type="dxa"/>
            <w:gridSpan w:val="7"/>
            <w:vAlign w:val="center"/>
          </w:tcPr>
          <w:p>
            <w:pPr>
              <w:spacing w:line="240" w:lineRule="auto"/>
              <w:ind w:firstLine="0" w:firstLineChars="0"/>
              <w:jc w:val="center"/>
              <w:rPr>
                <w:sz w:val="21"/>
                <w:szCs w:val="21"/>
                <w:highlight w:val="none"/>
              </w:rPr>
            </w:pPr>
            <w:r>
              <w:rPr>
                <w:sz w:val="21"/>
                <w:szCs w:val="21"/>
                <w:highlight w:val="none"/>
              </w:rPr>
              <w:t>公司设有专职环保管理人员，熟悉环保业务，具备相关管理经验</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Merge w:val="continue"/>
            <w:vAlign w:val="center"/>
          </w:tcPr>
          <w:p>
            <w:pPr>
              <w:autoSpaceDE w:val="0"/>
              <w:autoSpaceDN w:val="0"/>
              <w:adjustRightInd w:val="0"/>
              <w:snapToGrid w:val="0"/>
              <w:spacing w:line="240" w:lineRule="auto"/>
              <w:ind w:firstLine="0" w:firstLineChars="0"/>
              <w:jc w:val="center"/>
              <w:rPr>
                <w:snapToGrid w:val="0"/>
                <w:sz w:val="21"/>
                <w:szCs w:val="21"/>
                <w:highlight w:val="none"/>
              </w:rPr>
            </w:pPr>
          </w:p>
        </w:tc>
        <w:tc>
          <w:tcPr>
            <w:tcW w:w="10644" w:type="dxa"/>
            <w:gridSpan w:val="7"/>
            <w:vAlign w:val="center"/>
          </w:tcPr>
          <w:p>
            <w:pPr>
              <w:spacing w:line="240" w:lineRule="auto"/>
              <w:ind w:firstLine="0" w:firstLineChars="0"/>
              <w:jc w:val="center"/>
              <w:rPr>
                <w:sz w:val="21"/>
                <w:szCs w:val="21"/>
                <w:highlight w:val="none"/>
              </w:rPr>
            </w:pPr>
            <w:r>
              <w:rPr>
                <w:sz w:val="21"/>
                <w:szCs w:val="21"/>
                <w:highlight w:val="none"/>
              </w:rPr>
              <w:t>制定企业环境管理制度，明确了岗位环保职责和日常环保行为规范、建立和落实环保岗位考核制度</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Merge w:val="continue"/>
            <w:vAlign w:val="center"/>
          </w:tcPr>
          <w:p>
            <w:pPr>
              <w:autoSpaceDE w:val="0"/>
              <w:autoSpaceDN w:val="0"/>
              <w:adjustRightInd w:val="0"/>
              <w:snapToGrid w:val="0"/>
              <w:spacing w:line="240" w:lineRule="auto"/>
              <w:ind w:firstLine="0" w:firstLineChars="0"/>
              <w:jc w:val="center"/>
              <w:rPr>
                <w:snapToGrid w:val="0"/>
                <w:sz w:val="21"/>
                <w:szCs w:val="21"/>
                <w:highlight w:val="none"/>
              </w:rPr>
            </w:pPr>
          </w:p>
        </w:tc>
        <w:tc>
          <w:tcPr>
            <w:tcW w:w="10644" w:type="dxa"/>
            <w:gridSpan w:val="7"/>
            <w:vAlign w:val="center"/>
          </w:tcPr>
          <w:p>
            <w:pPr>
              <w:spacing w:line="240" w:lineRule="auto"/>
              <w:ind w:firstLine="0" w:firstLineChars="0"/>
              <w:jc w:val="center"/>
              <w:rPr>
                <w:sz w:val="21"/>
                <w:szCs w:val="21"/>
                <w:highlight w:val="none"/>
              </w:rPr>
            </w:pPr>
            <w:r>
              <w:rPr>
                <w:sz w:val="21"/>
                <w:szCs w:val="21"/>
                <w:highlight w:val="none"/>
              </w:rPr>
              <w:t>制定《环保管理制度》、《环保岗位考核制度》、《环保设备管理制度》、《污染防治设施运行管理制度》，建立环保设施运行台账，各项设备设施稳定、正常运行</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bl>
    <w:p>
      <w:pPr>
        <w:spacing w:line="240" w:lineRule="auto"/>
        <w:ind w:firstLine="420" w:firstLineChars="0"/>
        <w:jc w:val="center"/>
        <w:textAlignment w:val="baseline"/>
        <w:rPr>
          <w:b/>
          <w:bCs/>
          <w:kern w:val="2"/>
          <w:sz w:val="24"/>
          <w:szCs w:val="24"/>
          <w:highlight w:val="green"/>
        </w:rPr>
      </w:pPr>
    </w:p>
    <w:p>
      <w:pPr>
        <w:ind w:left="560" w:firstLine="0" w:firstLineChars="0"/>
        <w:rPr>
          <w:highlight w:val="green"/>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linePitch="312" w:charSpace="0"/>
        </w:sectPr>
      </w:pP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41" w:name="_Toc524285125"/>
      <w:bookmarkStart w:id="742" w:name="_Toc5796"/>
      <w:bookmarkStart w:id="743" w:name="_Toc521591837"/>
      <w:bookmarkStart w:id="744" w:name="_Toc499651433"/>
      <w:bookmarkStart w:id="745" w:name="_Toc2957"/>
      <w:bookmarkStart w:id="746" w:name="_Toc12834"/>
      <w:bookmarkStart w:id="747" w:name="_Toc536557312"/>
      <w:bookmarkStart w:id="748" w:name="_Toc503218132"/>
      <w:r>
        <w:rPr>
          <w:rFonts w:ascii="Times New Roman" w:hAnsi="Times New Roman" w:eastAsia="宋体"/>
          <w:bCs w:val="0"/>
          <w:snapToGrid w:val="0"/>
          <w:kern w:val="0"/>
          <w:sz w:val="28"/>
          <w:szCs w:val="28"/>
          <w:highlight w:val="none"/>
        </w:rPr>
        <w:t>环境监测</w:t>
      </w:r>
      <w:bookmarkEnd w:id="737"/>
      <w:bookmarkEnd w:id="738"/>
      <w:bookmarkEnd w:id="739"/>
      <w:bookmarkEnd w:id="740"/>
      <w:bookmarkEnd w:id="741"/>
      <w:bookmarkEnd w:id="742"/>
      <w:bookmarkEnd w:id="743"/>
      <w:bookmarkEnd w:id="744"/>
      <w:bookmarkEnd w:id="745"/>
      <w:bookmarkEnd w:id="746"/>
      <w:bookmarkEnd w:id="747"/>
      <w:bookmarkEnd w:id="748"/>
    </w:p>
    <w:p>
      <w:pPr>
        <w:pStyle w:val="6"/>
        <w:numPr>
          <w:ilvl w:val="2"/>
          <w:numId w:val="1"/>
        </w:numPr>
        <w:spacing w:before="0" w:after="0"/>
        <w:ind w:left="567"/>
        <w:rPr>
          <w:szCs w:val="28"/>
          <w:highlight w:val="none"/>
        </w:rPr>
      </w:pPr>
      <w:bookmarkStart w:id="749" w:name="_Toc521591838"/>
      <w:bookmarkStart w:id="750" w:name="_Toc28879"/>
      <w:r>
        <w:rPr>
          <w:szCs w:val="28"/>
          <w:highlight w:val="none"/>
        </w:rPr>
        <w:t>环境监测目的</w:t>
      </w:r>
      <w:bookmarkEnd w:id="749"/>
      <w:bookmarkEnd w:id="750"/>
    </w:p>
    <w:p>
      <w:pPr>
        <w:autoSpaceDE w:val="0"/>
        <w:autoSpaceDN w:val="0"/>
        <w:ind w:firstLine="480"/>
        <w:jc w:val="both"/>
        <w:textAlignment w:val="auto"/>
        <w:rPr>
          <w:sz w:val="24"/>
          <w:szCs w:val="24"/>
          <w:highlight w:val="none"/>
        </w:rPr>
      </w:pPr>
      <w:r>
        <w:rPr>
          <w:sz w:val="24"/>
          <w:szCs w:val="24"/>
          <w:highlight w:val="none"/>
        </w:rPr>
        <w:t>环境监测是环境管理技术的支持。同时，环境监测还是企业搞好环境管理，促进污染治理设施正常运行的主要保障。通过定期的环境监测，了解当地的环境质量状况，可以及时发现问题、解决问题，从而有利于监督各项环保措施的落实，并根据监测结果适时调整环境保护计划。</w:t>
      </w:r>
    </w:p>
    <w:p>
      <w:pPr>
        <w:pStyle w:val="6"/>
        <w:numPr>
          <w:ilvl w:val="2"/>
          <w:numId w:val="1"/>
        </w:numPr>
        <w:spacing w:before="0" w:after="0"/>
        <w:ind w:left="567"/>
        <w:rPr>
          <w:szCs w:val="28"/>
          <w:highlight w:val="none"/>
        </w:rPr>
      </w:pPr>
      <w:bookmarkStart w:id="751" w:name="_Toc521591839"/>
      <w:bookmarkStart w:id="752" w:name="_Toc9752"/>
      <w:r>
        <w:rPr>
          <w:szCs w:val="28"/>
          <w:highlight w:val="none"/>
        </w:rPr>
        <w:t>环境监测机构</w:t>
      </w:r>
      <w:bookmarkEnd w:id="751"/>
      <w:bookmarkEnd w:id="752"/>
    </w:p>
    <w:p>
      <w:pPr>
        <w:autoSpaceDE w:val="0"/>
        <w:autoSpaceDN w:val="0"/>
        <w:ind w:firstLine="480"/>
        <w:jc w:val="both"/>
        <w:textAlignment w:val="auto"/>
        <w:rPr>
          <w:sz w:val="24"/>
          <w:szCs w:val="24"/>
          <w:highlight w:val="none"/>
        </w:rPr>
      </w:pPr>
      <w:r>
        <w:rPr>
          <w:sz w:val="24"/>
          <w:szCs w:val="24"/>
          <w:highlight w:val="none"/>
        </w:rPr>
        <w:t>环境监测为企业自行监测行为，监测方式由建设单位决定，可委托有资质的监测单位，也可由公司内部执行。</w:t>
      </w:r>
    </w:p>
    <w:p>
      <w:pPr>
        <w:pStyle w:val="6"/>
        <w:numPr>
          <w:ilvl w:val="2"/>
          <w:numId w:val="1"/>
        </w:numPr>
        <w:spacing w:before="0" w:after="0"/>
        <w:ind w:left="567"/>
        <w:rPr>
          <w:szCs w:val="28"/>
          <w:highlight w:val="none"/>
        </w:rPr>
      </w:pPr>
      <w:bookmarkStart w:id="753" w:name="_Toc24574"/>
      <w:bookmarkStart w:id="754" w:name="_Toc521591840"/>
      <w:r>
        <w:rPr>
          <w:szCs w:val="28"/>
          <w:highlight w:val="none"/>
        </w:rPr>
        <w:t>监测项目及监测计划</w:t>
      </w:r>
      <w:bookmarkEnd w:id="753"/>
      <w:bookmarkEnd w:id="754"/>
    </w:p>
    <w:p>
      <w:pPr>
        <w:widowControl/>
        <w:ind w:firstLine="480"/>
        <w:textAlignment w:val="auto"/>
        <w:rPr>
          <w:kern w:val="2"/>
          <w:sz w:val="24"/>
          <w:szCs w:val="24"/>
          <w:highlight w:val="none"/>
        </w:rPr>
      </w:pPr>
      <w:bookmarkStart w:id="755" w:name="_Toc450148608"/>
      <w:bookmarkStart w:id="756" w:name="_Toc454955463"/>
      <w:bookmarkStart w:id="757" w:name="_Toc503218133"/>
      <w:bookmarkStart w:id="758" w:name="_Toc499651434"/>
      <w:r>
        <w:rPr>
          <w:kern w:val="2"/>
          <w:sz w:val="24"/>
          <w:szCs w:val="24"/>
          <w:highlight w:val="none"/>
        </w:rPr>
        <w:t>根据《排污单位自行监测技术指南总则》（HJ819-2017），本项目属于非重点排污单位，本项目主要排放口为破碎车间排气筒、厂界无组织废气、厂界噪声，主要监测指标为颗粒物，具体监测计划详见表8.</w:t>
      </w:r>
      <w:r>
        <w:rPr>
          <w:rFonts w:hint="eastAsia"/>
          <w:kern w:val="2"/>
          <w:sz w:val="24"/>
          <w:szCs w:val="24"/>
          <w:highlight w:val="none"/>
        </w:rPr>
        <w:t>3</w:t>
      </w:r>
      <w:r>
        <w:rPr>
          <w:kern w:val="2"/>
          <w:sz w:val="24"/>
          <w:szCs w:val="24"/>
          <w:highlight w:val="none"/>
        </w:rPr>
        <w:t>-1。</w:t>
      </w:r>
    </w:p>
    <w:p>
      <w:pPr>
        <w:widowControl/>
        <w:spacing w:line="240" w:lineRule="auto"/>
        <w:ind w:firstLine="0" w:firstLineChars="0"/>
        <w:jc w:val="center"/>
        <w:textAlignment w:val="auto"/>
        <w:rPr>
          <w:rFonts w:eastAsia="黑体"/>
          <w:kern w:val="24"/>
          <w:sz w:val="21"/>
          <w:szCs w:val="21"/>
          <w:highlight w:val="none"/>
        </w:rPr>
      </w:pPr>
      <w:r>
        <w:rPr>
          <w:rFonts w:eastAsia="黑体"/>
          <w:kern w:val="24"/>
          <w:sz w:val="21"/>
          <w:szCs w:val="21"/>
          <w:highlight w:val="none"/>
        </w:rPr>
        <w:t>表8.</w:t>
      </w:r>
      <w:r>
        <w:rPr>
          <w:rFonts w:hint="eastAsia" w:eastAsia="黑体"/>
          <w:kern w:val="24"/>
          <w:sz w:val="21"/>
          <w:szCs w:val="21"/>
          <w:highlight w:val="none"/>
        </w:rPr>
        <w:t>3</w:t>
      </w:r>
      <w:r>
        <w:rPr>
          <w:rFonts w:eastAsia="黑体"/>
          <w:kern w:val="24"/>
          <w:sz w:val="21"/>
          <w:szCs w:val="21"/>
          <w:highlight w:val="none"/>
        </w:rPr>
        <w:t xml:space="preserve">-1   </w:t>
      </w:r>
      <w:r>
        <w:rPr>
          <w:rFonts w:hint="eastAsia" w:eastAsia="黑体"/>
          <w:kern w:val="24"/>
          <w:sz w:val="21"/>
          <w:szCs w:val="21"/>
          <w:highlight w:val="none"/>
          <w:lang w:val="en-US" w:eastAsia="zh-CN"/>
        </w:rPr>
        <w:t>本项目实施后全厂</w:t>
      </w:r>
      <w:r>
        <w:rPr>
          <w:rFonts w:eastAsia="黑体"/>
          <w:kern w:val="24"/>
          <w:sz w:val="21"/>
          <w:szCs w:val="21"/>
          <w:highlight w:val="none"/>
        </w:rPr>
        <w:t>环境监测计划一览表</w:t>
      </w:r>
    </w:p>
    <w:tbl>
      <w:tblPr>
        <w:tblStyle w:val="48"/>
        <w:tblW w:w="8368" w:type="dxa"/>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65"/>
        <w:gridCol w:w="1608"/>
        <w:gridCol w:w="2370"/>
        <w:gridCol w:w="1490"/>
        <w:gridCol w:w="163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65"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类别</w:t>
            </w:r>
          </w:p>
        </w:tc>
        <w:tc>
          <w:tcPr>
            <w:tcW w:w="1608"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监测位置</w:t>
            </w:r>
          </w:p>
        </w:tc>
        <w:tc>
          <w:tcPr>
            <w:tcW w:w="237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监测项目</w:t>
            </w:r>
          </w:p>
        </w:tc>
        <w:tc>
          <w:tcPr>
            <w:tcW w:w="149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监测频率</w:t>
            </w:r>
          </w:p>
        </w:tc>
        <w:tc>
          <w:tcPr>
            <w:tcW w:w="1635"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实施单位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65" w:type="dxa"/>
            <w:vMerge w:val="restart"/>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废</w:t>
            </w:r>
          </w:p>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气</w:t>
            </w:r>
          </w:p>
        </w:tc>
        <w:tc>
          <w:tcPr>
            <w:tcW w:w="1608"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rFonts w:hint="eastAsia"/>
                <w:kern w:val="2"/>
                <w:sz w:val="21"/>
                <w:szCs w:val="21"/>
                <w:highlight w:val="none"/>
                <w:lang w:val="en-US" w:eastAsia="zh-CN"/>
              </w:rPr>
              <w:t>南厂区1#</w:t>
            </w:r>
            <w:r>
              <w:rPr>
                <w:rFonts w:hint="eastAsia"/>
                <w:kern w:val="2"/>
                <w:sz w:val="21"/>
                <w:szCs w:val="21"/>
                <w:highlight w:val="none"/>
              </w:rPr>
              <w:t>破碎</w:t>
            </w:r>
            <w:r>
              <w:rPr>
                <w:kern w:val="2"/>
                <w:sz w:val="21"/>
                <w:szCs w:val="21"/>
                <w:highlight w:val="none"/>
              </w:rPr>
              <w:t>车间排气筒</w:t>
            </w:r>
          </w:p>
        </w:tc>
        <w:tc>
          <w:tcPr>
            <w:tcW w:w="237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颗粒物</w:t>
            </w:r>
          </w:p>
        </w:tc>
        <w:tc>
          <w:tcPr>
            <w:tcW w:w="149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rFonts w:hint="eastAsia"/>
                <w:kern w:val="2"/>
                <w:sz w:val="21"/>
                <w:szCs w:val="21"/>
                <w:highlight w:val="none"/>
              </w:rPr>
              <w:t>每年</w:t>
            </w:r>
            <w:r>
              <w:rPr>
                <w:kern w:val="2"/>
                <w:sz w:val="21"/>
                <w:szCs w:val="21"/>
                <w:highlight w:val="none"/>
              </w:rPr>
              <w:t>1次</w:t>
            </w:r>
          </w:p>
        </w:tc>
        <w:tc>
          <w:tcPr>
            <w:tcW w:w="1635" w:type="dxa"/>
            <w:vMerge w:val="restart"/>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委托当地环境</w:t>
            </w:r>
          </w:p>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监测站或有资质</w:t>
            </w:r>
          </w:p>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的检测单位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65" w:type="dxa"/>
            <w:vMerge w:val="continue"/>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p>
        </w:tc>
        <w:tc>
          <w:tcPr>
            <w:tcW w:w="1608" w:type="dxa"/>
            <w:tcMar>
              <w:left w:w="28" w:type="dxa"/>
              <w:right w:w="28" w:type="dxa"/>
            </w:tcMar>
            <w:vAlign w:val="center"/>
          </w:tcPr>
          <w:p>
            <w:pPr>
              <w:widowControl/>
              <w:adjustRightInd w:val="0"/>
              <w:spacing w:line="240" w:lineRule="auto"/>
              <w:ind w:firstLine="0" w:firstLineChars="0"/>
              <w:jc w:val="center"/>
              <w:textAlignment w:val="baseline"/>
              <w:rPr>
                <w:rFonts w:ascii="Times New Roman" w:hAnsi="Times New Roman" w:eastAsia="宋体" w:cs="Times New Roman"/>
                <w:kern w:val="2"/>
                <w:sz w:val="21"/>
                <w:szCs w:val="21"/>
                <w:highlight w:val="none"/>
                <w:lang w:val="en-US" w:eastAsia="zh-CN" w:bidi="ar-SA"/>
              </w:rPr>
            </w:pPr>
            <w:r>
              <w:rPr>
                <w:rFonts w:hint="eastAsia"/>
                <w:kern w:val="2"/>
                <w:sz w:val="21"/>
                <w:szCs w:val="21"/>
                <w:highlight w:val="none"/>
                <w:lang w:val="en-US" w:eastAsia="zh-CN"/>
              </w:rPr>
              <w:t>南厂区2#</w:t>
            </w:r>
            <w:r>
              <w:rPr>
                <w:rFonts w:hint="eastAsia"/>
                <w:kern w:val="2"/>
                <w:sz w:val="21"/>
                <w:szCs w:val="21"/>
                <w:highlight w:val="none"/>
              </w:rPr>
              <w:t>破碎</w:t>
            </w:r>
            <w:r>
              <w:rPr>
                <w:kern w:val="2"/>
                <w:sz w:val="21"/>
                <w:szCs w:val="21"/>
                <w:highlight w:val="none"/>
              </w:rPr>
              <w:t>车间排气筒</w:t>
            </w:r>
          </w:p>
        </w:tc>
        <w:tc>
          <w:tcPr>
            <w:tcW w:w="2370" w:type="dxa"/>
            <w:tcMar>
              <w:left w:w="28" w:type="dxa"/>
              <w:right w:w="28" w:type="dxa"/>
            </w:tcMar>
            <w:vAlign w:val="center"/>
          </w:tcPr>
          <w:p>
            <w:pPr>
              <w:widowControl/>
              <w:adjustRightInd w:val="0"/>
              <w:spacing w:line="240" w:lineRule="auto"/>
              <w:ind w:firstLine="0" w:firstLineChars="0"/>
              <w:jc w:val="center"/>
              <w:textAlignment w:val="baseline"/>
              <w:rPr>
                <w:rFonts w:ascii="Times New Roman" w:hAnsi="Times New Roman" w:eastAsia="宋体" w:cs="Times New Roman"/>
                <w:kern w:val="2"/>
                <w:sz w:val="21"/>
                <w:szCs w:val="21"/>
                <w:highlight w:val="none"/>
                <w:lang w:val="en-US" w:eastAsia="zh-CN" w:bidi="ar-SA"/>
              </w:rPr>
            </w:pPr>
            <w:r>
              <w:rPr>
                <w:kern w:val="2"/>
                <w:sz w:val="21"/>
                <w:szCs w:val="21"/>
                <w:highlight w:val="none"/>
              </w:rPr>
              <w:t>颗粒物</w:t>
            </w:r>
          </w:p>
        </w:tc>
        <w:tc>
          <w:tcPr>
            <w:tcW w:w="1490" w:type="dxa"/>
            <w:tcMar>
              <w:left w:w="28" w:type="dxa"/>
              <w:right w:w="28" w:type="dxa"/>
            </w:tcMar>
            <w:vAlign w:val="center"/>
          </w:tcPr>
          <w:p>
            <w:pPr>
              <w:widowControl/>
              <w:adjustRightInd w:val="0"/>
              <w:spacing w:line="240" w:lineRule="auto"/>
              <w:ind w:firstLine="0" w:firstLineChars="0"/>
              <w:jc w:val="center"/>
              <w:textAlignment w:val="baseline"/>
              <w:rPr>
                <w:rFonts w:hint="eastAsia" w:ascii="Times New Roman" w:hAnsi="Times New Roman" w:eastAsia="宋体" w:cs="Times New Roman"/>
                <w:kern w:val="2"/>
                <w:sz w:val="21"/>
                <w:szCs w:val="21"/>
                <w:highlight w:val="none"/>
                <w:lang w:val="en-US" w:eastAsia="zh-CN" w:bidi="ar-SA"/>
              </w:rPr>
            </w:pPr>
            <w:r>
              <w:rPr>
                <w:rFonts w:hint="eastAsia"/>
                <w:kern w:val="2"/>
                <w:sz w:val="21"/>
                <w:szCs w:val="21"/>
                <w:highlight w:val="none"/>
              </w:rPr>
              <w:t>每年</w:t>
            </w:r>
            <w:r>
              <w:rPr>
                <w:kern w:val="2"/>
                <w:sz w:val="21"/>
                <w:szCs w:val="21"/>
                <w:highlight w:val="none"/>
              </w:rPr>
              <w:t>1次</w:t>
            </w:r>
          </w:p>
        </w:tc>
        <w:tc>
          <w:tcPr>
            <w:tcW w:w="1635" w:type="dxa"/>
            <w:vMerge w:val="continue"/>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65"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噪</w:t>
            </w:r>
          </w:p>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声</w:t>
            </w:r>
          </w:p>
        </w:tc>
        <w:tc>
          <w:tcPr>
            <w:tcW w:w="1608"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四周厂界外1m</w:t>
            </w:r>
          </w:p>
        </w:tc>
        <w:tc>
          <w:tcPr>
            <w:tcW w:w="237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等效A声级</w:t>
            </w:r>
          </w:p>
        </w:tc>
        <w:tc>
          <w:tcPr>
            <w:tcW w:w="149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每季度1次</w:t>
            </w:r>
          </w:p>
        </w:tc>
        <w:tc>
          <w:tcPr>
            <w:tcW w:w="1635" w:type="dxa"/>
            <w:vMerge w:val="continue"/>
            <w:tcMar>
              <w:left w:w="28" w:type="dxa"/>
              <w:right w:w="28" w:type="dxa"/>
            </w:tcMar>
            <w:vAlign w:val="center"/>
          </w:tcPr>
          <w:p>
            <w:pPr>
              <w:widowControl/>
              <w:spacing w:line="240" w:lineRule="auto"/>
              <w:ind w:firstLine="0" w:firstLineChars="0"/>
              <w:jc w:val="center"/>
              <w:textAlignment w:val="auto"/>
              <w:rPr>
                <w:rFonts w:eastAsia="等线"/>
                <w:b/>
                <w:bCs/>
                <w:kern w:val="2"/>
                <w:sz w:val="21"/>
                <w:szCs w:val="21"/>
                <w:highlight w:val="none"/>
              </w:rPr>
            </w:pPr>
          </w:p>
        </w:tc>
      </w:tr>
      <w:bookmarkEnd w:id="755"/>
      <w:bookmarkEnd w:id="756"/>
      <w:bookmarkEnd w:id="757"/>
      <w:bookmarkEnd w:id="758"/>
    </w:tbl>
    <w:p>
      <w:pPr>
        <w:adjustRightInd w:val="0"/>
        <w:snapToGrid w:val="0"/>
        <w:spacing w:line="240" w:lineRule="auto"/>
        <w:ind w:firstLine="420"/>
        <w:jc w:val="center"/>
        <w:rPr>
          <w:rFonts w:eastAsia="黑体"/>
          <w:sz w:val="21"/>
          <w:szCs w:val="21"/>
          <w:highlight w:val="none"/>
          <w:lang w:val="zh-CN"/>
        </w:rPr>
      </w:pPr>
      <w:bookmarkStart w:id="759" w:name="_Toc12251"/>
      <w:bookmarkStart w:id="760" w:name="_Toc355198002"/>
    </w:p>
    <w:p>
      <w:pPr>
        <w:widowControl/>
        <w:spacing w:line="240" w:lineRule="auto"/>
        <w:ind w:firstLine="0" w:firstLineChars="0"/>
        <w:jc w:val="center"/>
        <w:textAlignment w:val="auto"/>
        <w:rPr>
          <w:rFonts w:eastAsia="黑体"/>
          <w:bCs/>
          <w:sz w:val="21"/>
          <w:szCs w:val="21"/>
          <w:highlight w:val="none"/>
        </w:rPr>
      </w:pPr>
      <w:r>
        <w:rPr>
          <w:rFonts w:hint="eastAsia" w:eastAsia="黑体"/>
          <w:sz w:val="21"/>
          <w:szCs w:val="21"/>
          <w:highlight w:val="none"/>
          <w:lang w:val="zh-CN"/>
        </w:rPr>
        <w:t>表</w:t>
      </w:r>
      <w:r>
        <w:rPr>
          <w:rFonts w:eastAsia="黑体"/>
          <w:sz w:val="21"/>
          <w:szCs w:val="21"/>
          <w:highlight w:val="none"/>
          <w:lang w:val="zh-CN"/>
        </w:rPr>
        <w:t>8.</w:t>
      </w:r>
      <w:r>
        <w:rPr>
          <w:rFonts w:hint="eastAsia" w:eastAsia="黑体"/>
          <w:sz w:val="21"/>
          <w:szCs w:val="21"/>
          <w:highlight w:val="none"/>
          <w:lang w:val="zh-CN"/>
        </w:rPr>
        <w:t>3</w:t>
      </w:r>
      <w:r>
        <w:rPr>
          <w:rFonts w:eastAsia="黑体"/>
          <w:sz w:val="21"/>
          <w:szCs w:val="21"/>
          <w:highlight w:val="none"/>
          <w:lang w:val="zh-CN"/>
        </w:rPr>
        <w:t xml:space="preserve">-2  </w:t>
      </w:r>
      <w:r>
        <w:rPr>
          <w:rFonts w:hint="eastAsia" w:eastAsia="黑体"/>
          <w:kern w:val="24"/>
          <w:sz w:val="21"/>
          <w:szCs w:val="21"/>
          <w:highlight w:val="none"/>
          <w:lang w:val="en-US" w:eastAsia="zh-CN"/>
        </w:rPr>
        <w:t>本项目实施后全厂</w:t>
      </w:r>
      <w:r>
        <w:rPr>
          <w:rFonts w:hint="eastAsia" w:eastAsia="黑体"/>
          <w:bCs/>
          <w:sz w:val="21"/>
          <w:szCs w:val="21"/>
          <w:highlight w:val="none"/>
        </w:rPr>
        <w:t>污染源监测计划一览表（地下水）</w:t>
      </w:r>
    </w:p>
    <w:tbl>
      <w:tblPr>
        <w:tblStyle w:val="48"/>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4"/>
        <w:gridCol w:w="1721"/>
        <w:gridCol w:w="1721"/>
        <w:gridCol w:w="1076"/>
        <w:gridCol w:w="1504"/>
        <w:gridCol w:w="164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Merge w:val="restart"/>
            <w:vAlign w:val="center"/>
          </w:tcPr>
          <w:p>
            <w:pPr>
              <w:adjustRightInd w:val="0"/>
              <w:snapToGrid w:val="0"/>
              <w:spacing w:line="240" w:lineRule="atLeast"/>
              <w:ind w:firstLine="0" w:firstLineChars="0"/>
              <w:jc w:val="center"/>
              <w:rPr>
                <w:sz w:val="21"/>
                <w:szCs w:val="21"/>
                <w:highlight w:val="none"/>
              </w:rPr>
            </w:pPr>
            <w:bookmarkStart w:id="761" w:name="_Hlk3798007"/>
            <w:r>
              <w:rPr>
                <w:rFonts w:hint="eastAsia"/>
                <w:sz w:val="21"/>
                <w:szCs w:val="21"/>
                <w:highlight w:val="none"/>
              </w:rPr>
              <w:t>井编号</w:t>
            </w:r>
          </w:p>
        </w:tc>
        <w:tc>
          <w:tcPr>
            <w:tcW w:w="1009" w:type="pct"/>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和厂区关系</w:t>
            </w:r>
          </w:p>
        </w:tc>
        <w:tc>
          <w:tcPr>
            <w:tcW w:w="1009" w:type="pct"/>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监测井</w:t>
            </w:r>
          </w:p>
          <w:p>
            <w:pPr>
              <w:adjustRightInd w:val="0"/>
              <w:snapToGrid w:val="0"/>
              <w:spacing w:line="240" w:lineRule="atLeast"/>
              <w:ind w:firstLine="0" w:firstLineChars="0"/>
              <w:jc w:val="center"/>
              <w:rPr>
                <w:sz w:val="21"/>
                <w:szCs w:val="21"/>
                <w:highlight w:val="none"/>
              </w:rPr>
            </w:pPr>
            <w:r>
              <w:rPr>
                <w:rFonts w:hint="eastAsia"/>
                <w:sz w:val="21"/>
                <w:szCs w:val="21"/>
                <w:highlight w:val="none"/>
              </w:rPr>
              <w:t>功能</w:t>
            </w:r>
          </w:p>
        </w:tc>
        <w:tc>
          <w:tcPr>
            <w:tcW w:w="631" w:type="pct"/>
            <w:vAlign w:val="center"/>
          </w:tcPr>
          <w:p>
            <w:pPr>
              <w:adjustRightInd w:val="0"/>
              <w:snapToGrid w:val="0"/>
              <w:spacing w:line="240" w:lineRule="atLeast"/>
              <w:ind w:firstLine="0" w:firstLineChars="0"/>
              <w:rPr>
                <w:sz w:val="21"/>
                <w:szCs w:val="21"/>
                <w:highlight w:val="none"/>
              </w:rPr>
            </w:pPr>
            <w:r>
              <w:rPr>
                <w:rFonts w:hint="eastAsia"/>
                <w:sz w:val="21"/>
                <w:szCs w:val="21"/>
                <w:highlight w:val="none"/>
              </w:rPr>
              <w:t>井深</w:t>
            </w:r>
          </w:p>
        </w:tc>
        <w:tc>
          <w:tcPr>
            <w:tcW w:w="882" w:type="pct"/>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监测</w:t>
            </w:r>
          </w:p>
          <w:p>
            <w:pPr>
              <w:adjustRightInd w:val="0"/>
              <w:snapToGrid w:val="0"/>
              <w:spacing w:line="240" w:lineRule="atLeast"/>
              <w:ind w:firstLine="0" w:firstLineChars="0"/>
              <w:jc w:val="center"/>
              <w:rPr>
                <w:sz w:val="21"/>
                <w:szCs w:val="21"/>
                <w:highlight w:val="none"/>
              </w:rPr>
            </w:pPr>
            <w:r>
              <w:rPr>
                <w:rFonts w:hint="eastAsia"/>
                <w:sz w:val="21"/>
                <w:szCs w:val="21"/>
                <w:highlight w:val="none"/>
              </w:rPr>
              <w:t>因子</w:t>
            </w:r>
          </w:p>
        </w:tc>
        <w:tc>
          <w:tcPr>
            <w:tcW w:w="963" w:type="pct"/>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监测频率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Merge w:val="continue"/>
            <w:vAlign w:val="center"/>
          </w:tcPr>
          <w:p>
            <w:pPr>
              <w:adjustRightInd w:val="0"/>
              <w:snapToGrid w:val="0"/>
              <w:spacing w:line="240" w:lineRule="atLeast"/>
              <w:ind w:firstLine="0" w:firstLineChars="0"/>
              <w:jc w:val="center"/>
              <w:rPr>
                <w:sz w:val="21"/>
                <w:szCs w:val="21"/>
                <w:highlight w:val="none"/>
              </w:rPr>
            </w:pPr>
          </w:p>
        </w:tc>
        <w:tc>
          <w:tcPr>
            <w:tcW w:w="1009" w:type="pct"/>
            <w:vMerge w:val="continue"/>
            <w:vAlign w:val="center"/>
          </w:tcPr>
          <w:p>
            <w:pPr>
              <w:adjustRightInd w:val="0"/>
              <w:snapToGrid w:val="0"/>
              <w:spacing w:line="240" w:lineRule="atLeast"/>
              <w:ind w:firstLine="0" w:firstLineChars="0"/>
              <w:jc w:val="center"/>
              <w:rPr>
                <w:sz w:val="21"/>
                <w:szCs w:val="21"/>
                <w:highlight w:val="none"/>
              </w:rPr>
            </w:pPr>
          </w:p>
        </w:tc>
        <w:tc>
          <w:tcPr>
            <w:tcW w:w="1009" w:type="pct"/>
            <w:vMerge w:val="continue"/>
            <w:vAlign w:val="center"/>
          </w:tcPr>
          <w:p>
            <w:pPr>
              <w:adjustRightInd w:val="0"/>
              <w:snapToGrid w:val="0"/>
              <w:spacing w:line="240" w:lineRule="atLeast"/>
              <w:ind w:firstLine="0" w:firstLineChars="0"/>
              <w:jc w:val="center"/>
              <w:rPr>
                <w:sz w:val="21"/>
                <w:szCs w:val="21"/>
                <w:highlight w:val="none"/>
              </w:rPr>
            </w:pPr>
          </w:p>
        </w:tc>
        <w:tc>
          <w:tcPr>
            <w:tcW w:w="631"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m</w:t>
            </w:r>
          </w:p>
        </w:tc>
        <w:tc>
          <w:tcPr>
            <w:tcW w:w="882" w:type="pct"/>
            <w:vMerge w:val="continue"/>
            <w:vAlign w:val="center"/>
          </w:tcPr>
          <w:p>
            <w:pPr>
              <w:adjustRightInd w:val="0"/>
              <w:snapToGrid w:val="0"/>
              <w:spacing w:line="240" w:lineRule="atLeast"/>
              <w:ind w:firstLine="0" w:firstLineChars="0"/>
              <w:jc w:val="center"/>
              <w:rPr>
                <w:sz w:val="21"/>
                <w:szCs w:val="21"/>
                <w:highlight w:val="none"/>
              </w:rPr>
            </w:pPr>
          </w:p>
        </w:tc>
        <w:tc>
          <w:tcPr>
            <w:tcW w:w="963" w:type="pct"/>
            <w:vMerge w:val="continue"/>
            <w:vAlign w:val="center"/>
          </w:tcPr>
          <w:p>
            <w:pPr>
              <w:adjustRightInd w:val="0"/>
              <w:snapToGrid w:val="0"/>
              <w:spacing w:line="240" w:lineRule="atLeast"/>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JC1</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厂区上游</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地下水上游背景值</w:t>
            </w:r>
          </w:p>
        </w:tc>
        <w:tc>
          <w:tcPr>
            <w:tcW w:w="63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25</w:t>
            </w:r>
          </w:p>
        </w:tc>
        <w:tc>
          <w:tcPr>
            <w:tcW w:w="882" w:type="pct"/>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pH、铁、</w:t>
            </w:r>
            <w:r>
              <w:rPr>
                <w:rFonts w:hint="eastAsia"/>
                <w:sz w:val="21"/>
                <w:szCs w:val="21"/>
                <w:highlight w:val="none"/>
              </w:rPr>
              <w:t>耗氧量</w:t>
            </w:r>
          </w:p>
        </w:tc>
        <w:tc>
          <w:tcPr>
            <w:tcW w:w="963" w:type="pct"/>
            <w:tcBorders>
              <w:bottom w:val="single" w:color="auto" w:sz="4" w:space="0"/>
            </w:tcBorders>
            <w:vAlign w:val="center"/>
          </w:tcPr>
          <w:p>
            <w:pPr>
              <w:spacing w:line="240" w:lineRule="auto"/>
              <w:ind w:firstLine="0" w:firstLineChars="0"/>
              <w:rPr>
                <w:sz w:val="21"/>
                <w:szCs w:val="21"/>
                <w:highlight w:val="none"/>
              </w:rPr>
            </w:pPr>
            <w:r>
              <w:rPr>
                <w:sz w:val="21"/>
                <w:szCs w:val="21"/>
                <w:highlight w:val="none"/>
              </w:rPr>
              <w:t>每年枯水期采样一次</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JC2</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厂区内（浓密池附近）</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污染扩散监测点</w:t>
            </w:r>
          </w:p>
        </w:tc>
        <w:tc>
          <w:tcPr>
            <w:tcW w:w="63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25</w:t>
            </w:r>
          </w:p>
        </w:tc>
        <w:tc>
          <w:tcPr>
            <w:tcW w:w="882" w:type="pct"/>
            <w:vMerge w:val="continue"/>
            <w:vAlign w:val="center"/>
          </w:tcPr>
          <w:p>
            <w:pPr>
              <w:adjustRightInd w:val="0"/>
              <w:snapToGrid w:val="0"/>
              <w:spacing w:line="240" w:lineRule="atLeast"/>
              <w:ind w:firstLine="420"/>
              <w:jc w:val="center"/>
              <w:rPr>
                <w:sz w:val="21"/>
                <w:szCs w:val="21"/>
                <w:highlight w:val="none"/>
              </w:rPr>
            </w:pPr>
          </w:p>
        </w:tc>
        <w:tc>
          <w:tcPr>
            <w:tcW w:w="963" w:type="pct"/>
            <w:vMerge w:val="restart"/>
            <w:tcBorders>
              <w:top w:val="single" w:color="auto" w:sz="4" w:space="0"/>
            </w:tcBorders>
            <w:vAlign w:val="center"/>
          </w:tcPr>
          <w:p>
            <w:pPr>
              <w:adjustRightInd w:val="0"/>
              <w:snapToGrid w:val="0"/>
              <w:spacing w:line="240" w:lineRule="atLeast"/>
              <w:ind w:left="0" w:leftChars="0" w:firstLine="0" w:firstLineChars="0"/>
              <w:jc w:val="both"/>
              <w:rPr>
                <w:sz w:val="21"/>
                <w:szCs w:val="21"/>
                <w:highlight w:val="none"/>
              </w:rPr>
            </w:pPr>
            <w:r>
              <w:rPr>
                <w:sz w:val="21"/>
                <w:szCs w:val="21"/>
                <w:highlight w:val="none"/>
              </w:rPr>
              <w:t>每年枯</w:t>
            </w:r>
            <w:r>
              <w:rPr>
                <w:rFonts w:hint="eastAsia"/>
                <w:sz w:val="21"/>
                <w:szCs w:val="21"/>
                <w:highlight w:val="none"/>
                <w:lang w:val="en-US" w:eastAsia="zh-CN"/>
              </w:rPr>
              <w:t>丰</w:t>
            </w:r>
            <w:r>
              <w:rPr>
                <w:sz w:val="21"/>
                <w:szCs w:val="21"/>
                <w:highlight w:val="none"/>
              </w:rPr>
              <w:t>水期</w:t>
            </w:r>
            <w:r>
              <w:rPr>
                <w:rFonts w:hint="eastAsia"/>
                <w:sz w:val="21"/>
                <w:szCs w:val="21"/>
                <w:highlight w:val="none"/>
                <w:lang w:val="en-US" w:eastAsia="zh-CN"/>
              </w:rPr>
              <w:t>各</w:t>
            </w:r>
            <w:r>
              <w:rPr>
                <w:sz w:val="21"/>
                <w:szCs w:val="21"/>
                <w:highlight w:val="none"/>
              </w:rPr>
              <w:t>采样一次</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JC3</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厂区下游</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污染扩散监测点</w:t>
            </w:r>
          </w:p>
        </w:tc>
        <w:tc>
          <w:tcPr>
            <w:tcW w:w="631" w:type="pct"/>
            <w:vAlign w:val="center"/>
          </w:tcPr>
          <w:p>
            <w:pPr>
              <w:autoSpaceDN w:val="0"/>
              <w:adjustRightInd w:val="0"/>
              <w:snapToGrid w:val="0"/>
              <w:spacing w:line="240" w:lineRule="auto"/>
              <w:ind w:firstLine="0" w:firstLineChars="0"/>
              <w:jc w:val="center"/>
              <w:rPr>
                <w:sz w:val="21"/>
                <w:szCs w:val="21"/>
                <w:highlight w:val="none"/>
              </w:rPr>
            </w:pPr>
            <w:r>
              <w:rPr>
                <w:sz w:val="21"/>
                <w:szCs w:val="21"/>
                <w:highlight w:val="none"/>
              </w:rPr>
              <w:t>25</w:t>
            </w:r>
          </w:p>
        </w:tc>
        <w:tc>
          <w:tcPr>
            <w:tcW w:w="882" w:type="pct"/>
            <w:vMerge w:val="continue"/>
            <w:vAlign w:val="center"/>
          </w:tcPr>
          <w:p>
            <w:pPr>
              <w:adjustRightInd w:val="0"/>
              <w:snapToGrid w:val="0"/>
              <w:spacing w:line="240" w:lineRule="atLeast"/>
              <w:ind w:firstLine="420"/>
              <w:jc w:val="center"/>
              <w:rPr>
                <w:sz w:val="21"/>
                <w:szCs w:val="21"/>
                <w:highlight w:val="none"/>
              </w:rPr>
            </w:pPr>
          </w:p>
        </w:tc>
        <w:tc>
          <w:tcPr>
            <w:tcW w:w="963" w:type="pct"/>
            <w:vMerge w:val="continue"/>
            <w:vAlign w:val="center"/>
          </w:tcPr>
          <w:p>
            <w:pPr>
              <w:adjustRightInd w:val="0"/>
              <w:snapToGrid w:val="0"/>
              <w:spacing w:line="240" w:lineRule="atLeast"/>
              <w:ind w:firstLine="420"/>
              <w:jc w:val="center"/>
              <w:rPr>
                <w:sz w:val="21"/>
                <w:szCs w:val="21"/>
                <w:highlight w:val="none"/>
              </w:rPr>
            </w:pPr>
          </w:p>
        </w:tc>
      </w:tr>
      <w:bookmarkEnd w:id="761"/>
    </w:tbl>
    <w:p>
      <w:pPr>
        <w:widowControl/>
        <w:spacing w:line="240" w:lineRule="auto"/>
        <w:ind w:firstLine="0" w:firstLineChars="0"/>
        <w:jc w:val="center"/>
        <w:textAlignment w:val="auto"/>
        <w:rPr>
          <w:rFonts w:eastAsia="黑体"/>
          <w:bCs/>
          <w:sz w:val="21"/>
          <w:szCs w:val="21"/>
          <w:highlight w:val="none"/>
        </w:rPr>
      </w:pPr>
    </w:p>
    <w:p>
      <w:pPr>
        <w:widowControl/>
        <w:adjustRightInd w:val="0"/>
        <w:spacing w:line="240" w:lineRule="auto"/>
        <w:ind w:firstLine="0" w:firstLineChars="0"/>
        <w:jc w:val="center"/>
        <w:textAlignment w:val="baseline"/>
        <w:rPr>
          <w:kern w:val="2"/>
          <w:sz w:val="21"/>
          <w:szCs w:val="21"/>
          <w:highlight w:val="none"/>
        </w:rPr>
      </w:pPr>
    </w:p>
    <w:bookmarkEnd w:id="759"/>
    <w:bookmarkEnd w:id="760"/>
    <w:p>
      <w:pPr>
        <w:pStyle w:val="5"/>
        <w:keepLines w:val="0"/>
        <w:widowControl/>
        <w:numPr>
          <w:ilvl w:val="1"/>
          <w:numId w:val="1"/>
        </w:numPr>
        <w:tabs>
          <w:tab w:val="left" w:pos="482"/>
        </w:tabs>
        <w:spacing w:before="0" w:after="0" w:line="360" w:lineRule="auto"/>
        <w:ind w:left="567"/>
        <w:rPr>
          <w:rFonts w:ascii="Times New Roman" w:hAnsi="Times New Roman"/>
          <w:snapToGrid w:val="0"/>
          <w:szCs w:val="28"/>
          <w:highlight w:val="none"/>
        </w:rPr>
      </w:pPr>
      <w:bookmarkStart w:id="762" w:name="_Toc14710"/>
      <w:bookmarkStart w:id="763" w:name="_Toc26604"/>
      <w:bookmarkStart w:id="764" w:name="_Toc23546"/>
      <w:bookmarkStart w:id="765" w:name="_Toc524285126"/>
      <w:bookmarkStart w:id="766" w:name="_Toc521591841"/>
      <w:bookmarkStart w:id="767" w:name="_Toc536557313"/>
      <w:r>
        <w:rPr>
          <w:rFonts w:ascii="Times New Roman" w:hAnsi="Times New Roman" w:eastAsia="宋体"/>
          <w:bCs w:val="0"/>
          <w:snapToGrid w:val="0"/>
          <w:kern w:val="0"/>
          <w:sz w:val="28"/>
          <w:szCs w:val="28"/>
          <w:highlight w:val="none"/>
        </w:rPr>
        <w:t>环境保护三同时验收</w:t>
      </w:r>
      <w:bookmarkEnd w:id="762"/>
      <w:bookmarkEnd w:id="763"/>
      <w:bookmarkEnd w:id="764"/>
      <w:bookmarkEnd w:id="765"/>
      <w:bookmarkEnd w:id="766"/>
      <w:bookmarkEnd w:id="767"/>
    </w:p>
    <w:p>
      <w:pPr>
        <w:autoSpaceDE w:val="0"/>
        <w:autoSpaceDN w:val="0"/>
        <w:ind w:firstLine="480"/>
        <w:textAlignment w:val="auto"/>
        <w:rPr>
          <w:sz w:val="24"/>
          <w:szCs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12" w:charSpace="0"/>
        </w:sectPr>
      </w:pPr>
      <w:r>
        <w:rPr>
          <w:sz w:val="24"/>
          <w:szCs w:val="24"/>
          <w:highlight w:val="none"/>
        </w:rPr>
        <w:t>根据建设项目环境管理办法，环境污染物防治设施必须与主体工程同时设计、同时施工、同时投入使用，项目运营期“三同时”环保验收清单见表8.5-1。</w:t>
      </w:r>
    </w:p>
    <w:p>
      <w:pPr>
        <w:autoSpaceDE w:val="0"/>
        <w:autoSpaceDN w:val="0"/>
        <w:spacing w:line="240" w:lineRule="auto"/>
        <w:ind w:firstLine="420" w:firstLineChars="0"/>
        <w:jc w:val="center"/>
        <w:textAlignment w:val="auto"/>
        <w:rPr>
          <w:rFonts w:eastAsia="黑体"/>
          <w:bCs/>
          <w:kern w:val="2"/>
          <w:sz w:val="21"/>
          <w:szCs w:val="21"/>
          <w:highlight w:val="none"/>
        </w:rPr>
      </w:pPr>
      <w:r>
        <w:rPr>
          <w:rFonts w:eastAsia="黑体"/>
          <w:bCs/>
          <w:kern w:val="2"/>
          <w:sz w:val="21"/>
          <w:szCs w:val="21"/>
          <w:highlight w:val="none"/>
        </w:rPr>
        <w:t>表8.</w:t>
      </w:r>
      <w:r>
        <w:rPr>
          <w:rFonts w:hint="eastAsia" w:eastAsia="黑体"/>
          <w:bCs/>
          <w:kern w:val="2"/>
          <w:sz w:val="21"/>
          <w:szCs w:val="21"/>
          <w:highlight w:val="none"/>
        </w:rPr>
        <w:t>4</w:t>
      </w:r>
      <w:r>
        <w:rPr>
          <w:rFonts w:eastAsia="黑体"/>
          <w:bCs/>
          <w:kern w:val="2"/>
          <w:sz w:val="21"/>
          <w:szCs w:val="21"/>
          <w:highlight w:val="none"/>
        </w:rPr>
        <w:t>-1 “三同时”环保验收一览表</w:t>
      </w:r>
    </w:p>
    <w:tbl>
      <w:tblPr>
        <w:tblStyle w:val="48"/>
        <w:tblW w:w="1398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417"/>
        <w:gridCol w:w="576"/>
        <w:gridCol w:w="1482"/>
        <w:gridCol w:w="2713"/>
        <w:gridCol w:w="1983"/>
        <w:gridCol w:w="805"/>
        <w:gridCol w:w="671"/>
        <w:gridCol w:w="937"/>
        <w:gridCol w:w="942"/>
        <w:gridCol w:w="1340"/>
        <w:gridCol w:w="21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Align w:val="center"/>
          </w:tcPr>
          <w:p>
            <w:pPr>
              <w:autoSpaceDE w:val="0"/>
              <w:autoSpaceDN w:val="0"/>
              <w:adjustRightInd w:val="0"/>
              <w:snapToGrid w:val="0"/>
              <w:spacing w:line="240" w:lineRule="auto"/>
              <w:ind w:firstLine="360"/>
              <w:jc w:val="center"/>
              <w:rPr>
                <w:snapToGrid w:val="0"/>
                <w:sz w:val="18"/>
                <w:szCs w:val="18"/>
                <w:highlight w:val="none"/>
              </w:rPr>
            </w:pPr>
            <w:bookmarkStart w:id="768" w:name="_Hlk8077101"/>
            <w:r>
              <w:rPr>
                <w:snapToGrid w:val="0"/>
                <w:sz w:val="18"/>
                <w:szCs w:val="18"/>
                <w:highlight w:val="none"/>
              </w:rPr>
              <w:t>污染源</w:t>
            </w:r>
          </w:p>
        </w:tc>
        <w:tc>
          <w:tcPr>
            <w:tcW w:w="4696" w:type="dxa"/>
            <w:gridSpan w:val="2"/>
            <w:vAlign w:val="center"/>
          </w:tcPr>
          <w:p>
            <w:pPr>
              <w:autoSpaceDE w:val="0"/>
              <w:autoSpaceDN w:val="0"/>
              <w:adjustRightInd w:val="0"/>
              <w:snapToGrid w:val="0"/>
              <w:spacing w:line="240" w:lineRule="auto"/>
              <w:ind w:firstLine="360"/>
              <w:jc w:val="center"/>
              <w:rPr>
                <w:snapToGrid w:val="0"/>
                <w:sz w:val="18"/>
                <w:szCs w:val="18"/>
                <w:highlight w:val="none"/>
              </w:rPr>
            </w:pPr>
            <w:r>
              <w:rPr>
                <w:snapToGrid w:val="0"/>
                <w:sz w:val="18"/>
                <w:szCs w:val="18"/>
                <w:highlight w:val="none"/>
              </w:rPr>
              <w:t>治理措施</w:t>
            </w:r>
          </w:p>
        </w:tc>
        <w:tc>
          <w:tcPr>
            <w:tcW w:w="805" w:type="dxa"/>
            <w:vAlign w:val="center"/>
          </w:tcPr>
          <w:p>
            <w:pPr>
              <w:autoSpaceDE w:val="0"/>
              <w:autoSpaceDN w:val="0"/>
              <w:adjustRightInd w:val="0"/>
              <w:snapToGrid w:val="0"/>
              <w:spacing w:line="240" w:lineRule="auto"/>
              <w:ind w:firstLine="0" w:firstLineChars="0"/>
              <w:rPr>
                <w:snapToGrid w:val="0"/>
                <w:sz w:val="18"/>
                <w:szCs w:val="18"/>
                <w:highlight w:val="none"/>
              </w:rPr>
            </w:pPr>
            <w:r>
              <w:rPr>
                <w:snapToGrid w:val="0"/>
                <w:sz w:val="18"/>
                <w:szCs w:val="18"/>
                <w:highlight w:val="none"/>
              </w:rPr>
              <w:t>治理对象</w:t>
            </w:r>
          </w:p>
        </w:tc>
        <w:tc>
          <w:tcPr>
            <w:tcW w:w="671" w:type="dxa"/>
            <w:vAlign w:val="center"/>
          </w:tcPr>
          <w:p>
            <w:pPr>
              <w:autoSpaceDE w:val="0"/>
              <w:autoSpaceDN w:val="0"/>
              <w:adjustRightInd w:val="0"/>
              <w:snapToGrid w:val="0"/>
              <w:spacing w:line="240" w:lineRule="auto"/>
              <w:ind w:firstLine="0" w:firstLineChars="0"/>
              <w:jc w:val="center"/>
              <w:rPr>
                <w:snapToGrid w:val="0"/>
                <w:sz w:val="18"/>
                <w:szCs w:val="18"/>
                <w:highlight w:val="none"/>
              </w:rPr>
            </w:pPr>
            <w:r>
              <w:rPr>
                <w:snapToGrid w:val="0"/>
                <w:sz w:val="18"/>
                <w:szCs w:val="18"/>
                <w:highlight w:val="none"/>
              </w:rPr>
              <w:t>数量</w:t>
            </w:r>
          </w:p>
        </w:tc>
        <w:tc>
          <w:tcPr>
            <w:tcW w:w="937" w:type="dxa"/>
            <w:vAlign w:val="center"/>
          </w:tcPr>
          <w:p>
            <w:pPr>
              <w:autoSpaceDE w:val="0"/>
              <w:autoSpaceDN w:val="0"/>
              <w:adjustRightInd w:val="0"/>
              <w:snapToGrid w:val="0"/>
              <w:spacing w:line="240" w:lineRule="auto"/>
              <w:ind w:firstLine="0" w:firstLineChars="0"/>
              <w:jc w:val="center"/>
              <w:rPr>
                <w:snapToGrid w:val="0"/>
                <w:sz w:val="18"/>
                <w:szCs w:val="18"/>
                <w:highlight w:val="none"/>
              </w:rPr>
            </w:pPr>
            <w:r>
              <w:rPr>
                <w:snapToGrid w:val="0"/>
                <w:sz w:val="18"/>
                <w:szCs w:val="18"/>
                <w:highlight w:val="none"/>
              </w:rPr>
              <w:t>处理能力</w:t>
            </w:r>
          </w:p>
        </w:tc>
        <w:tc>
          <w:tcPr>
            <w:tcW w:w="942" w:type="dxa"/>
            <w:vAlign w:val="center"/>
          </w:tcPr>
          <w:p>
            <w:pPr>
              <w:autoSpaceDE w:val="0"/>
              <w:autoSpaceDN w:val="0"/>
              <w:adjustRightInd w:val="0"/>
              <w:snapToGrid w:val="0"/>
              <w:spacing w:line="240" w:lineRule="auto"/>
              <w:ind w:firstLine="0" w:firstLineChars="0"/>
              <w:jc w:val="center"/>
              <w:rPr>
                <w:snapToGrid w:val="0"/>
                <w:sz w:val="18"/>
                <w:szCs w:val="18"/>
                <w:highlight w:val="none"/>
              </w:rPr>
            </w:pPr>
            <w:r>
              <w:rPr>
                <w:snapToGrid w:val="0"/>
                <w:sz w:val="18"/>
                <w:szCs w:val="18"/>
                <w:highlight w:val="none"/>
              </w:rPr>
              <w:t>处理效率</w:t>
            </w:r>
          </w:p>
        </w:tc>
        <w:tc>
          <w:tcPr>
            <w:tcW w:w="1340" w:type="dxa"/>
            <w:vAlign w:val="center"/>
          </w:tcPr>
          <w:p>
            <w:pPr>
              <w:autoSpaceDE w:val="0"/>
              <w:autoSpaceDN w:val="0"/>
              <w:adjustRightInd w:val="0"/>
              <w:snapToGrid w:val="0"/>
              <w:spacing w:line="240" w:lineRule="auto"/>
              <w:ind w:firstLineChars="111"/>
              <w:rPr>
                <w:snapToGrid w:val="0"/>
                <w:sz w:val="18"/>
                <w:szCs w:val="18"/>
                <w:highlight w:val="none"/>
              </w:rPr>
            </w:pPr>
            <w:r>
              <w:rPr>
                <w:snapToGrid w:val="0"/>
                <w:sz w:val="18"/>
                <w:szCs w:val="18"/>
                <w:highlight w:val="none"/>
              </w:rPr>
              <w:t>处理效果</w:t>
            </w:r>
          </w:p>
        </w:tc>
        <w:tc>
          <w:tcPr>
            <w:tcW w:w="2117" w:type="dxa"/>
            <w:vAlign w:val="center"/>
          </w:tcPr>
          <w:p>
            <w:pPr>
              <w:autoSpaceDE w:val="0"/>
              <w:autoSpaceDN w:val="0"/>
              <w:adjustRightInd w:val="0"/>
              <w:snapToGrid w:val="0"/>
              <w:spacing w:line="240" w:lineRule="auto"/>
              <w:ind w:firstLine="360"/>
              <w:jc w:val="center"/>
              <w:rPr>
                <w:snapToGrid w:val="0"/>
                <w:sz w:val="18"/>
                <w:szCs w:val="18"/>
                <w:highlight w:val="none"/>
              </w:rPr>
            </w:pPr>
            <w:r>
              <w:rPr>
                <w:snapToGrid w:val="0"/>
                <w:sz w:val="18"/>
                <w:szCs w:val="18"/>
                <w:highlight w:val="none"/>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restart"/>
            <w:vAlign w:val="center"/>
          </w:tcPr>
          <w:p>
            <w:pPr>
              <w:autoSpaceDE w:val="0"/>
              <w:autoSpaceDN w:val="0"/>
              <w:adjustRightInd w:val="0"/>
              <w:snapToGrid w:val="0"/>
              <w:spacing w:line="240" w:lineRule="auto"/>
              <w:ind w:firstLine="0" w:firstLineChars="0"/>
              <w:rPr>
                <w:snapToGrid w:val="0"/>
                <w:sz w:val="18"/>
                <w:szCs w:val="18"/>
                <w:highlight w:val="none"/>
              </w:rPr>
            </w:pPr>
            <w:r>
              <w:rPr>
                <w:rFonts w:hint="eastAsia"/>
                <w:snapToGrid w:val="0"/>
                <w:sz w:val="18"/>
                <w:szCs w:val="18"/>
                <w:highlight w:val="none"/>
              </w:rPr>
              <w:t>废气</w:t>
            </w:r>
          </w:p>
        </w:tc>
        <w:tc>
          <w:tcPr>
            <w:tcW w:w="576" w:type="dxa"/>
            <w:vMerge w:val="restart"/>
            <w:shd w:val="clear" w:color="auto" w:fill="auto"/>
            <w:vAlign w:val="center"/>
          </w:tcPr>
          <w:p>
            <w:pPr>
              <w:widowControl/>
              <w:autoSpaceDE w:val="0"/>
              <w:autoSpaceDN w:val="0"/>
              <w:adjustRightInd w:val="0"/>
              <w:snapToGrid w:val="0"/>
              <w:spacing w:line="240" w:lineRule="auto"/>
              <w:ind w:firstLine="0" w:firstLineChars="0"/>
              <w:jc w:val="center"/>
              <w:textAlignment w:val="auto"/>
              <w:rPr>
                <w:rFonts w:hint="eastAsia"/>
                <w:snapToGrid w:val="0"/>
                <w:sz w:val="18"/>
                <w:szCs w:val="18"/>
                <w:highlight w:val="none"/>
              </w:rPr>
            </w:pPr>
            <w:r>
              <w:rPr>
                <w:rFonts w:hint="eastAsia"/>
                <w:snapToGrid w:val="0"/>
                <w:sz w:val="18"/>
                <w:szCs w:val="18"/>
                <w:highlight w:val="none"/>
              </w:rPr>
              <w:t>破碎</w:t>
            </w:r>
          </w:p>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车间</w:t>
            </w: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颚破工序</w:t>
            </w:r>
          </w:p>
        </w:tc>
        <w:tc>
          <w:tcPr>
            <w:tcW w:w="2713" w:type="dxa"/>
            <w:vAlign w:val="center"/>
          </w:tcPr>
          <w:p>
            <w:pPr>
              <w:widowControl/>
              <w:adjustRightInd w:val="0"/>
              <w:snapToGrid w:val="0"/>
              <w:spacing w:line="240" w:lineRule="auto"/>
              <w:ind w:firstLine="0" w:firstLineChars="0"/>
              <w:jc w:val="both"/>
              <w:textAlignment w:val="auto"/>
              <w:rPr>
                <w:snapToGrid w:val="0"/>
                <w:sz w:val="18"/>
                <w:szCs w:val="18"/>
                <w:highlight w:val="none"/>
              </w:rPr>
            </w:pPr>
            <w:r>
              <w:rPr>
                <w:rFonts w:hint="eastAsia"/>
                <w:snapToGrid w:val="0"/>
                <w:sz w:val="18"/>
                <w:szCs w:val="18"/>
                <w:highlight w:val="none"/>
              </w:rPr>
              <w:t>入</w:t>
            </w:r>
            <w:r>
              <w:rPr>
                <w:snapToGrid w:val="0"/>
                <w:sz w:val="18"/>
                <w:szCs w:val="18"/>
                <w:highlight w:val="none"/>
              </w:rPr>
              <w:t>料口</w:t>
            </w:r>
            <w:r>
              <w:rPr>
                <w:rFonts w:hint="eastAsia"/>
                <w:snapToGrid w:val="0"/>
                <w:sz w:val="18"/>
                <w:szCs w:val="18"/>
                <w:highlight w:val="none"/>
              </w:rPr>
              <w:t>皮质软帘封闭；</w:t>
            </w:r>
            <w:r>
              <w:rPr>
                <w:snapToGrid w:val="0"/>
                <w:sz w:val="18"/>
                <w:szCs w:val="18"/>
                <w:highlight w:val="none"/>
              </w:rPr>
              <w:t>出料口设置集气罩+集尘管道</w:t>
            </w:r>
          </w:p>
        </w:tc>
        <w:tc>
          <w:tcPr>
            <w:tcW w:w="1983" w:type="dxa"/>
            <w:vMerge w:val="restart"/>
            <w:vAlign w:val="center"/>
          </w:tcPr>
          <w:p>
            <w:pPr>
              <w:autoSpaceDE w:val="0"/>
              <w:autoSpaceDN w:val="0"/>
              <w:adjustRightInd w:val="0"/>
              <w:snapToGrid w:val="0"/>
              <w:ind w:firstLine="0" w:firstLineChars="0"/>
              <w:jc w:val="center"/>
              <w:rPr>
                <w:snapToGrid w:val="0"/>
                <w:sz w:val="18"/>
                <w:szCs w:val="18"/>
                <w:highlight w:val="none"/>
              </w:rPr>
            </w:pPr>
            <w:r>
              <w:rPr>
                <w:snapToGrid w:val="0"/>
                <w:sz w:val="18"/>
                <w:szCs w:val="18"/>
                <w:highlight w:val="none"/>
              </w:rPr>
              <w:t>1套脉冲布袋除尘器+</w:t>
            </w:r>
            <w:r>
              <w:rPr>
                <w:rFonts w:hint="eastAsia"/>
                <w:snapToGrid w:val="0"/>
                <w:sz w:val="18"/>
                <w:szCs w:val="18"/>
                <w:highlight w:val="none"/>
              </w:rPr>
              <w:t>20m</w:t>
            </w:r>
            <w:r>
              <w:rPr>
                <w:snapToGrid w:val="0"/>
                <w:sz w:val="18"/>
                <w:szCs w:val="18"/>
                <w:highlight w:val="none"/>
              </w:rPr>
              <w:t>高排气筒</w:t>
            </w:r>
          </w:p>
        </w:tc>
        <w:tc>
          <w:tcPr>
            <w:tcW w:w="805" w:type="dxa"/>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颗粒物</w:t>
            </w:r>
          </w:p>
        </w:tc>
        <w:tc>
          <w:tcPr>
            <w:tcW w:w="671" w:type="dxa"/>
            <w:vMerge w:val="restart"/>
            <w:vAlign w:val="center"/>
          </w:tcPr>
          <w:p>
            <w:pPr>
              <w:autoSpaceDE w:val="0"/>
              <w:autoSpaceDN w:val="0"/>
              <w:adjustRightInd w:val="0"/>
              <w:snapToGrid w:val="0"/>
              <w:ind w:firstLineChars="111"/>
              <w:rPr>
                <w:snapToGrid w:val="0"/>
                <w:sz w:val="18"/>
                <w:szCs w:val="18"/>
                <w:highlight w:val="none"/>
              </w:rPr>
            </w:pPr>
            <w:r>
              <w:rPr>
                <w:rFonts w:hint="eastAsia"/>
                <w:snapToGrid w:val="0"/>
                <w:sz w:val="18"/>
                <w:szCs w:val="18"/>
                <w:highlight w:val="none"/>
              </w:rPr>
              <w:t>1套</w:t>
            </w:r>
          </w:p>
        </w:tc>
        <w:tc>
          <w:tcPr>
            <w:tcW w:w="937" w:type="dxa"/>
            <w:vMerge w:val="restart"/>
            <w:vAlign w:val="center"/>
          </w:tcPr>
          <w:p>
            <w:pPr>
              <w:autoSpaceDE w:val="0"/>
              <w:autoSpaceDN w:val="0"/>
              <w:adjustRightInd w:val="0"/>
              <w:snapToGrid w:val="0"/>
              <w:ind w:firstLine="0" w:firstLineChars="0"/>
              <w:rPr>
                <w:snapToGrid w:val="0"/>
                <w:sz w:val="18"/>
                <w:szCs w:val="18"/>
                <w:highlight w:val="none"/>
              </w:rPr>
            </w:pPr>
            <w:r>
              <w:rPr>
                <w:rFonts w:hint="eastAsia"/>
                <w:snapToGrid w:val="0"/>
                <w:sz w:val="18"/>
                <w:szCs w:val="18"/>
                <w:highlight w:val="none"/>
              </w:rPr>
              <w:t>40000m</w:t>
            </w:r>
            <w:r>
              <w:rPr>
                <w:rFonts w:hint="eastAsia"/>
                <w:snapToGrid w:val="0"/>
                <w:sz w:val="18"/>
                <w:szCs w:val="18"/>
                <w:highlight w:val="none"/>
                <w:vertAlign w:val="superscript"/>
              </w:rPr>
              <w:t>3</w:t>
            </w:r>
            <w:r>
              <w:rPr>
                <w:rFonts w:hint="eastAsia"/>
                <w:snapToGrid w:val="0"/>
                <w:sz w:val="18"/>
                <w:szCs w:val="18"/>
                <w:highlight w:val="none"/>
              </w:rPr>
              <w:t>/h</w:t>
            </w:r>
          </w:p>
        </w:tc>
        <w:tc>
          <w:tcPr>
            <w:tcW w:w="942" w:type="dxa"/>
            <w:vMerge w:val="restart"/>
            <w:vAlign w:val="center"/>
          </w:tcPr>
          <w:p>
            <w:pPr>
              <w:autoSpaceDE w:val="0"/>
              <w:autoSpaceDN w:val="0"/>
              <w:adjustRightInd w:val="0"/>
              <w:snapToGrid w:val="0"/>
              <w:ind w:firstLineChars="111"/>
              <w:rPr>
                <w:snapToGrid w:val="0"/>
                <w:sz w:val="18"/>
                <w:szCs w:val="18"/>
                <w:highlight w:val="none"/>
              </w:rPr>
            </w:pPr>
            <w:r>
              <w:rPr>
                <w:rFonts w:hint="eastAsia"/>
                <w:snapToGrid w:val="0"/>
                <w:sz w:val="18"/>
                <w:szCs w:val="18"/>
                <w:highlight w:val="none"/>
              </w:rPr>
              <w:t>99%</w:t>
            </w:r>
          </w:p>
        </w:tc>
        <w:tc>
          <w:tcPr>
            <w:tcW w:w="1340" w:type="dxa"/>
            <w:vMerge w:val="restart"/>
            <w:vAlign w:val="center"/>
          </w:tcPr>
          <w:p>
            <w:pPr>
              <w:autoSpaceDE w:val="0"/>
              <w:autoSpaceDN w:val="0"/>
              <w:adjustRightInd w:val="0"/>
              <w:snapToGrid w:val="0"/>
              <w:ind w:firstLineChars="111"/>
              <w:rPr>
                <w:snapToGrid w:val="0"/>
                <w:sz w:val="18"/>
                <w:szCs w:val="18"/>
                <w:highlight w:val="none"/>
              </w:rPr>
            </w:pPr>
            <w:r>
              <w:rPr>
                <w:rFonts w:hint="eastAsia"/>
                <w:snapToGrid w:val="0"/>
                <w:sz w:val="18"/>
                <w:szCs w:val="18"/>
                <w:highlight w:val="none"/>
              </w:rPr>
              <w:t>≤10</w:t>
            </w:r>
            <w:r>
              <w:rPr>
                <w:snapToGrid w:val="0"/>
                <w:sz w:val="18"/>
                <w:szCs w:val="18"/>
                <w:highlight w:val="none"/>
              </w:rPr>
              <w:t>mg/m</w:t>
            </w:r>
            <w:r>
              <w:rPr>
                <w:snapToGrid w:val="0"/>
                <w:sz w:val="18"/>
                <w:szCs w:val="18"/>
                <w:highlight w:val="none"/>
                <w:vertAlign w:val="superscript"/>
              </w:rPr>
              <w:t>3</w:t>
            </w:r>
          </w:p>
        </w:tc>
        <w:tc>
          <w:tcPr>
            <w:tcW w:w="2117" w:type="dxa"/>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r>
              <w:rPr>
                <w:rFonts w:hint="eastAsia"/>
                <w:snapToGrid w:val="0"/>
                <w:sz w:val="18"/>
                <w:szCs w:val="18"/>
                <w:highlight w:val="none"/>
              </w:rPr>
              <w:t>铁矿采选工业污染物</w:t>
            </w:r>
            <w:r>
              <w:rPr>
                <w:snapToGrid w:val="0"/>
                <w:sz w:val="18"/>
                <w:szCs w:val="18"/>
                <w:highlight w:val="none"/>
              </w:rPr>
              <w:t>排放标准》（GB</w:t>
            </w:r>
            <w:r>
              <w:rPr>
                <w:rFonts w:hint="eastAsia"/>
                <w:snapToGrid w:val="0"/>
                <w:sz w:val="18"/>
                <w:szCs w:val="18"/>
                <w:highlight w:val="none"/>
              </w:rPr>
              <w:t>28661</w:t>
            </w:r>
            <w:r>
              <w:rPr>
                <w:snapToGrid w:val="0"/>
                <w:sz w:val="18"/>
                <w:szCs w:val="18"/>
                <w:highlight w:val="none"/>
              </w:rPr>
              <w:t>-</w:t>
            </w:r>
            <w:r>
              <w:rPr>
                <w:rFonts w:hint="eastAsia"/>
                <w:snapToGrid w:val="0"/>
                <w:sz w:val="18"/>
                <w:szCs w:val="18"/>
                <w:highlight w:val="none"/>
              </w:rPr>
              <w:t>2012</w:t>
            </w:r>
            <w:r>
              <w:rPr>
                <w:snapToGrid w:val="0"/>
                <w:sz w:val="18"/>
                <w:szCs w:val="18"/>
                <w:highlight w:val="none"/>
              </w:rPr>
              <w:t>）</w:t>
            </w:r>
            <w:r>
              <w:rPr>
                <w:rFonts w:hint="eastAsia"/>
                <w:snapToGrid w:val="0"/>
                <w:sz w:val="18"/>
                <w:szCs w:val="18"/>
                <w:highlight w:val="none"/>
              </w:rPr>
              <w:t>表6中特别限值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vMerge w:val="continue"/>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lang w:val="en-US" w:eastAsia="zh-CN"/>
              </w:rPr>
              <w:t>圆锥</w:t>
            </w:r>
            <w:r>
              <w:rPr>
                <w:rFonts w:hint="eastAsia"/>
                <w:snapToGrid w:val="0"/>
                <w:sz w:val="18"/>
                <w:szCs w:val="18"/>
                <w:highlight w:val="none"/>
              </w:rPr>
              <w:t>破工序</w:t>
            </w:r>
          </w:p>
        </w:tc>
        <w:tc>
          <w:tcPr>
            <w:tcW w:w="2713" w:type="dxa"/>
            <w:vAlign w:val="center"/>
          </w:tcPr>
          <w:p>
            <w:pPr>
              <w:widowControl/>
              <w:adjustRightInd w:val="0"/>
              <w:snapToGrid w:val="0"/>
              <w:spacing w:line="240" w:lineRule="auto"/>
              <w:ind w:firstLine="0" w:firstLineChars="0"/>
              <w:jc w:val="both"/>
              <w:textAlignment w:val="auto"/>
              <w:rPr>
                <w:snapToGrid w:val="0"/>
                <w:sz w:val="18"/>
                <w:szCs w:val="18"/>
                <w:highlight w:val="none"/>
              </w:rPr>
            </w:pPr>
            <w:r>
              <w:rPr>
                <w:snapToGrid w:val="0"/>
                <w:sz w:val="18"/>
                <w:szCs w:val="18"/>
                <w:highlight w:val="none"/>
              </w:rPr>
              <w:t>入料口上方设置集气罩+集尘管道</w:t>
            </w:r>
            <w:r>
              <w:rPr>
                <w:rFonts w:hint="eastAsia"/>
                <w:snapToGrid w:val="0"/>
                <w:sz w:val="18"/>
                <w:szCs w:val="18"/>
                <w:highlight w:val="none"/>
              </w:rPr>
              <w:t>；</w:t>
            </w:r>
            <w:r>
              <w:rPr>
                <w:snapToGrid w:val="0"/>
                <w:sz w:val="18"/>
                <w:szCs w:val="18"/>
                <w:highlight w:val="none"/>
              </w:rPr>
              <w:t>出料口设置集气罩+集尘管道</w:t>
            </w:r>
          </w:p>
        </w:tc>
        <w:tc>
          <w:tcPr>
            <w:tcW w:w="1983"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3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42"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vMerge w:val="continue"/>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筛分</w:t>
            </w:r>
          </w:p>
        </w:tc>
        <w:tc>
          <w:tcPr>
            <w:tcW w:w="2713" w:type="dxa"/>
            <w:vAlign w:val="center"/>
          </w:tcPr>
          <w:p>
            <w:pPr>
              <w:widowControl/>
              <w:adjustRightInd w:val="0"/>
              <w:snapToGrid w:val="0"/>
              <w:spacing w:line="240" w:lineRule="auto"/>
              <w:ind w:firstLine="0" w:firstLineChars="0"/>
              <w:jc w:val="both"/>
              <w:textAlignment w:val="auto"/>
              <w:rPr>
                <w:snapToGrid w:val="0"/>
                <w:sz w:val="18"/>
                <w:szCs w:val="18"/>
                <w:highlight w:val="none"/>
              </w:rPr>
            </w:pPr>
            <w:r>
              <w:rPr>
                <w:rFonts w:hint="eastAsia"/>
                <w:snapToGrid w:val="0"/>
                <w:sz w:val="18"/>
                <w:szCs w:val="18"/>
                <w:highlight w:val="none"/>
              </w:rPr>
              <w:t>入料口</w:t>
            </w:r>
            <w:r>
              <w:rPr>
                <w:snapToGrid w:val="0"/>
                <w:sz w:val="18"/>
                <w:szCs w:val="18"/>
                <w:highlight w:val="none"/>
              </w:rPr>
              <w:t>设置集气罩</w:t>
            </w:r>
            <w:r>
              <w:rPr>
                <w:rFonts w:hint="eastAsia"/>
                <w:snapToGrid w:val="0"/>
                <w:sz w:val="18"/>
                <w:szCs w:val="18"/>
                <w:highlight w:val="none"/>
              </w:rPr>
              <w:t>、筛面封闭+集尘管道；出料口设置集气罩+集尘管道</w:t>
            </w:r>
          </w:p>
        </w:tc>
        <w:tc>
          <w:tcPr>
            <w:tcW w:w="1983" w:type="dxa"/>
            <w:vMerge w:val="continue"/>
            <w:tcBorders>
              <w:bottom w:val="single" w:color="auto" w:sz="2" w:space="0"/>
            </w:tcBorders>
            <w:vAlign w:val="center"/>
          </w:tcPr>
          <w:p>
            <w:pPr>
              <w:widowControl/>
              <w:adjustRightInd w:val="0"/>
              <w:snapToGrid w:val="0"/>
              <w:spacing w:line="240" w:lineRule="auto"/>
              <w:ind w:firstLine="0" w:firstLineChars="0"/>
              <w:jc w:val="both"/>
              <w:textAlignment w:val="auto"/>
              <w:rPr>
                <w:snapToGrid w:val="0"/>
                <w:sz w:val="18"/>
                <w:szCs w:val="18"/>
                <w:highlight w:val="none"/>
              </w:rPr>
            </w:pP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Merge w:val="continue"/>
            <w:tcBorders>
              <w:bottom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37" w:type="dxa"/>
            <w:vMerge w:val="continue"/>
            <w:tcBorders>
              <w:bottom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42" w:type="dxa"/>
            <w:vMerge w:val="continue"/>
            <w:tcBorders>
              <w:bottom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340" w:type="dxa"/>
            <w:vMerge w:val="continue"/>
            <w:tcBorders>
              <w:bottom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vMerge w:val="continue"/>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中转料仓</w:t>
            </w:r>
          </w:p>
        </w:tc>
        <w:tc>
          <w:tcPr>
            <w:tcW w:w="2713" w:type="dxa"/>
            <w:vAlign w:val="center"/>
          </w:tcPr>
          <w:p>
            <w:pPr>
              <w:widowControl/>
              <w:adjustRightInd w:val="0"/>
              <w:snapToGrid w:val="0"/>
              <w:spacing w:line="240" w:lineRule="auto"/>
              <w:ind w:firstLine="0" w:firstLineChars="0"/>
              <w:jc w:val="both"/>
              <w:textAlignment w:val="auto"/>
              <w:rPr>
                <w:snapToGrid w:val="0"/>
                <w:sz w:val="18"/>
                <w:szCs w:val="18"/>
                <w:highlight w:val="none"/>
              </w:rPr>
            </w:pPr>
            <w:r>
              <w:rPr>
                <w:rFonts w:hint="eastAsia"/>
                <w:snapToGrid w:val="0"/>
                <w:sz w:val="18"/>
                <w:szCs w:val="18"/>
                <w:highlight w:val="none"/>
              </w:rPr>
              <w:t>入料口、出料口设集气罩</w:t>
            </w:r>
          </w:p>
        </w:tc>
        <w:tc>
          <w:tcPr>
            <w:tcW w:w="1983" w:type="dxa"/>
            <w:vMerge w:val="continue"/>
            <w:tcBorders>
              <w:bottom w:val="single" w:color="auto" w:sz="4" w:space="0"/>
            </w:tcBorders>
            <w:vAlign w:val="center"/>
          </w:tcPr>
          <w:p>
            <w:pPr>
              <w:widowControl/>
              <w:adjustRightInd w:val="0"/>
              <w:snapToGrid w:val="0"/>
              <w:spacing w:line="240" w:lineRule="auto"/>
              <w:ind w:firstLine="0" w:firstLineChars="0"/>
              <w:jc w:val="both"/>
              <w:textAlignment w:val="auto"/>
              <w:rPr>
                <w:snapToGrid w:val="0"/>
                <w:sz w:val="18"/>
                <w:szCs w:val="18"/>
                <w:highlight w:val="none"/>
              </w:rPr>
            </w:pP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Merge w:val="continue"/>
            <w:tcBorders>
              <w:bottom w:val="single" w:color="auto" w:sz="4"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37" w:type="dxa"/>
            <w:vMerge w:val="continue"/>
            <w:tcBorders>
              <w:bottom w:val="single" w:color="auto" w:sz="4"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42" w:type="dxa"/>
            <w:vMerge w:val="continue"/>
            <w:tcBorders>
              <w:bottom w:val="single" w:color="auto" w:sz="4"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340" w:type="dxa"/>
            <w:vMerge w:val="continue"/>
            <w:tcBorders>
              <w:bottom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破碎</w:t>
            </w:r>
          </w:p>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车间</w:t>
            </w: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破碎粉尘集尘过程逸散</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破碎车间封闭</w:t>
            </w:r>
            <w:r>
              <w:rPr>
                <w:snapToGrid w:val="0"/>
                <w:sz w:val="18"/>
                <w:szCs w:val="18"/>
                <w:highlight w:val="none"/>
              </w:rPr>
              <w:t>+喷雾抑尘</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98%</w:t>
            </w:r>
          </w:p>
        </w:tc>
        <w:tc>
          <w:tcPr>
            <w:tcW w:w="1340" w:type="dxa"/>
            <w:vMerge w:val="restart"/>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z w:val="18"/>
                <w:szCs w:val="18"/>
                <w:highlight w:val="none"/>
              </w:rPr>
            </w:pPr>
            <w:r>
              <w:rPr>
                <w:rFonts w:hint="eastAsia"/>
                <w:sz w:val="18"/>
                <w:szCs w:val="18"/>
                <w:highlight w:val="none"/>
              </w:rPr>
              <w:t>厂界无组织监控点浓度</w:t>
            </w:r>
          </w:p>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z w:val="18"/>
                <w:szCs w:val="18"/>
                <w:highlight w:val="none"/>
              </w:rPr>
              <w:t>≤1.0</w:t>
            </w:r>
            <w:r>
              <w:rPr>
                <w:snapToGrid w:val="0"/>
                <w:sz w:val="18"/>
                <w:szCs w:val="18"/>
                <w:highlight w:val="none"/>
              </w:rPr>
              <w:t>mg/m</w:t>
            </w:r>
            <w:r>
              <w:rPr>
                <w:snapToGrid w:val="0"/>
                <w:sz w:val="18"/>
                <w:szCs w:val="18"/>
                <w:highlight w:val="none"/>
                <w:vertAlign w:val="superscript"/>
              </w:rPr>
              <w:t>3</w:t>
            </w:r>
          </w:p>
        </w:tc>
        <w:tc>
          <w:tcPr>
            <w:tcW w:w="2117" w:type="dxa"/>
            <w:vMerge w:val="restart"/>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hAnsi="宋体"/>
                <w:sz w:val="18"/>
                <w:szCs w:val="18"/>
                <w:highlight w:val="none"/>
              </w:rPr>
              <w:t>铁矿采选工业污染物</w:t>
            </w:r>
            <w:r>
              <w:rPr>
                <w:rFonts w:hAnsi="宋体"/>
                <w:sz w:val="18"/>
                <w:szCs w:val="18"/>
                <w:highlight w:val="none"/>
              </w:rPr>
              <w:t>排放标准》（</w:t>
            </w:r>
            <w:r>
              <w:rPr>
                <w:sz w:val="18"/>
                <w:szCs w:val="18"/>
                <w:highlight w:val="none"/>
              </w:rPr>
              <w:t>GB</w:t>
            </w:r>
            <w:r>
              <w:rPr>
                <w:rFonts w:hint="eastAsia"/>
                <w:sz w:val="18"/>
                <w:szCs w:val="18"/>
                <w:highlight w:val="none"/>
              </w:rPr>
              <w:t>28661</w:t>
            </w:r>
            <w:r>
              <w:rPr>
                <w:sz w:val="18"/>
                <w:szCs w:val="18"/>
                <w:highlight w:val="none"/>
              </w:rPr>
              <w:t>-</w:t>
            </w:r>
            <w:r>
              <w:rPr>
                <w:rFonts w:hint="eastAsia"/>
                <w:sz w:val="18"/>
                <w:szCs w:val="18"/>
                <w:highlight w:val="none"/>
              </w:rPr>
              <w:t>2012</w:t>
            </w:r>
            <w:r>
              <w:rPr>
                <w:rFonts w:hAnsi="宋体"/>
                <w:sz w:val="18"/>
                <w:szCs w:val="18"/>
                <w:highlight w:val="none"/>
              </w:rPr>
              <w:t>）</w:t>
            </w:r>
            <w:r>
              <w:rPr>
                <w:rFonts w:hint="eastAsia" w:hAnsi="宋体"/>
                <w:sz w:val="18"/>
                <w:szCs w:val="18"/>
                <w:highlight w:val="none"/>
              </w:rPr>
              <w:t>表7中无组织排放浓度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rFonts w:hint="eastAsia" w:eastAsia="宋体"/>
                <w:snapToGrid w:val="0"/>
                <w:sz w:val="18"/>
                <w:szCs w:val="18"/>
                <w:highlight w:val="none"/>
                <w:lang w:eastAsia="zh-CN"/>
              </w:rPr>
            </w:pPr>
            <w:r>
              <w:rPr>
                <w:rFonts w:hint="eastAsia"/>
                <w:snapToGrid w:val="0"/>
                <w:sz w:val="18"/>
                <w:szCs w:val="18"/>
                <w:highlight w:val="none"/>
              </w:rPr>
              <w:t>原料</w:t>
            </w:r>
            <w:r>
              <w:rPr>
                <w:rFonts w:hint="eastAsia"/>
                <w:snapToGrid w:val="0"/>
                <w:sz w:val="18"/>
                <w:szCs w:val="18"/>
                <w:highlight w:val="none"/>
                <w:lang w:val="en-US" w:eastAsia="zh-CN"/>
              </w:rPr>
              <w:t>棚</w:t>
            </w: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原料</w:t>
            </w:r>
            <w:r>
              <w:rPr>
                <w:rFonts w:hint="eastAsia"/>
                <w:snapToGrid w:val="0"/>
                <w:sz w:val="18"/>
                <w:szCs w:val="18"/>
                <w:highlight w:val="none"/>
              </w:rPr>
              <w:t>卸车过程</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lang w:val="en-US" w:eastAsia="zh-CN"/>
              </w:rPr>
              <w:t>三面围挡带顶</w:t>
            </w:r>
            <w:r>
              <w:rPr>
                <w:rFonts w:hint="eastAsia"/>
                <w:snapToGrid w:val="0"/>
                <w:sz w:val="18"/>
                <w:szCs w:val="18"/>
                <w:highlight w:val="none"/>
              </w:rPr>
              <w:t>，</w:t>
            </w:r>
            <w:r>
              <w:rPr>
                <w:rFonts w:hint="eastAsia"/>
                <w:snapToGrid w:val="0"/>
                <w:sz w:val="18"/>
                <w:szCs w:val="18"/>
                <w:highlight w:val="none"/>
                <w:lang w:val="en-US" w:eastAsia="zh-CN"/>
              </w:rPr>
              <w:t>进深不小于8米</w:t>
            </w:r>
            <w:r>
              <w:rPr>
                <w:rFonts w:hint="eastAsia"/>
                <w:snapToGrid w:val="0"/>
                <w:sz w:val="18"/>
                <w:szCs w:val="18"/>
                <w:highlight w:val="none"/>
              </w:rPr>
              <w:t>，</w:t>
            </w:r>
            <w:r>
              <w:rPr>
                <w:rFonts w:hint="eastAsia"/>
                <w:snapToGrid w:val="0"/>
                <w:sz w:val="18"/>
                <w:szCs w:val="18"/>
                <w:highlight w:val="none"/>
                <w:lang w:val="en-US" w:eastAsia="zh-CN"/>
              </w:rPr>
              <w:t>受料仓设喷雾抑尘装置</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95</w:t>
            </w:r>
            <w:r>
              <w:rPr>
                <w:snapToGrid w:val="0"/>
                <w:sz w:val="18"/>
                <w:szCs w:val="18"/>
                <w:highlight w:val="none"/>
              </w:rPr>
              <w:t>%</w:t>
            </w:r>
          </w:p>
        </w:tc>
        <w:tc>
          <w:tcPr>
            <w:tcW w:w="1340"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z w:val="18"/>
                <w:szCs w:val="18"/>
                <w:highlight w:val="none"/>
              </w:rPr>
            </w:pPr>
          </w:p>
        </w:tc>
        <w:tc>
          <w:tcPr>
            <w:tcW w:w="2117"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rFonts w:hAnsi="宋体"/>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成品库</w:t>
            </w: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成品装车、储存、转运过程</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精粉库封闭</w:t>
            </w:r>
            <w:r>
              <w:rPr>
                <w:snapToGrid w:val="0"/>
                <w:sz w:val="18"/>
                <w:szCs w:val="18"/>
                <w:highlight w:val="none"/>
              </w:rPr>
              <w:t>+喷雾抑尘</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95%</w:t>
            </w:r>
          </w:p>
        </w:tc>
        <w:tc>
          <w:tcPr>
            <w:tcW w:w="1340"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z w:val="18"/>
                <w:szCs w:val="18"/>
                <w:highlight w:val="none"/>
              </w:rPr>
            </w:pPr>
          </w:p>
        </w:tc>
        <w:tc>
          <w:tcPr>
            <w:tcW w:w="2117"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rFonts w:hAnsi="宋体"/>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转运皮带</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物料转运封闭通廊</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1340"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z w:val="18"/>
                <w:szCs w:val="18"/>
                <w:highlight w:val="none"/>
              </w:rPr>
            </w:pPr>
          </w:p>
        </w:tc>
        <w:tc>
          <w:tcPr>
            <w:tcW w:w="2117"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rFonts w:hAnsi="宋体"/>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运输车辆</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精粉库及厂区门口设置车辆清洗装置</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Align w:val="center"/>
          </w:tcPr>
          <w:p>
            <w:pPr>
              <w:autoSpaceDE w:val="0"/>
              <w:autoSpaceDN w:val="0"/>
              <w:adjustRightInd w:val="0"/>
              <w:snapToGrid w:val="0"/>
              <w:spacing w:line="240" w:lineRule="auto"/>
              <w:ind w:firstLine="0" w:firstLineChars="0"/>
              <w:rPr>
                <w:snapToGrid w:val="0"/>
                <w:sz w:val="18"/>
                <w:szCs w:val="18"/>
                <w:highlight w:val="none"/>
              </w:rPr>
            </w:pPr>
            <w:r>
              <w:rPr>
                <w:rFonts w:hint="eastAsia"/>
                <w:snapToGrid w:val="0"/>
                <w:sz w:val="18"/>
                <w:szCs w:val="18"/>
                <w:highlight w:val="none"/>
              </w:rPr>
              <w:t>废水</w:t>
            </w:r>
          </w:p>
        </w:tc>
        <w:tc>
          <w:tcPr>
            <w:tcW w:w="2058" w:type="dxa"/>
            <w:gridSpan w:val="2"/>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lang w:val="en-US" w:eastAsia="zh-CN"/>
              </w:rPr>
              <w:t>振动筛湿式作业</w:t>
            </w:r>
            <w:r>
              <w:rPr>
                <w:rFonts w:hint="eastAsia"/>
                <w:snapToGrid w:val="0"/>
                <w:sz w:val="18"/>
                <w:szCs w:val="18"/>
                <w:highlight w:val="none"/>
              </w:rPr>
              <w:t>废水</w:t>
            </w:r>
          </w:p>
        </w:tc>
        <w:tc>
          <w:tcPr>
            <w:tcW w:w="4696" w:type="dxa"/>
            <w:gridSpan w:val="2"/>
            <w:shd w:val="clear" w:color="auto" w:fill="auto"/>
            <w:vAlign w:val="center"/>
          </w:tcPr>
          <w:p>
            <w:pPr>
              <w:spacing w:line="240" w:lineRule="auto"/>
              <w:ind w:firstLine="0" w:firstLineChars="0"/>
              <w:rPr>
                <w:rFonts w:ascii="Times New Roman" w:hAnsi="Times New Roman" w:eastAsia="宋体" w:cs="Times New Roman"/>
                <w:bCs/>
                <w:sz w:val="21"/>
                <w:szCs w:val="21"/>
                <w:highlight w:val="none"/>
                <w:lang w:val="en-US" w:eastAsia="zh-CN" w:bidi="ar-SA"/>
              </w:rPr>
            </w:pPr>
            <w:r>
              <w:rPr>
                <w:rFonts w:hint="eastAsia"/>
                <w:sz w:val="21"/>
                <w:szCs w:val="21"/>
                <w:highlight w:val="none"/>
                <w:lang w:val="en-US" w:eastAsia="zh-CN"/>
              </w:rPr>
              <w:t>泵入浓缩罐通过管道自流至北厂区干排系统处理后回用于球磨磁选工序、不外排</w:t>
            </w:r>
          </w:p>
        </w:tc>
        <w:tc>
          <w:tcPr>
            <w:tcW w:w="805"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SS</w:t>
            </w:r>
          </w:p>
        </w:tc>
        <w:tc>
          <w:tcPr>
            <w:tcW w:w="1608"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rFonts w:hint="eastAsia"/>
                <w:snapToGrid w:val="0"/>
                <w:sz w:val="18"/>
                <w:szCs w:val="18"/>
                <w:highlight w:val="none"/>
                <w:lang w:val="en-US" w:eastAsia="zh-CN"/>
              </w:rPr>
            </w:pPr>
            <w:r>
              <w:rPr>
                <w:rFonts w:hint="eastAsia"/>
                <w:snapToGrid w:val="0"/>
                <w:sz w:val="18"/>
                <w:szCs w:val="18"/>
                <w:highlight w:val="none"/>
                <w:lang w:val="en-US" w:eastAsia="zh-CN"/>
              </w:rPr>
              <w:t>依托北厂区现有</w:t>
            </w:r>
          </w:p>
          <w:p>
            <w:pPr>
              <w:widowControl/>
              <w:autoSpaceDE w:val="0"/>
              <w:autoSpaceDN w:val="0"/>
              <w:adjustRightInd w:val="0"/>
              <w:snapToGrid w:val="0"/>
              <w:spacing w:line="240" w:lineRule="auto"/>
              <w:ind w:firstLine="0" w:firstLineChars="0"/>
              <w:jc w:val="center"/>
              <w:textAlignment w:val="auto"/>
              <w:rPr>
                <w:rFonts w:hint="default" w:eastAsia="宋体"/>
                <w:snapToGrid w:val="0"/>
                <w:sz w:val="18"/>
                <w:szCs w:val="18"/>
                <w:highlight w:val="none"/>
                <w:lang w:val="en-US" w:eastAsia="zh-CN"/>
              </w:rPr>
            </w:pPr>
            <w:r>
              <w:rPr>
                <w:rFonts w:hint="eastAsia"/>
                <w:snapToGrid w:val="0"/>
                <w:sz w:val="18"/>
                <w:szCs w:val="18"/>
                <w:highlight w:val="none"/>
                <w:lang w:val="en-US" w:eastAsia="zh-CN"/>
              </w:rPr>
              <w:t>干排设施</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1340"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全部循环利用，不外排</w:t>
            </w:r>
          </w:p>
        </w:tc>
        <w:tc>
          <w:tcPr>
            <w:tcW w:w="2117" w:type="dxa"/>
            <w:vAlign w:val="center"/>
          </w:tcPr>
          <w:p>
            <w:pPr>
              <w:autoSpaceDE w:val="0"/>
              <w:autoSpaceDN w:val="0"/>
              <w:adjustRightInd w:val="0"/>
              <w:snapToGrid w:val="0"/>
              <w:ind w:firstLine="360"/>
              <w:jc w:val="center"/>
              <w:rPr>
                <w:snapToGrid w:val="0"/>
                <w:sz w:val="18"/>
                <w:szCs w:val="18"/>
                <w:highlight w:val="none"/>
              </w:rPr>
            </w:pPr>
            <w:r>
              <w:rPr>
                <w:rFonts w:hint="eastAsia"/>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Align w:val="center"/>
          </w:tcPr>
          <w:p>
            <w:pPr>
              <w:autoSpaceDE w:val="0"/>
              <w:autoSpaceDN w:val="0"/>
              <w:adjustRightInd w:val="0"/>
              <w:snapToGrid w:val="0"/>
              <w:spacing w:line="240" w:lineRule="auto"/>
              <w:ind w:firstLine="0" w:firstLineChars="0"/>
              <w:rPr>
                <w:snapToGrid w:val="0"/>
                <w:sz w:val="18"/>
                <w:szCs w:val="18"/>
                <w:highlight w:val="none"/>
              </w:rPr>
            </w:pPr>
            <w:r>
              <w:rPr>
                <w:snapToGrid w:val="0"/>
                <w:sz w:val="18"/>
                <w:szCs w:val="18"/>
                <w:highlight w:val="none"/>
              </w:rPr>
              <w:t>噪声</w:t>
            </w:r>
          </w:p>
        </w:tc>
        <w:tc>
          <w:tcPr>
            <w:tcW w:w="2058" w:type="dxa"/>
            <w:gridSpan w:val="2"/>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颚式破碎机、</w:t>
            </w:r>
            <w:r>
              <w:rPr>
                <w:rFonts w:hint="eastAsia"/>
                <w:snapToGrid w:val="0"/>
                <w:sz w:val="18"/>
                <w:szCs w:val="18"/>
                <w:highlight w:val="none"/>
                <w:lang w:val="en-US" w:eastAsia="zh-CN"/>
              </w:rPr>
              <w:t>圆锥</w:t>
            </w:r>
            <w:r>
              <w:rPr>
                <w:rFonts w:hint="eastAsia"/>
                <w:snapToGrid w:val="0"/>
                <w:sz w:val="18"/>
                <w:szCs w:val="18"/>
                <w:highlight w:val="none"/>
              </w:rPr>
              <w:t>破碎机、皮带输送机、</w:t>
            </w:r>
            <w:r>
              <w:rPr>
                <w:rFonts w:hint="eastAsia"/>
                <w:snapToGrid w:val="0"/>
                <w:sz w:val="18"/>
                <w:szCs w:val="18"/>
                <w:highlight w:val="none"/>
                <w:lang w:val="en-US" w:eastAsia="zh-CN"/>
              </w:rPr>
              <w:t>振动筛</w:t>
            </w:r>
            <w:r>
              <w:rPr>
                <w:rFonts w:hint="eastAsia"/>
                <w:snapToGrid w:val="0"/>
                <w:sz w:val="18"/>
                <w:szCs w:val="18"/>
                <w:highlight w:val="none"/>
              </w:rPr>
              <w:t>、磁选机、泵类、风机等</w:t>
            </w:r>
          </w:p>
        </w:tc>
        <w:tc>
          <w:tcPr>
            <w:tcW w:w="4696" w:type="dxa"/>
            <w:gridSpan w:val="2"/>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各设备置于封闭车间内，</w:t>
            </w:r>
            <w:r>
              <w:rPr>
                <w:snapToGrid w:val="0"/>
                <w:sz w:val="18"/>
                <w:szCs w:val="18"/>
                <w:highlight w:val="none"/>
              </w:rPr>
              <w:t>基础减震</w:t>
            </w:r>
            <w:r>
              <w:rPr>
                <w:rFonts w:hint="eastAsia"/>
                <w:snapToGrid w:val="0"/>
                <w:sz w:val="18"/>
                <w:szCs w:val="18"/>
                <w:highlight w:val="none"/>
              </w:rPr>
              <w:t>，泵类设置软连接，风机加装隔声罩等</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噪声</w:t>
            </w:r>
          </w:p>
        </w:tc>
        <w:tc>
          <w:tcPr>
            <w:tcW w:w="671"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综合降噪</w:t>
            </w:r>
            <w:r>
              <w:rPr>
                <w:rFonts w:hint="eastAsia"/>
                <w:snapToGrid w:val="0"/>
                <w:sz w:val="18"/>
                <w:szCs w:val="18"/>
                <w:highlight w:val="none"/>
              </w:rPr>
              <w:t>30</w:t>
            </w:r>
            <w:r>
              <w:rPr>
                <w:snapToGrid w:val="0"/>
                <w:sz w:val="18"/>
                <w:szCs w:val="18"/>
                <w:highlight w:val="none"/>
              </w:rPr>
              <w:t>dB(A)</w:t>
            </w:r>
            <w:r>
              <w:rPr>
                <w:rFonts w:hint="eastAsia"/>
                <w:snapToGrid w:val="0"/>
                <w:sz w:val="18"/>
                <w:szCs w:val="18"/>
                <w:highlight w:val="none"/>
              </w:rPr>
              <w:t>以上</w:t>
            </w:r>
          </w:p>
        </w:tc>
        <w:tc>
          <w:tcPr>
            <w:tcW w:w="1340"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低于50</w:t>
            </w:r>
            <w:r>
              <w:rPr>
                <w:snapToGrid w:val="0"/>
                <w:sz w:val="18"/>
                <w:szCs w:val="18"/>
                <w:highlight w:val="none"/>
              </w:rPr>
              <w:t xml:space="preserve"> dB(A)</w:t>
            </w:r>
          </w:p>
        </w:tc>
        <w:tc>
          <w:tcPr>
            <w:tcW w:w="211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《工业企业厂界环境噪声排放标准》（GB12348- 2008）</w:t>
            </w:r>
            <w:r>
              <w:rPr>
                <w:rFonts w:hint="eastAsia"/>
                <w:snapToGrid w:val="0"/>
                <w:sz w:val="18"/>
                <w:szCs w:val="18"/>
                <w:highlight w:val="none"/>
              </w:rPr>
              <w:t>2</w:t>
            </w:r>
            <w:r>
              <w:rPr>
                <w:snapToGrid w:val="0"/>
                <w:sz w:val="18"/>
                <w:szCs w:val="18"/>
                <w:highlight w:val="none"/>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restart"/>
            <w:vAlign w:val="center"/>
          </w:tcPr>
          <w:p>
            <w:pPr>
              <w:autoSpaceDE w:val="0"/>
              <w:autoSpaceDN w:val="0"/>
              <w:adjustRightInd w:val="0"/>
              <w:snapToGrid w:val="0"/>
              <w:spacing w:line="240" w:lineRule="auto"/>
              <w:ind w:firstLine="0" w:firstLineChars="0"/>
              <w:rPr>
                <w:snapToGrid w:val="0"/>
                <w:sz w:val="18"/>
                <w:szCs w:val="18"/>
                <w:highlight w:val="none"/>
              </w:rPr>
            </w:pPr>
            <w:r>
              <w:rPr>
                <w:snapToGrid w:val="0"/>
                <w:sz w:val="18"/>
                <w:szCs w:val="18"/>
                <w:highlight w:val="none"/>
              </w:rPr>
              <w:t>固废</w:t>
            </w:r>
          </w:p>
        </w:tc>
        <w:tc>
          <w:tcPr>
            <w:tcW w:w="2058" w:type="dxa"/>
            <w:gridSpan w:val="2"/>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除尘器收尘</w:t>
            </w: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返回球磨系统</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除尘灰</w:t>
            </w:r>
          </w:p>
        </w:tc>
        <w:tc>
          <w:tcPr>
            <w:tcW w:w="671"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restart"/>
            <w:vAlign w:val="center"/>
          </w:tcPr>
          <w:p>
            <w:pPr>
              <w:widowControl/>
              <w:autoSpaceDE w:val="0"/>
              <w:autoSpaceDN w:val="0"/>
              <w:adjustRightInd w:val="0"/>
              <w:snapToGrid w:val="0"/>
              <w:spacing w:line="240" w:lineRule="auto"/>
              <w:ind w:firstLine="0" w:firstLineChars="0"/>
              <w:jc w:val="center"/>
              <w:textAlignment w:val="auto"/>
              <w:rPr>
                <w:rFonts w:hint="eastAsia"/>
                <w:snapToGrid w:val="0"/>
                <w:sz w:val="18"/>
                <w:szCs w:val="18"/>
                <w:highlight w:val="none"/>
                <w:lang w:val="en-US" w:eastAsia="zh-CN"/>
              </w:rPr>
            </w:pPr>
            <w:r>
              <w:rPr>
                <w:rFonts w:hint="eastAsia"/>
                <w:snapToGrid w:val="0"/>
                <w:sz w:val="18"/>
                <w:szCs w:val="18"/>
                <w:highlight w:val="none"/>
                <w:lang w:val="en-US" w:eastAsia="zh-CN"/>
              </w:rPr>
              <w:t>全部得到妥善</w:t>
            </w:r>
          </w:p>
          <w:p>
            <w:pPr>
              <w:widowControl/>
              <w:autoSpaceDE w:val="0"/>
              <w:autoSpaceDN w:val="0"/>
              <w:adjustRightInd w:val="0"/>
              <w:snapToGrid w:val="0"/>
              <w:spacing w:line="240" w:lineRule="auto"/>
              <w:ind w:firstLine="0" w:firstLineChars="0"/>
              <w:jc w:val="center"/>
              <w:textAlignment w:val="auto"/>
              <w:rPr>
                <w:rFonts w:hint="default" w:eastAsia="宋体"/>
                <w:snapToGrid w:val="0"/>
                <w:sz w:val="18"/>
                <w:szCs w:val="18"/>
                <w:highlight w:val="none"/>
                <w:lang w:val="en-US" w:eastAsia="zh-CN"/>
              </w:rPr>
            </w:pPr>
            <w:r>
              <w:rPr>
                <w:rFonts w:hint="eastAsia"/>
                <w:snapToGrid w:val="0"/>
                <w:sz w:val="18"/>
                <w:szCs w:val="18"/>
                <w:highlight w:val="none"/>
                <w:lang w:val="en-US" w:eastAsia="zh-CN"/>
              </w:rPr>
              <w:t>处置</w:t>
            </w:r>
          </w:p>
        </w:tc>
        <w:tc>
          <w:tcPr>
            <w:tcW w:w="2117"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生产过程</w:t>
            </w: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综合利用</w:t>
            </w:r>
          </w:p>
        </w:tc>
        <w:tc>
          <w:tcPr>
            <w:tcW w:w="805" w:type="dxa"/>
            <w:vAlign w:val="center"/>
          </w:tcPr>
          <w:p>
            <w:pPr>
              <w:widowControl/>
              <w:autoSpaceDE w:val="0"/>
              <w:autoSpaceDN w:val="0"/>
              <w:adjustRightInd w:val="0"/>
              <w:snapToGrid w:val="0"/>
              <w:spacing w:line="240" w:lineRule="auto"/>
              <w:ind w:firstLine="0" w:firstLineChars="0"/>
              <w:jc w:val="center"/>
              <w:textAlignment w:val="auto"/>
              <w:rPr>
                <w:rFonts w:hint="eastAsia" w:eastAsia="宋体"/>
                <w:snapToGrid w:val="0"/>
                <w:sz w:val="18"/>
                <w:szCs w:val="18"/>
                <w:highlight w:val="none"/>
                <w:lang w:eastAsia="zh-CN"/>
              </w:rPr>
            </w:pPr>
            <w:r>
              <w:rPr>
                <w:rFonts w:hint="eastAsia"/>
                <w:snapToGrid w:val="0"/>
                <w:sz w:val="18"/>
                <w:szCs w:val="18"/>
                <w:highlight w:val="none"/>
                <w:lang w:val="en-US" w:eastAsia="zh-CN"/>
              </w:rPr>
              <w:t>砂石料</w:t>
            </w:r>
          </w:p>
        </w:tc>
        <w:tc>
          <w:tcPr>
            <w:tcW w:w="671"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Merge w:val="restart"/>
            <w:vAlign w:val="center"/>
          </w:tcPr>
          <w:p>
            <w:pPr>
              <w:widowControl/>
              <w:autoSpaceDE w:val="0"/>
              <w:autoSpaceDN w:val="0"/>
              <w:adjustRightInd w:val="0"/>
              <w:snapToGrid w:val="0"/>
              <w:spacing w:line="240" w:lineRule="auto"/>
              <w:ind w:firstLine="0" w:firstLineChars="0"/>
              <w:jc w:val="center"/>
              <w:textAlignment w:val="auto"/>
              <w:rPr>
                <w:rFonts w:hint="default" w:eastAsia="宋体"/>
                <w:snapToGrid w:val="0"/>
                <w:sz w:val="18"/>
                <w:szCs w:val="18"/>
                <w:highlight w:val="none"/>
                <w:lang w:val="en-US" w:eastAsia="zh-CN"/>
              </w:rPr>
            </w:pPr>
            <w:r>
              <w:rPr>
                <w:rFonts w:hint="eastAsia"/>
                <w:snapToGrid w:val="0"/>
                <w:sz w:val="18"/>
                <w:szCs w:val="18"/>
                <w:highlight w:val="none"/>
                <w:lang w:val="en-US" w:eastAsia="zh-CN"/>
              </w:rPr>
              <w:t>设备维护保养</w:t>
            </w: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用耐腐蚀的容器储存</w:t>
            </w:r>
            <w:r>
              <w:rPr>
                <w:rFonts w:hint="eastAsia"/>
                <w:snapToGrid w:val="0"/>
                <w:sz w:val="18"/>
                <w:szCs w:val="18"/>
                <w:highlight w:val="none"/>
              </w:rPr>
              <w:t>，暂存在危废储存间内，定期委托有危废处理资质的单位进行处理</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废矿物油</w:t>
            </w:r>
          </w:p>
        </w:tc>
        <w:tc>
          <w:tcPr>
            <w:tcW w:w="671"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暂存在危废储存间内，委托有资质单位处置</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废油桶</w:t>
            </w:r>
          </w:p>
        </w:tc>
        <w:tc>
          <w:tcPr>
            <w:tcW w:w="671"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防渗</w:t>
            </w: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厂房、库房地面采用防渗混凝土结构，厚度为20cm，渗透系数≤10</w:t>
            </w:r>
            <w:r>
              <w:rPr>
                <w:rFonts w:hint="eastAsia"/>
                <w:snapToGrid w:val="0"/>
                <w:sz w:val="18"/>
                <w:szCs w:val="18"/>
                <w:highlight w:val="none"/>
                <w:vertAlign w:val="superscript"/>
              </w:rPr>
              <w:t>-7</w:t>
            </w:r>
            <w:r>
              <w:rPr>
                <w:rFonts w:hint="eastAsia"/>
                <w:snapToGrid w:val="0"/>
                <w:sz w:val="18"/>
                <w:szCs w:val="18"/>
                <w:highlight w:val="none"/>
              </w:rPr>
              <w:t>cm/s；浓密池、清水池、事故池、车辆清洗沉淀池池底部及四壁均采用混凝土浇筑防渗，厚度为20cm，渗透系数小于1×10</w:t>
            </w:r>
            <w:r>
              <w:rPr>
                <w:rFonts w:hint="eastAsia"/>
                <w:snapToGrid w:val="0"/>
                <w:sz w:val="18"/>
                <w:szCs w:val="18"/>
                <w:highlight w:val="none"/>
                <w:vertAlign w:val="superscript"/>
              </w:rPr>
              <w:t>-7</w:t>
            </w:r>
            <w:r>
              <w:rPr>
                <w:rFonts w:hint="eastAsia"/>
                <w:snapToGrid w:val="0"/>
                <w:sz w:val="18"/>
                <w:szCs w:val="18"/>
                <w:highlight w:val="none"/>
              </w:rPr>
              <w:t xml:space="preserve"> 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危废间地面与裙脚采取防渗措施</w:t>
            </w:r>
            <w:r>
              <w:rPr>
                <w:snapToGrid w:val="0"/>
                <w:sz w:val="18"/>
                <w:szCs w:val="18"/>
                <w:highlight w:val="none"/>
              </w:rPr>
              <w:t>，同时设置泄漏液体的收集装置。防渗层渗透系数小于10</w:t>
            </w:r>
            <w:r>
              <w:rPr>
                <w:snapToGrid w:val="0"/>
                <w:sz w:val="18"/>
                <w:szCs w:val="18"/>
                <w:highlight w:val="none"/>
                <w:vertAlign w:val="superscript"/>
              </w:rPr>
              <w:t>-10</w:t>
            </w:r>
            <w:r>
              <w:rPr>
                <w:snapToGrid w:val="0"/>
                <w:sz w:val="18"/>
                <w:szCs w:val="18"/>
                <w:highlight w:val="none"/>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物料输送管采用PVC管；尾矿浆输送使用PVC管或排水沟，集水沟槽均为混凝土结构，防渗层渗透系数小于1×10</w:t>
            </w:r>
            <w:r>
              <w:rPr>
                <w:rFonts w:hint="eastAsia"/>
                <w:snapToGrid w:val="0"/>
                <w:sz w:val="18"/>
                <w:szCs w:val="18"/>
                <w:highlight w:val="none"/>
                <w:vertAlign w:val="superscript"/>
              </w:rPr>
              <w:t>-7</w:t>
            </w:r>
            <w:r>
              <w:rPr>
                <w:rFonts w:hint="eastAsia"/>
                <w:snapToGrid w:val="0"/>
                <w:sz w:val="18"/>
                <w:szCs w:val="18"/>
                <w:highlight w:val="none"/>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绿化、硬化</w:t>
            </w:r>
          </w:p>
        </w:tc>
        <w:tc>
          <w:tcPr>
            <w:tcW w:w="11508" w:type="dxa"/>
            <w:gridSpan w:val="8"/>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厂区内地面进行硬化或绿化，无裸露地面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厂区抑尘</w:t>
            </w:r>
          </w:p>
        </w:tc>
        <w:tc>
          <w:tcPr>
            <w:tcW w:w="11508" w:type="dxa"/>
            <w:gridSpan w:val="8"/>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配备洒水车、清扫车各一辆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视频监控</w:t>
            </w:r>
          </w:p>
        </w:tc>
        <w:tc>
          <w:tcPr>
            <w:tcW w:w="11508" w:type="dxa"/>
            <w:gridSpan w:val="8"/>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成品库门口及库房内、各生产车间内、布袋除尘器、厂区道路设置视频监控，并与唐山市环境保护局遵化市分局联网。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环境管理内容</w:t>
            </w: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公司设有专职环保管理人员，熟悉环保业务，具备相关管理经验。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制定企业环境管理制度，明确了岗位环保职责和日常环保行为规范、建立和落实环保岗位考核制度。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制定《环保管理制度》、《环保岗位考核制度》、《环保设备管理制度》、《污染防治设施运行管理制度》，建立环保设施运行台账，各项设备设施稳定、正常运行。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落实环境污染报告制度、环境巡查制度、环保事故管理制度。</w:t>
            </w:r>
          </w:p>
        </w:tc>
      </w:tr>
      <w:bookmarkEnd w:id="768"/>
    </w:tbl>
    <w:p>
      <w:pPr>
        <w:autoSpaceDE w:val="0"/>
        <w:autoSpaceDN w:val="0"/>
        <w:spacing w:line="240" w:lineRule="auto"/>
        <w:ind w:firstLine="420" w:firstLineChars="0"/>
        <w:jc w:val="center"/>
        <w:textAlignment w:val="auto"/>
        <w:rPr>
          <w:rFonts w:eastAsia="黑体"/>
          <w:bCs/>
          <w:kern w:val="2"/>
          <w:sz w:val="21"/>
          <w:szCs w:val="21"/>
          <w:highlight w:val="green"/>
        </w:rPr>
      </w:pPr>
    </w:p>
    <w:p>
      <w:pPr>
        <w:widowControl/>
        <w:spacing w:line="460" w:lineRule="exact"/>
        <w:ind w:firstLine="480"/>
        <w:rPr>
          <w:sz w:val="24"/>
          <w:szCs w:val="24"/>
          <w:highlight w:val="green"/>
        </w:rPr>
      </w:pPr>
    </w:p>
    <w:p>
      <w:pPr>
        <w:widowControl/>
        <w:spacing w:line="460" w:lineRule="exact"/>
        <w:ind w:firstLine="480"/>
        <w:rPr>
          <w:sz w:val="24"/>
          <w:szCs w:val="24"/>
          <w:highlight w:val="green"/>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linePitch="381" w:charSpace="0"/>
        </w:sectPr>
      </w:pPr>
    </w:p>
    <w:p>
      <w:pPr>
        <w:pStyle w:val="4"/>
        <w:numPr>
          <w:ilvl w:val="0"/>
          <w:numId w:val="1"/>
        </w:numPr>
        <w:rPr>
          <w:rFonts w:ascii="Times New Roman"/>
          <w:sz w:val="36"/>
          <w:highlight w:val="green"/>
        </w:rPr>
      </w:pPr>
      <w:bookmarkStart w:id="769" w:name="_Toc536557314"/>
      <w:bookmarkStart w:id="770" w:name="_Toc524285127"/>
      <w:bookmarkStart w:id="771" w:name="_Toc3945"/>
      <w:bookmarkStart w:id="772" w:name="_Toc239045818"/>
      <w:bookmarkStart w:id="773" w:name="_Toc12583"/>
      <w:bookmarkStart w:id="774" w:name="_Toc477175443"/>
      <w:bookmarkStart w:id="775" w:name="_Toc19889413"/>
      <w:bookmarkStart w:id="776" w:name="_Toc1582"/>
      <w:bookmarkStart w:id="777" w:name="_Toc503218134"/>
      <w:bookmarkStart w:id="778" w:name="_Toc521591842"/>
      <w:bookmarkStart w:id="779" w:name="_Toc499651435"/>
      <w:r>
        <w:rPr>
          <w:rFonts w:ascii="Times New Roman"/>
          <w:sz w:val="36"/>
          <w:highlight w:val="green"/>
        </w:rPr>
        <w:t>结论</w:t>
      </w:r>
      <w:bookmarkEnd w:id="769"/>
      <w:bookmarkEnd w:id="770"/>
      <w:bookmarkEnd w:id="771"/>
      <w:bookmarkEnd w:id="772"/>
      <w:bookmarkEnd w:id="773"/>
      <w:bookmarkEnd w:id="774"/>
      <w:bookmarkEnd w:id="775"/>
      <w:bookmarkEnd w:id="776"/>
      <w:bookmarkEnd w:id="777"/>
      <w:bookmarkEnd w:id="778"/>
      <w:bookmarkEnd w:id="779"/>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green"/>
        </w:rPr>
      </w:pPr>
      <w:bookmarkStart w:id="780" w:name="_Toc239045819"/>
      <w:bookmarkStart w:id="781" w:name="_Toc536557315"/>
      <w:bookmarkStart w:id="782" w:name="_Toc521591843"/>
      <w:bookmarkStart w:id="783" w:name="_Toc499651436"/>
      <w:bookmarkStart w:id="784" w:name="_Toc503218135"/>
      <w:bookmarkStart w:id="785" w:name="_Toc524285128"/>
      <w:bookmarkStart w:id="786" w:name="_Toc4785"/>
      <w:bookmarkStart w:id="787" w:name="_Toc5175"/>
      <w:bookmarkStart w:id="788" w:name="_Toc477175444"/>
      <w:bookmarkStart w:id="789" w:name="_Toc7048"/>
      <w:bookmarkStart w:id="790" w:name="_Toc19889414"/>
      <w:r>
        <w:rPr>
          <w:rFonts w:ascii="Times New Roman" w:hAnsi="Times New Roman" w:eastAsia="宋体"/>
          <w:bCs w:val="0"/>
          <w:snapToGrid w:val="0"/>
          <w:kern w:val="0"/>
          <w:sz w:val="28"/>
          <w:szCs w:val="28"/>
          <w:highlight w:val="green"/>
        </w:rPr>
        <w:t>项目</w:t>
      </w:r>
      <w:bookmarkEnd w:id="780"/>
      <w:r>
        <w:rPr>
          <w:rFonts w:ascii="Times New Roman" w:hAnsi="Times New Roman" w:eastAsia="宋体"/>
          <w:bCs w:val="0"/>
          <w:snapToGrid w:val="0"/>
          <w:kern w:val="0"/>
          <w:sz w:val="28"/>
          <w:szCs w:val="28"/>
          <w:highlight w:val="green"/>
        </w:rPr>
        <w:t>概况</w:t>
      </w:r>
      <w:bookmarkEnd w:id="781"/>
      <w:bookmarkEnd w:id="782"/>
      <w:bookmarkEnd w:id="783"/>
      <w:bookmarkEnd w:id="784"/>
      <w:bookmarkEnd w:id="785"/>
      <w:bookmarkEnd w:id="786"/>
      <w:bookmarkEnd w:id="787"/>
      <w:bookmarkEnd w:id="788"/>
      <w:bookmarkEnd w:id="789"/>
      <w:bookmarkEnd w:id="790"/>
      <w:bookmarkStart w:id="791" w:name="_Toc239045820"/>
    </w:p>
    <w:p>
      <w:pPr>
        <w:ind w:firstLine="480"/>
        <w:jc w:val="both"/>
        <w:rPr>
          <w:sz w:val="24"/>
          <w:szCs w:val="24"/>
        </w:rPr>
      </w:pPr>
      <w:bookmarkStart w:id="792" w:name="_Toc6424"/>
      <w:bookmarkStart w:id="793" w:name="_Toc536557316"/>
      <w:bookmarkStart w:id="794" w:name="_Toc503218136"/>
      <w:bookmarkStart w:id="795" w:name="_Toc499651437"/>
      <w:bookmarkStart w:id="796" w:name="_Toc524285129"/>
      <w:bookmarkStart w:id="797" w:name="_Toc16585"/>
      <w:bookmarkStart w:id="798" w:name="_Toc5193"/>
      <w:bookmarkStart w:id="799" w:name="_Toc521591844"/>
      <w:r>
        <w:rPr>
          <w:bCs/>
          <w:sz w:val="24"/>
          <w:szCs w:val="24"/>
        </w:rPr>
        <w:t>（1）项目名称：</w:t>
      </w:r>
      <w:r>
        <w:rPr>
          <w:rFonts w:hint="eastAsia"/>
          <w:sz w:val="24"/>
          <w:szCs w:val="24"/>
          <w:highlight w:val="none"/>
        </w:rPr>
        <w:t>遵化市恒泰矿业有限公司年处理60万吨铁矿石、30万吨粗精矿改扩建项目</w:t>
      </w:r>
    </w:p>
    <w:p>
      <w:pPr>
        <w:ind w:firstLine="480"/>
        <w:jc w:val="both"/>
        <w:rPr>
          <w:bCs/>
          <w:sz w:val="24"/>
          <w:szCs w:val="24"/>
        </w:rPr>
      </w:pPr>
      <w:r>
        <w:rPr>
          <w:bCs/>
          <w:sz w:val="24"/>
          <w:szCs w:val="24"/>
        </w:rPr>
        <w:t>（2）建设性质：</w:t>
      </w:r>
      <w:r>
        <w:rPr>
          <w:rFonts w:hint="eastAsia"/>
          <w:bCs/>
          <w:sz w:val="24"/>
          <w:szCs w:val="24"/>
          <w:lang w:val="en-US" w:eastAsia="zh-CN"/>
        </w:rPr>
        <w:t>改扩</w:t>
      </w:r>
      <w:r>
        <w:rPr>
          <w:bCs/>
          <w:sz w:val="24"/>
          <w:szCs w:val="24"/>
        </w:rPr>
        <w:t>建</w:t>
      </w:r>
    </w:p>
    <w:p>
      <w:pPr>
        <w:ind w:firstLine="480"/>
        <w:jc w:val="both"/>
        <w:rPr>
          <w:bCs/>
          <w:sz w:val="24"/>
          <w:szCs w:val="24"/>
        </w:rPr>
      </w:pPr>
      <w:r>
        <w:rPr>
          <w:bCs/>
          <w:sz w:val="24"/>
          <w:szCs w:val="24"/>
        </w:rPr>
        <w:t>（3）建设单位：</w:t>
      </w:r>
      <w:r>
        <w:rPr>
          <w:rFonts w:hint="eastAsia"/>
          <w:sz w:val="24"/>
          <w:szCs w:val="24"/>
          <w:highlight w:val="none"/>
        </w:rPr>
        <w:t>遵化市恒泰矿业有限公司</w:t>
      </w:r>
    </w:p>
    <w:p>
      <w:pPr>
        <w:ind w:firstLine="480"/>
        <w:jc w:val="both"/>
        <w:rPr>
          <w:bCs/>
          <w:sz w:val="24"/>
          <w:szCs w:val="24"/>
        </w:rPr>
      </w:pPr>
      <w:r>
        <w:rPr>
          <w:bCs/>
          <w:sz w:val="24"/>
          <w:szCs w:val="24"/>
        </w:rPr>
        <w:t>（4）建设地点：</w:t>
      </w:r>
      <w:r>
        <w:rPr>
          <w:rFonts w:hint="eastAsia"/>
          <w:bCs/>
          <w:sz w:val="24"/>
          <w:szCs w:val="24"/>
          <w:lang w:val="en-US" w:eastAsia="zh-CN"/>
        </w:rPr>
        <w:t>位于</w:t>
      </w:r>
      <w:r>
        <w:rPr>
          <w:rFonts w:hint="eastAsia"/>
          <w:sz w:val="24"/>
          <w:szCs w:val="24"/>
          <w:highlight w:val="none"/>
        </w:rPr>
        <w:t>遵化市恒泰矿业有限公司</w:t>
      </w:r>
      <w:r>
        <w:rPr>
          <w:rFonts w:hint="eastAsia"/>
          <w:bCs/>
          <w:sz w:val="24"/>
          <w:szCs w:val="24"/>
          <w:lang w:val="en-US" w:eastAsia="zh-CN"/>
        </w:rPr>
        <w:t>现有南厂区内</w:t>
      </w:r>
      <w:r>
        <w:rPr>
          <w:bCs/>
          <w:sz w:val="24"/>
          <w:szCs w:val="24"/>
        </w:rPr>
        <w:t>，</w:t>
      </w:r>
      <w:r>
        <w:rPr>
          <w:rFonts w:hint="eastAsia"/>
          <w:bCs/>
          <w:sz w:val="24"/>
          <w:szCs w:val="24"/>
        </w:rPr>
        <w:t>南厂区</w:t>
      </w:r>
      <w:r>
        <w:rPr>
          <w:bCs/>
          <w:sz w:val="24"/>
          <w:szCs w:val="24"/>
        </w:rPr>
        <w:t>中心地理位置坐标为：东经：</w:t>
      </w:r>
      <w:r>
        <w:rPr>
          <w:rFonts w:hint="eastAsia"/>
          <w:bCs/>
          <w:sz w:val="24"/>
          <w:szCs w:val="24"/>
        </w:rPr>
        <w:t>117.806026°</w:t>
      </w:r>
      <w:r>
        <w:rPr>
          <w:bCs/>
          <w:sz w:val="24"/>
          <w:szCs w:val="24"/>
        </w:rPr>
        <w:t>，北纬：</w:t>
      </w:r>
      <w:r>
        <w:rPr>
          <w:rFonts w:hint="eastAsia"/>
          <w:bCs/>
          <w:sz w:val="24"/>
          <w:szCs w:val="24"/>
        </w:rPr>
        <w:t>40.140089°</w:t>
      </w:r>
      <w:r>
        <w:rPr>
          <w:bCs/>
          <w:sz w:val="24"/>
          <w:szCs w:val="24"/>
        </w:rPr>
        <w:t>。</w:t>
      </w:r>
    </w:p>
    <w:p>
      <w:pPr>
        <w:ind w:firstLine="480"/>
        <w:jc w:val="both"/>
        <w:rPr>
          <w:bCs/>
          <w:sz w:val="24"/>
          <w:szCs w:val="24"/>
        </w:rPr>
      </w:pPr>
      <w:r>
        <w:rPr>
          <w:bCs/>
          <w:sz w:val="24"/>
          <w:szCs w:val="24"/>
        </w:rPr>
        <w:t>（5）周边关系：</w:t>
      </w:r>
      <w:r>
        <w:rPr>
          <w:rFonts w:hint="eastAsia"/>
          <w:sz w:val="24"/>
          <w:szCs w:val="24"/>
        </w:rPr>
        <w:t>南厂区北侧</w:t>
      </w:r>
      <w:r>
        <w:rPr>
          <w:rFonts w:hint="eastAsia"/>
          <w:sz w:val="24"/>
          <w:szCs w:val="24"/>
          <w:lang w:val="en-US" w:eastAsia="zh-CN"/>
        </w:rPr>
        <w:t>为</w:t>
      </w:r>
      <w:r>
        <w:rPr>
          <w:rFonts w:hint="eastAsia"/>
          <w:sz w:val="24"/>
          <w:szCs w:val="24"/>
        </w:rPr>
        <w:t>选矿</w:t>
      </w:r>
      <w:r>
        <w:rPr>
          <w:rFonts w:hint="eastAsia"/>
          <w:sz w:val="24"/>
          <w:szCs w:val="24"/>
          <w:lang w:val="en-US" w:eastAsia="zh-CN"/>
        </w:rPr>
        <w:t>厂</w:t>
      </w:r>
      <w:r>
        <w:rPr>
          <w:rFonts w:hint="eastAsia"/>
          <w:sz w:val="24"/>
          <w:szCs w:val="24"/>
        </w:rPr>
        <w:t>，</w:t>
      </w:r>
      <w:r>
        <w:rPr>
          <w:rFonts w:hint="eastAsia"/>
          <w:sz w:val="24"/>
          <w:szCs w:val="24"/>
          <w:lang w:val="en-US" w:eastAsia="zh-CN"/>
        </w:rPr>
        <w:t>其余三</w:t>
      </w:r>
      <w:r>
        <w:rPr>
          <w:sz w:val="24"/>
          <w:szCs w:val="24"/>
        </w:rPr>
        <w:t>侧为农田</w:t>
      </w:r>
      <w:r>
        <w:rPr>
          <w:rFonts w:hint="eastAsia"/>
          <w:sz w:val="24"/>
          <w:szCs w:val="24"/>
        </w:rPr>
        <w:t>，</w:t>
      </w:r>
      <w:r>
        <w:rPr>
          <w:rFonts w:hint="eastAsia"/>
          <w:color w:val="000000"/>
          <w:sz w:val="24"/>
          <w:szCs w:val="24"/>
        </w:rPr>
        <w:t>距离本项目最近的敏感点为项目南侧68</w:t>
      </w:r>
      <w:r>
        <w:rPr>
          <w:color w:val="000000"/>
          <w:sz w:val="24"/>
          <w:szCs w:val="24"/>
        </w:rPr>
        <w:t>0m</w:t>
      </w:r>
      <w:r>
        <w:rPr>
          <w:rFonts w:hint="eastAsia"/>
          <w:color w:val="000000"/>
          <w:sz w:val="24"/>
          <w:szCs w:val="24"/>
        </w:rPr>
        <w:t>的贾庄子村。本项目不在遵化市堡子店水源地准保护区范围内，东侧厂界距离准保护区边界约</w:t>
      </w:r>
      <w:r>
        <w:rPr>
          <w:color w:val="000000"/>
          <w:sz w:val="24"/>
          <w:szCs w:val="24"/>
        </w:rPr>
        <w:t>3</w:t>
      </w:r>
      <w:r>
        <w:rPr>
          <w:rFonts w:hint="eastAsia"/>
          <w:color w:val="000000"/>
          <w:sz w:val="24"/>
          <w:szCs w:val="24"/>
        </w:rPr>
        <w:t>.2</w:t>
      </w:r>
      <w:r>
        <w:rPr>
          <w:color w:val="000000"/>
          <w:sz w:val="24"/>
          <w:szCs w:val="24"/>
        </w:rPr>
        <w:t>k</w:t>
      </w:r>
      <w:r>
        <w:rPr>
          <w:rFonts w:hint="eastAsia"/>
          <w:color w:val="000000"/>
          <w:sz w:val="24"/>
          <w:szCs w:val="24"/>
        </w:rPr>
        <w:t>m</w:t>
      </w:r>
      <w:r>
        <w:rPr>
          <w:sz w:val="24"/>
          <w:szCs w:val="24"/>
        </w:rPr>
        <w:t>。</w:t>
      </w:r>
    </w:p>
    <w:p>
      <w:pPr>
        <w:snapToGrid w:val="0"/>
        <w:ind w:firstLine="480"/>
        <w:jc w:val="both"/>
        <w:rPr>
          <w:sz w:val="24"/>
          <w:szCs w:val="24"/>
          <w:highlight w:val="none"/>
        </w:rPr>
      </w:pPr>
      <w:r>
        <w:rPr>
          <w:bCs/>
          <w:sz w:val="24"/>
          <w:szCs w:val="24"/>
        </w:rPr>
        <w:t>（</w:t>
      </w:r>
      <w:r>
        <w:rPr>
          <w:rFonts w:hint="eastAsia"/>
          <w:bCs/>
          <w:sz w:val="24"/>
          <w:szCs w:val="24"/>
          <w:lang w:val="en-US" w:eastAsia="zh-CN"/>
        </w:rPr>
        <w:t>6</w:t>
      </w:r>
      <w:r>
        <w:rPr>
          <w:bCs/>
          <w:sz w:val="24"/>
          <w:szCs w:val="24"/>
        </w:rPr>
        <w:t>）建设内容及规模：</w:t>
      </w:r>
      <w:r>
        <w:rPr>
          <w:rFonts w:hint="eastAsia"/>
          <w:sz w:val="24"/>
          <w:szCs w:val="24"/>
          <w:highlight w:val="none"/>
          <w:lang w:val="en-US" w:eastAsia="zh-CN"/>
        </w:rPr>
        <w:t>主要新增南厂区的破碎生产能力，将原有年30万吨破碎生产能力提升至年60万吨，建设完成后南厂区年产粗精矿30万吨，全部作为北厂区精选生产线原料使用，本项目主要新增1套破碎设备，</w:t>
      </w:r>
      <w:r>
        <w:rPr>
          <w:rFonts w:hint="eastAsia"/>
          <w:sz w:val="24"/>
          <w:szCs w:val="24"/>
          <w:highlight w:val="none"/>
        </w:rPr>
        <w:t>主要建设</w:t>
      </w:r>
      <w:r>
        <w:rPr>
          <w:sz w:val="24"/>
          <w:szCs w:val="24"/>
          <w:highlight w:val="none"/>
        </w:rPr>
        <w:t>破碎车间、</w:t>
      </w:r>
      <w:r>
        <w:rPr>
          <w:rFonts w:hint="eastAsia"/>
          <w:sz w:val="24"/>
          <w:szCs w:val="24"/>
          <w:highlight w:val="none"/>
          <w:lang w:val="en-US" w:eastAsia="zh-CN"/>
        </w:rPr>
        <w:t>原料棚</w:t>
      </w:r>
      <w:r>
        <w:rPr>
          <w:sz w:val="24"/>
          <w:szCs w:val="24"/>
          <w:highlight w:val="none"/>
        </w:rPr>
        <w:t>、成品库</w:t>
      </w:r>
      <w:r>
        <w:rPr>
          <w:rFonts w:hint="eastAsia"/>
          <w:sz w:val="24"/>
          <w:szCs w:val="24"/>
          <w:highlight w:val="none"/>
          <w:lang w:val="en-US" w:eastAsia="zh-CN"/>
        </w:rPr>
        <w:t>等</w:t>
      </w:r>
      <w:r>
        <w:rPr>
          <w:sz w:val="24"/>
          <w:szCs w:val="24"/>
          <w:highlight w:val="none"/>
        </w:rPr>
        <w:t>相关配套公辅设施</w:t>
      </w:r>
      <w:r>
        <w:rPr>
          <w:rFonts w:hint="eastAsia"/>
          <w:sz w:val="24"/>
          <w:szCs w:val="24"/>
          <w:highlight w:val="none"/>
          <w:lang w:eastAsia="zh-CN"/>
        </w:rPr>
        <w:t>，</w:t>
      </w:r>
      <w:r>
        <w:rPr>
          <w:rFonts w:hint="eastAsia"/>
          <w:sz w:val="24"/>
          <w:szCs w:val="24"/>
          <w:highlight w:val="none"/>
          <w:lang w:val="en-US" w:eastAsia="zh-CN"/>
        </w:rPr>
        <w:t>北厂区维持现状不变，项目建设完成后全厂</w:t>
      </w:r>
      <w:r>
        <w:rPr>
          <w:rFonts w:hint="eastAsia"/>
          <w:sz w:val="24"/>
          <w:szCs w:val="24"/>
          <w:highlight w:val="none"/>
        </w:rPr>
        <w:t>年处理60万吨铁矿石、30万吨粗</w:t>
      </w:r>
      <w:r>
        <w:rPr>
          <w:rFonts w:hint="eastAsia"/>
          <w:sz w:val="24"/>
          <w:szCs w:val="24"/>
          <w:highlight w:val="none"/>
          <w:lang w:eastAsia="zh-CN"/>
        </w:rPr>
        <w:t>，</w:t>
      </w:r>
      <w:r>
        <w:rPr>
          <w:rFonts w:hint="eastAsia"/>
          <w:sz w:val="24"/>
          <w:szCs w:val="24"/>
          <w:highlight w:val="none"/>
          <w:lang w:val="en-US" w:eastAsia="zh-CN"/>
        </w:rPr>
        <w:t>全厂保持年产品位66%铁精粉25万吨的生产能力不变</w:t>
      </w:r>
      <w:r>
        <w:rPr>
          <w:rFonts w:hint="eastAsia"/>
          <w:sz w:val="24"/>
          <w:szCs w:val="24"/>
          <w:highlight w:val="none"/>
        </w:rPr>
        <w:t>。</w:t>
      </w:r>
    </w:p>
    <w:p>
      <w:pPr>
        <w:ind w:firstLine="480"/>
        <w:jc w:val="both"/>
        <w:rPr>
          <w:bCs/>
          <w:sz w:val="24"/>
          <w:szCs w:val="24"/>
        </w:rPr>
      </w:pPr>
      <w:r>
        <w:rPr>
          <w:bCs/>
          <w:sz w:val="24"/>
          <w:szCs w:val="24"/>
        </w:rPr>
        <w:t>（</w:t>
      </w:r>
      <w:r>
        <w:rPr>
          <w:rFonts w:hint="eastAsia"/>
          <w:bCs/>
          <w:sz w:val="24"/>
          <w:szCs w:val="24"/>
          <w:lang w:val="en-US" w:eastAsia="zh-CN"/>
        </w:rPr>
        <w:t>7</w:t>
      </w:r>
      <w:r>
        <w:rPr>
          <w:bCs/>
          <w:sz w:val="24"/>
          <w:szCs w:val="24"/>
        </w:rPr>
        <w:t>）</w:t>
      </w:r>
      <w:r>
        <w:rPr>
          <w:sz w:val="24"/>
          <w:szCs w:val="24"/>
        </w:rPr>
        <w:t>项目投资：本项目总投资为</w:t>
      </w:r>
      <w:r>
        <w:rPr>
          <w:rFonts w:hint="eastAsia"/>
          <w:sz w:val="24"/>
          <w:szCs w:val="24"/>
          <w:lang w:val="en-US" w:eastAsia="zh-CN"/>
        </w:rPr>
        <w:t>28</w:t>
      </w:r>
      <w:r>
        <w:rPr>
          <w:sz w:val="24"/>
          <w:szCs w:val="24"/>
        </w:rPr>
        <w:t>00万元，其中环保投资估算</w:t>
      </w:r>
      <w:r>
        <w:rPr>
          <w:rFonts w:hint="eastAsia"/>
          <w:sz w:val="24"/>
          <w:szCs w:val="24"/>
          <w:lang w:val="en-US" w:eastAsia="zh-CN"/>
        </w:rPr>
        <w:t>70</w:t>
      </w:r>
      <w:r>
        <w:rPr>
          <w:sz w:val="24"/>
          <w:szCs w:val="24"/>
        </w:rPr>
        <w:t>万元，占总投资的比例为</w:t>
      </w:r>
      <w:r>
        <w:rPr>
          <w:rFonts w:hint="eastAsia"/>
          <w:sz w:val="24"/>
          <w:szCs w:val="24"/>
          <w:lang w:val="en-US" w:eastAsia="zh-CN"/>
        </w:rPr>
        <w:t>2.5</w:t>
      </w:r>
      <w:r>
        <w:rPr>
          <w:sz w:val="24"/>
          <w:szCs w:val="24"/>
        </w:rPr>
        <w:t>%。</w:t>
      </w:r>
    </w:p>
    <w:p>
      <w:pPr>
        <w:ind w:firstLine="480"/>
        <w:jc w:val="both"/>
        <w:rPr>
          <w:bCs/>
          <w:sz w:val="24"/>
          <w:szCs w:val="24"/>
          <w:highlight w:val="none"/>
        </w:rPr>
      </w:pPr>
      <w:r>
        <w:rPr>
          <w:bCs/>
          <w:sz w:val="24"/>
          <w:szCs w:val="24"/>
        </w:rPr>
        <w:t>（</w:t>
      </w:r>
      <w:r>
        <w:rPr>
          <w:rFonts w:hint="eastAsia"/>
          <w:bCs/>
          <w:sz w:val="24"/>
          <w:szCs w:val="24"/>
          <w:lang w:val="en-US" w:eastAsia="zh-CN"/>
        </w:rPr>
        <w:t>8</w:t>
      </w:r>
      <w:r>
        <w:rPr>
          <w:bCs/>
          <w:sz w:val="24"/>
          <w:szCs w:val="24"/>
        </w:rPr>
        <w:t>）建设周期：20</w:t>
      </w:r>
      <w:r>
        <w:rPr>
          <w:rFonts w:hint="eastAsia"/>
          <w:bCs/>
          <w:sz w:val="24"/>
          <w:szCs w:val="24"/>
          <w:lang w:val="en-US" w:eastAsia="zh-CN"/>
        </w:rPr>
        <w:t>23</w:t>
      </w:r>
      <w:r>
        <w:rPr>
          <w:bCs/>
          <w:sz w:val="24"/>
          <w:szCs w:val="24"/>
        </w:rPr>
        <w:t>年9月-202</w:t>
      </w:r>
      <w:r>
        <w:rPr>
          <w:rFonts w:hint="eastAsia"/>
          <w:bCs/>
          <w:sz w:val="24"/>
          <w:szCs w:val="24"/>
          <w:lang w:val="en-US" w:eastAsia="zh-CN"/>
        </w:rPr>
        <w:t>4</w:t>
      </w:r>
      <w:r>
        <w:rPr>
          <w:bCs/>
          <w:sz w:val="24"/>
          <w:szCs w:val="24"/>
        </w:rPr>
        <w:t>年3月</w:t>
      </w:r>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r>
        <w:rPr>
          <w:rFonts w:ascii="Times New Roman" w:hAnsi="Times New Roman" w:eastAsia="宋体"/>
          <w:bCs w:val="0"/>
          <w:snapToGrid w:val="0"/>
          <w:kern w:val="0"/>
          <w:sz w:val="28"/>
          <w:szCs w:val="28"/>
          <w:highlight w:val="none"/>
        </w:rPr>
        <w:t>评价结论</w:t>
      </w:r>
      <w:bookmarkEnd w:id="792"/>
      <w:bookmarkEnd w:id="793"/>
      <w:bookmarkEnd w:id="794"/>
      <w:bookmarkEnd w:id="795"/>
      <w:bookmarkEnd w:id="796"/>
      <w:bookmarkEnd w:id="797"/>
      <w:bookmarkEnd w:id="798"/>
      <w:bookmarkEnd w:id="799"/>
    </w:p>
    <w:p>
      <w:pPr>
        <w:pStyle w:val="6"/>
        <w:rPr>
          <w:highlight w:val="none"/>
        </w:rPr>
      </w:pPr>
      <w:bookmarkStart w:id="800" w:name="_Toc477175445"/>
      <w:bookmarkStart w:id="801" w:name="_Toc521591845"/>
      <w:bookmarkStart w:id="802" w:name="_Toc24966"/>
      <w:r>
        <w:rPr>
          <w:highlight w:val="none"/>
        </w:rPr>
        <w:t>9.2.1评价区环境质量现状</w:t>
      </w:r>
      <w:bookmarkEnd w:id="791"/>
      <w:bookmarkEnd w:id="800"/>
      <w:bookmarkEnd w:id="801"/>
      <w:bookmarkEnd w:id="802"/>
    </w:p>
    <w:p>
      <w:pPr>
        <w:pStyle w:val="3"/>
        <w:rPr>
          <w:highlight w:val="none"/>
        </w:rPr>
      </w:pPr>
      <w:r>
        <w:rPr>
          <w:highlight w:val="none"/>
        </w:rPr>
        <w:t>9.2.1.1环境空气</w:t>
      </w:r>
    </w:p>
    <w:p>
      <w:pPr>
        <w:snapToGrid w:val="0"/>
        <w:ind w:firstLine="480"/>
        <w:rPr>
          <w:rFonts w:ascii="TimesNewRomanPSMT" w:hAnsi="TimesNewRomanPSMT" w:cs="TimesNewRomanPSMT"/>
          <w:sz w:val="16"/>
          <w:szCs w:val="16"/>
          <w:highlight w:val="none"/>
        </w:rPr>
      </w:pPr>
      <w:r>
        <w:rPr>
          <w:color w:val="000000"/>
          <w:sz w:val="24"/>
          <w:highlight w:val="none"/>
        </w:rPr>
        <w:t>根据20</w:t>
      </w:r>
      <w:r>
        <w:rPr>
          <w:rFonts w:hint="eastAsia"/>
          <w:color w:val="000000"/>
          <w:sz w:val="24"/>
          <w:highlight w:val="none"/>
        </w:rPr>
        <w:t>2</w:t>
      </w:r>
      <w:r>
        <w:rPr>
          <w:rFonts w:hint="eastAsia"/>
          <w:color w:val="000000"/>
          <w:sz w:val="24"/>
          <w:highlight w:val="none"/>
          <w:lang w:val="en-US" w:eastAsia="zh-CN"/>
        </w:rPr>
        <w:t>2</w:t>
      </w:r>
      <w:r>
        <w:rPr>
          <w:color w:val="000000"/>
          <w:sz w:val="24"/>
          <w:highlight w:val="none"/>
        </w:rPr>
        <w:t>年6月年唐山市环境保护局发布的《20</w:t>
      </w:r>
      <w:r>
        <w:rPr>
          <w:rFonts w:hint="eastAsia"/>
          <w:color w:val="000000"/>
          <w:sz w:val="24"/>
          <w:highlight w:val="none"/>
          <w:lang w:val="en-US" w:eastAsia="zh-CN"/>
        </w:rPr>
        <w:t>21</w:t>
      </w:r>
      <w:r>
        <w:rPr>
          <w:color w:val="000000"/>
          <w:sz w:val="24"/>
          <w:highlight w:val="none"/>
        </w:rPr>
        <w:t>年唐山市环境状况公报》显示，20</w:t>
      </w:r>
      <w:r>
        <w:rPr>
          <w:rFonts w:hint="eastAsia"/>
          <w:color w:val="000000"/>
          <w:sz w:val="24"/>
          <w:highlight w:val="none"/>
        </w:rPr>
        <w:t>19</w:t>
      </w:r>
      <w:r>
        <w:rPr>
          <w:color w:val="000000"/>
          <w:sz w:val="24"/>
          <w:highlight w:val="none"/>
        </w:rPr>
        <w:t>年全年有效监测天数为350天，按照AQI指数等级划分，达标天数202天，达标率为57.71%，因此，项目所在区域（唐山市）属于非达标区</w:t>
      </w:r>
      <w:r>
        <w:rPr>
          <w:rFonts w:hint="eastAsia" w:ascii="宋体" w:cs="宋体"/>
          <w:sz w:val="24"/>
          <w:szCs w:val="24"/>
          <w:highlight w:val="none"/>
        </w:rPr>
        <w:t>。</w:t>
      </w:r>
    </w:p>
    <w:p>
      <w:pPr>
        <w:pStyle w:val="3"/>
        <w:rPr>
          <w:highlight w:val="none"/>
        </w:rPr>
      </w:pPr>
      <w:r>
        <w:rPr>
          <w:highlight w:val="none"/>
        </w:rPr>
        <w:t>9.2.1.</w:t>
      </w:r>
      <w:r>
        <w:rPr>
          <w:rFonts w:hint="eastAsia"/>
          <w:highlight w:val="none"/>
          <w:lang w:val="en-US" w:eastAsia="zh-CN"/>
        </w:rPr>
        <w:t>2</w:t>
      </w:r>
      <w:r>
        <w:rPr>
          <w:highlight w:val="none"/>
        </w:rPr>
        <w:t>地下水水环境</w:t>
      </w:r>
    </w:p>
    <w:p>
      <w:pPr>
        <w:autoSpaceDE w:val="0"/>
        <w:autoSpaceDN w:val="0"/>
        <w:ind w:firstLine="480"/>
        <w:jc w:val="both"/>
        <w:textAlignment w:val="auto"/>
        <w:rPr>
          <w:sz w:val="24"/>
          <w:highlight w:val="none"/>
        </w:rPr>
      </w:pPr>
      <w:r>
        <w:rPr>
          <w:bCs/>
          <w:sz w:val="24"/>
          <w:highlight w:val="none"/>
        </w:rPr>
        <w:t>由评价结果可知，监测地下水水质点各项监测指标均能满足《地下水质量标准》（GB/T14848-2017）III类水质标准</w:t>
      </w:r>
      <w:r>
        <w:rPr>
          <w:rFonts w:hint="eastAsia"/>
          <w:sz w:val="24"/>
          <w:szCs w:val="24"/>
          <w:highlight w:val="none"/>
        </w:rPr>
        <w:t>及《地表水环境质量标准》（GB3838-2002）（石油类）III类标准</w:t>
      </w:r>
      <w:r>
        <w:rPr>
          <w:bCs/>
          <w:sz w:val="24"/>
          <w:highlight w:val="none"/>
        </w:rPr>
        <w:t>。因此，总体来说评价区地下水水质现状良好。</w:t>
      </w:r>
    </w:p>
    <w:p>
      <w:pPr>
        <w:pStyle w:val="3"/>
        <w:rPr>
          <w:highlight w:val="none"/>
        </w:rPr>
      </w:pPr>
      <w:r>
        <w:rPr>
          <w:highlight w:val="none"/>
        </w:rPr>
        <w:t>9.2.1.</w:t>
      </w:r>
      <w:r>
        <w:rPr>
          <w:rFonts w:hint="eastAsia"/>
          <w:highlight w:val="none"/>
          <w:lang w:val="en-US" w:eastAsia="zh-CN"/>
        </w:rPr>
        <w:t>3</w:t>
      </w:r>
      <w:r>
        <w:rPr>
          <w:highlight w:val="none"/>
        </w:rPr>
        <w:t>声环境</w:t>
      </w:r>
    </w:p>
    <w:p>
      <w:pPr>
        <w:autoSpaceDE w:val="0"/>
        <w:autoSpaceDN w:val="0"/>
        <w:ind w:firstLine="480"/>
        <w:jc w:val="both"/>
        <w:textAlignment w:val="auto"/>
        <w:rPr>
          <w:sz w:val="24"/>
          <w:highlight w:val="none"/>
        </w:rPr>
      </w:pPr>
      <w:bookmarkStart w:id="803" w:name="_Toc239045821"/>
      <w:r>
        <w:rPr>
          <w:sz w:val="24"/>
          <w:highlight w:val="none"/>
        </w:rPr>
        <w:t>根据监测结果，本项目厂界噪声现状能够满足《声环境质量标准》（GB3096-2008）2类标准，</w:t>
      </w:r>
      <w:bookmarkStart w:id="804" w:name="_Toc477175446"/>
      <w:r>
        <w:rPr>
          <w:sz w:val="24"/>
          <w:highlight w:val="none"/>
        </w:rPr>
        <w:t>区域噪声环境质量较好。</w:t>
      </w:r>
    </w:p>
    <w:p>
      <w:pPr>
        <w:pStyle w:val="6"/>
        <w:rPr>
          <w:highlight w:val="none"/>
        </w:rPr>
      </w:pPr>
      <w:bookmarkStart w:id="805" w:name="_Toc28030"/>
      <w:bookmarkStart w:id="806" w:name="_Toc521591846"/>
      <w:r>
        <w:rPr>
          <w:highlight w:val="none"/>
        </w:rPr>
        <w:t>9.2.2污染物排放情况</w:t>
      </w:r>
      <w:bookmarkEnd w:id="804"/>
      <w:bookmarkEnd w:id="805"/>
      <w:bookmarkEnd w:id="806"/>
    </w:p>
    <w:p>
      <w:pPr>
        <w:pStyle w:val="3"/>
        <w:rPr>
          <w:highlight w:val="none"/>
        </w:rPr>
      </w:pPr>
      <w:r>
        <w:rPr>
          <w:highlight w:val="none"/>
        </w:rPr>
        <w:t>9.2.2.1 废气</w:t>
      </w:r>
    </w:p>
    <w:p>
      <w:pPr>
        <w:ind w:firstLine="480"/>
        <w:jc w:val="both"/>
        <w:rPr>
          <w:bCs/>
          <w:sz w:val="24"/>
          <w:szCs w:val="24"/>
          <w:highlight w:val="none"/>
        </w:rPr>
      </w:pPr>
      <w:r>
        <w:rPr>
          <w:bCs/>
          <w:sz w:val="24"/>
          <w:szCs w:val="24"/>
          <w:highlight w:val="none"/>
        </w:rPr>
        <w:t>本项目上料、物料转运过程采取相应处理措施后，排放的颗粒物较少；运输粉尘通过采取洒水降尘等措施后，可以大大降低运输道理扬尘的影响；原料</w:t>
      </w:r>
      <w:r>
        <w:rPr>
          <w:rFonts w:hint="eastAsia"/>
          <w:bCs/>
          <w:sz w:val="24"/>
          <w:szCs w:val="24"/>
          <w:highlight w:val="none"/>
          <w:lang w:val="en-US" w:eastAsia="zh-CN"/>
        </w:rPr>
        <w:t>棚</w:t>
      </w:r>
      <w:r>
        <w:rPr>
          <w:bCs/>
          <w:sz w:val="24"/>
          <w:szCs w:val="24"/>
          <w:highlight w:val="none"/>
        </w:rPr>
        <w:t>粉尘通过封闭车间、设置喷淋系统，排放量较小。破碎筛分工序产生的颗粒物经</w:t>
      </w:r>
      <w:r>
        <w:rPr>
          <w:rFonts w:hint="eastAsia"/>
          <w:bCs/>
          <w:sz w:val="24"/>
          <w:szCs w:val="24"/>
          <w:highlight w:val="none"/>
        </w:rPr>
        <w:t>收尘除尘</w:t>
      </w:r>
      <w:r>
        <w:rPr>
          <w:bCs/>
          <w:sz w:val="24"/>
          <w:szCs w:val="24"/>
          <w:highlight w:val="none"/>
        </w:rPr>
        <w:t>处理后的排放速率和排放浓度均能满足</w:t>
      </w:r>
      <w:r>
        <w:rPr>
          <w:sz w:val="24"/>
          <w:szCs w:val="24"/>
          <w:highlight w:val="none"/>
        </w:rPr>
        <w:t>《铁矿采选工业污染物排放标准》(GB28661-2012)相应限值要求</w:t>
      </w:r>
      <w:r>
        <w:rPr>
          <w:bCs/>
          <w:sz w:val="24"/>
          <w:szCs w:val="24"/>
          <w:highlight w:val="none"/>
        </w:rPr>
        <w:t>。经预测，厂界颗粒物浓度能满足</w:t>
      </w:r>
      <w:r>
        <w:rPr>
          <w:sz w:val="24"/>
          <w:szCs w:val="24"/>
          <w:highlight w:val="none"/>
        </w:rPr>
        <w:t>《铁矿采选工业污染物排放标准》(GB28661-2012)相应限值要求，</w:t>
      </w:r>
      <w:r>
        <w:rPr>
          <w:bCs/>
          <w:sz w:val="24"/>
          <w:szCs w:val="24"/>
          <w:highlight w:val="none"/>
        </w:rPr>
        <w:t>对环境空气质量影响较小。</w:t>
      </w:r>
    </w:p>
    <w:p>
      <w:pPr>
        <w:pStyle w:val="3"/>
        <w:rPr>
          <w:highlight w:val="none"/>
        </w:rPr>
      </w:pPr>
      <w:r>
        <w:rPr>
          <w:highlight w:val="none"/>
        </w:rPr>
        <w:t>9.2.2.2 废水</w:t>
      </w:r>
    </w:p>
    <w:p>
      <w:pPr>
        <w:pStyle w:val="19"/>
        <w:spacing w:after="0" w:line="480" w:lineRule="exact"/>
        <w:ind w:firstLine="480"/>
        <w:jc w:val="both"/>
        <w:rPr>
          <w:highlight w:val="none"/>
        </w:rPr>
      </w:pPr>
      <w:r>
        <w:rPr>
          <w:rFonts w:hint="eastAsia"/>
          <w:sz w:val="24"/>
          <w:szCs w:val="24"/>
          <w:highlight w:val="none"/>
          <w:lang w:val="en-US" w:eastAsia="zh-CN"/>
        </w:rPr>
        <w:t>本项目用水主要为振筛湿式作业用水，产生的废水泵入浓缩罐后经管道自流至北厂区干排系统处理，处理后作为球磨磁选用水回用、不外排。</w:t>
      </w:r>
    </w:p>
    <w:p>
      <w:pPr>
        <w:pStyle w:val="3"/>
        <w:rPr>
          <w:highlight w:val="none"/>
        </w:rPr>
      </w:pPr>
      <w:r>
        <w:rPr>
          <w:highlight w:val="none"/>
        </w:rPr>
        <w:t>9.2.2.3 噪声</w:t>
      </w:r>
    </w:p>
    <w:p>
      <w:pPr>
        <w:ind w:firstLine="480"/>
        <w:jc w:val="both"/>
        <w:rPr>
          <w:bCs/>
          <w:sz w:val="24"/>
          <w:szCs w:val="24"/>
          <w:highlight w:val="none"/>
        </w:rPr>
      </w:pPr>
      <w:r>
        <w:rPr>
          <w:sz w:val="24"/>
          <w:szCs w:val="24"/>
          <w:highlight w:val="none"/>
        </w:rPr>
        <w:t>本项目噪声主要为破碎机、振动筛</w:t>
      </w:r>
      <w:r>
        <w:rPr>
          <w:kern w:val="2"/>
          <w:sz w:val="24"/>
          <w:szCs w:val="24"/>
          <w:highlight w:val="none"/>
        </w:rPr>
        <w:t>、磁选机、水泵等</w:t>
      </w:r>
      <w:r>
        <w:rPr>
          <w:sz w:val="24"/>
          <w:szCs w:val="24"/>
          <w:highlight w:val="none"/>
        </w:rPr>
        <w:t>设备运行时产生的噪声。</w:t>
      </w:r>
      <w:r>
        <w:rPr>
          <w:bCs/>
          <w:sz w:val="24"/>
          <w:szCs w:val="24"/>
          <w:highlight w:val="none"/>
        </w:rPr>
        <w:t>项目主要噪声源经建筑隔声、基础减振</w:t>
      </w:r>
      <w:r>
        <w:rPr>
          <w:rFonts w:hint="eastAsia"/>
          <w:bCs/>
          <w:sz w:val="24"/>
          <w:szCs w:val="24"/>
          <w:highlight w:val="none"/>
        </w:rPr>
        <w:t>、吸声</w:t>
      </w:r>
      <w:r>
        <w:rPr>
          <w:bCs/>
          <w:sz w:val="24"/>
          <w:szCs w:val="24"/>
          <w:highlight w:val="none"/>
        </w:rPr>
        <w:t>等措施后，外排噪声对外环境影响较小。</w:t>
      </w:r>
    </w:p>
    <w:p>
      <w:pPr>
        <w:pStyle w:val="3"/>
        <w:rPr>
          <w:highlight w:val="none"/>
        </w:rPr>
      </w:pPr>
      <w:r>
        <w:rPr>
          <w:highlight w:val="none"/>
        </w:rPr>
        <w:t>9.2.2.4 固废</w:t>
      </w:r>
    </w:p>
    <w:p>
      <w:pPr>
        <w:ind w:firstLine="480"/>
        <w:jc w:val="both"/>
        <w:rPr>
          <w:bCs/>
          <w:sz w:val="24"/>
          <w:szCs w:val="24"/>
          <w:highlight w:val="none"/>
        </w:rPr>
      </w:pPr>
      <w:r>
        <w:rPr>
          <w:bCs/>
          <w:sz w:val="24"/>
          <w:szCs w:val="24"/>
          <w:highlight w:val="none"/>
        </w:rPr>
        <w:t>建设项目投产后产生的一般工业固体废物主要为</w:t>
      </w:r>
      <w:r>
        <w:rPr>
          <w:rFonts w:hint="eastAsia"/>
          <w:bCs/>
          <w:sz w:val="24"/>
          <w:szCs w:val="24"/>
          <w:highlight w:val="none"/>
          <w:lang w:val="en-US" w:eastAsia="zh-CN"/>
        </w:rPr>
        <w:t>砂石料</w:t>
      </w:r>
      <w:r>
        <w:rPr>
          <w:bCs/>
          <w:sz w:val="24"/>
          <w:szCs w:val="24"/>
          <w:highlight w:val="none"/>
        </w:rPr>
        <w:t>、除尘器收集的粉尘，危险废物为设备保养维护产生的废</w:t>
      </w:r>
      <w:r>
        <w:rPr>
          <w:rFonts w:hint="eastAsia"/>
          <w:bCs/>
          <w:sz w:val="24"/>
          <w:szCs w:val="24"/>
          <w:highlight w:val="none"/>
        </w:rPr>
        <w:t>矿物</w:t>
      </w:r>
      <w:r>
        <w:rPr>
          <w:bCs/>
          <w:sz w:val="24"/>
          <w:szCs w:val="24"/>
          <w:highlight w:val="none"/>
        </w:rPr>
        <w:t>油、废油桶。</w:t>
      </w:r>
    </w:p>
    <w:p>
      <w:pPr>
        <w:tabs>
          <w:tab w:val="left" w:pos="4788"/>
        </w:tabs>
        <w:ind w:firstLine="480"/>
        <w:jc w:val="both"/>
        <w:rPr>
          <w:bCs/>
          <w:sz w:val="24"/>
          <w:szCs w:val="24"/>
          <w:highlight w:val="none"/>
        </w:rPr>
      </w:pPr>
      <w:r>
        <w:rPr>
          <w:rFonts w:hint="eastAsia"/>
          <w:bCs/>
          <w:sz w:val="24"/>
          <w:szCs w:val="24"/>
          <w:highlight w:val="none"/>
          <w:lang w:val="en-US" w:eastAsia="zh-CN"/>
        </w:rPr>
        <w:t>砂石料</w:t>
      </w:r>
      <w:r>
        <w:rPr>
          <w:bCs/>
          <w:sz w:val="24"/>
          <w:szCs w:val="24"/>
          <w:highlight w:val="none"/>
        </w:rPr>
        <w:t>全部外售至当地建材厂作为原料综合利用；除尘器收集的粉尘回用于生产系统，不外排；废</w:t>
      </w:r>
      <w:r>
        <w:rPr>
          <w:rFonts w:hint="eastAsia"/>
          <w:bCs/>
          <w:sz w:val="24"/>
          <w:szCs w:val="24"/>
          <w:highlight w:val="none"/>
        </w:rPr>
        <w:t>矿物</w:t>
      </w:r>
      <w:r>
        <w:rPr>
          <w:bCs/>
          <w:sz w:val="24"/>
          <w:szCs w:val="24"/>
          <w:highlight w:val="none"/>
        </w:rPr>
        <w:t>油和废油桶收集于危险废物暂存间，交由有资质的单位进行处理。</w:t>
      </w:r>
    </w:p>
    <w:p>
      <w:pPr>
        <w:pStyle w:val="6"/>
        <w:rPr>
          <w:highlight w:val="none"/>
        </w:rPr>
      </w:pPr>
      <w:bookmarkStart w:id="807" w:name="_Toc24573"/>
      <w:r>
        <w:rPr>
          <w:highlight w:val="none"/>
        </w:rPr>
        <w:t>9.2.3主要环境影响</w:t>
      </w:r>
      <w:bookmarkEnd w:id="807"/>
    </w:p>
    <w:p>
      <w:pPr>
        <w:pStyle w:val="3"/>
        <w:rPr>
          <w:highlight w:val="none"/>
        </w:rPr>
      </w:pPr>
      <w:r>
        <w:rPr>
          <w:highlight w:val="none"/>
        </w:rPr>
        <w:t>9.2.3.1大气环境影响</w:t>
      </w:r>
    </w:p>
    <w:p>
      <w:pPr>
        <w:widowControl/>
        <w:ind w:firstLine="480"/>
        <w:jc w:val="both"/>
        <w:textAlignment w:val="auto"/>
        <w:rPr>
          <w:kern w:val="2"/>
          <w:sz w:val="24"/>
          <w:szCs w:val="24"/>
          <w:highlight w:val="none"/>
        </w:rPr>
      </w:pPr>
      <w:r>
        <w:rPr>
          <w:kern w:val="2"/>
          <w:sz w:val="24"/>
          <w:szCs w:val="24"/>
          <w:highlight w:val="none"/>
        </w:rPr>
        <w:t>破碎车间有组织排放的PM</w:t>
      </w:r>
      <w:r>
        <w:rPr>
          <w:kern w:val="2"/>
          <w:sz w:val="24"/>
          <w:szCs w:val="24"/>
          <w:highlight w:val="none"/>
          <w:vertAlign w:val="subscript"/>
        </w:rPr>
        <w:t>10</w:t>
      </w:r>
      <w:r>
        <w:rPr>
          <w:kern w:val="2"/>
          <w:sz w:val="24"/>
          <w:szCs w:val="24"/>
          <w:highlight w:val="none"/>
        </w:rPr>
        <w:t>最大浓度为38.30</w:t>
      </w:r>
      <w:r>
        <w:rPr>
          <w:rFonts w:hint="eastAsia"/>
          <w:kern w:val="2"/>
          <w:sz w:val="24"/>
          <w:szCs w:val="24"/>
          <w:highlight w:val="none"/>
        </w:rPr>
        <w:t xml:space="preserve"> </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，最大浓度占标率为8.51</w:t>
      </w:r>
      <w:r>
        <w:rPr>
          <w:rFonts w:hint="eastAsia"/>
          <w:kern w:val="2"/>
          <w:sz w:val="24"/>
          <w:szCs w:val="24"/>
          <w:highlight w:val="none"/>
        </w:rPr>
        <w:t xml:space="preserve"> </w:t>
      </w:r>
      <w:r>
        <w:rPr>
          <w:kern w:val="2"/>
          <w:sz w:val="24"/>
          <w:szCs w:val="24"/>
          <w:highlight w:val="none"/>
        </w:rPr>
        <w:t>%，出现距离为1010</w:t>
      </w:r>
      <w:r>
        <w:rPr>
          <w:rFonts w:hint="eastAsia"/>
          <w:kern w:val="2"/>
          <w:sz w:val="24"/>
          <w:szCs w:val="24"/>
          <w:highlight w:val="none"/>
        </w:rPr>
        <w:t xml:space="preserve"> </w:t>
      </w:r>
      <w:r>
        <w:rPr>
          <w:kern w:val="2"/>
          <w:sz w:val="24"/>
          <w:szCs w:val="24"/>
          <w:highlight w:val="none"/>
        </w:rPr>
        <w:t>m。各敏感点的最大浓度值均较小。</w:t>
      </w:r>
    </w:p>
    <w:p>
      <w:pPr>
        <w:widowControl/>
        <w:ind w:firstLine="480"/>
        <w:jc w:val="both"/>
        <w:textAlignment w:val="auto"/>
        <w:rPr>
          <w:kern w:val="2"/>
          <w:sz w:val="24"/>
          <w:szCs w:val="24"/>
          <w:highlight w:val="none"/>
        </w:rPr>
      </w:pPr>
      <w:r>
        <w:rPr>
          <w:kern w:val="2"/>
          <w:sz w:val="24"/>
          <w:szCs w:val="24"/>
          <w:highlight w:val="none"/>
        </w:rPr>
        <w:t>破碎车间无组织排放的TSP最大浓度为38.85</w:t>
      </w:r>
      <w:r>
        <w:rPr>
          <w:rFonts w:hint="eastAsia"/>
          <w:kern w:val="2"/>
          <w:sz w:val="24"/>
          <w:szCs w:val="24"/>
          <w:highlight w:val="none"/>
        </w:rPr>
        <w:t xml:space="preserve"> </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，最大浓度占标率为4.32</w:t>
      </w:r>
      <w:r>
        <w:rPr>
          <w:rFonts w:hint="eastAsia"/>
          <w:kern w:val="2"/>
          <w:sz w:val="24"/>
          <w:szCs w:val="24"/>
          <w:highlight w:val="none"/>
        </w:rPr>
        <w:t xml:space="preserve"> </w:t>
      </w:r>
      <w:r>
        <w:rPr>
          <w:kern w:val="2"/>
          <w:sz w:val="24"/>
          <w:szCs w:val="24"/>
          <w:highlight w:val="none"/>
        </w:rPr>
        <w:t>%，出现距离为54</w:t>
      </w:r>
      <w:r>
        <w:rPr>
          <w:rFonts w:hint="eastAsia"/>
          <w:kern w:val="2"/>
          <w:sz w:val="24"/>
          <w:szCs w:val="24"/>
          <w:highlight w:val="none"/>
        </w:rPr>
        <w:t xml:space="preserve"> </w:t>
      </w:r>
      <w:r>
        <w:rPr>
          <w:kern w:val="2"/>
          <w:sz w:val="24"/>
          <w:szCs w:val="24"/>
          <w:highlight w:val="none"/>
        </w:rPr>
        <w:t>m。</w:t>
      </w:r>
      <w:r>
        <w:rPr>
          <w:rFonts w:hint="eastAsia"/>
          <w:kern w:val="2"/>
          <w:sz w:val="24"/>
          <w:szCs w:val="24"/>
          <w:highlight w:val="none"/>
          <w:lang w:val="en-US" w:eastAsia="zh-CN"/>
        </w:rPr>
        <w:t>成品</w:t>
      </w:r>
      <w:r>
        <w:rPr>
          <w:kern w:val="2"/>
          <w:sz w:val="24"/>
          <w:szCs w:val="24"/>
          <w:highlight w:val="none"/>
        </w:rPr>
        <w:t>库无组织排放的TSP最大浓度为54.10</w:t>
      </w:r>
      <w:r>
        <w:rPr>
          <w:rFonts w:hint="eastAsia"/>
          <w:kern w:val="2"/>
          <w:sz w:val="24"/>
          <w:szCs w:val="24"/>
          <w:highlight w:val="none"/>
        </w:rPr>
        <w:t xml:space="preserve"> </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，最大浓度占标率为6.01</w:t>
      </w:r>
      <w:r>
        <w:rPr>
          <w:rFonts w:hint="eastAsia"/>
          <w:kern w:val="2"/>
          <w:sz w:val="24"/>
          <w:szCs w:val="24"/>
          <w:highlight w:val="none"/>
        </w:rPr>
        <w:t xml:space="preserve"> </w:t>
      </w:r>
      <w:r>
        <w:rPr>
          <w:kern w:val="2"/>
          <w:sz w:val="24"/>
          <w:szCs w:val="24"/>
          <w:highlight w:val="none"/>
        </w:rPr>
        <w:t>%，出现距离为62</w:t>
      </w:r>
      <w:r>
        <w:rPr>
          <w:rFonts w:hint="eastAsia"/>
          <w:kern w:val="2"/>
          <w:sz w:val="24"/>
          <w:szCs w:val="24"/>
          <w:highlight w:val="none"/>
        </w:rPr>
        <w:t xml:space="preserve"> </w:t>
      </w:r>
      <w:r>
        <w:rPr>
          <w:kern w:val="2"/>
          <w:sz w:val="24"/>
          <w:szCs w:val="24"/>
          <w:highlight w:val="none"/>
        </w:rPr>
        <w:t>m。</w:t>
      </w:r>
    </w:p>
    <w:p>
      <w:pPr>
        <w:widowControl/>
        <w:ind w:firstLine="480"/>
        <w:jc w:val="both"/>
        <w:textAlignment w:val="auto"/>
        <w:rPr>
          <w:kern w:val="2"/>
          <w:sz w:val="24"/>
          <w:szCs w:val="24"/>
          <w:highlight w:val="none"/>
        </w:rPr>
      </w:pPr>
      <w:r>
        <w:rPr>
          <w:kern w:val="2"/>
          <w:sz w:val="24"/>
          <w:szCs w:val="24"/>
          <w:highlight w:val="none"/>
        </w:rPr>
        <w:t>根据无组织废气厂界预测结果，各厂界的预测浓度最大值均小于《铁矿采选工业污染物排放标准》（GB</w:t>
      </w:r>
      <w:r>
        <w:rPr>
          <w:rFonts w:hint="eastAsia"/>
          <w:kern w:val="2"/>
          <w:sz w:val="24"/>
          <w:szCs w:val="24"/>
          <w:highlight w:val="none"/>
        </w:rPr>
        <w:t xml:space="preserve"> </w:t>
      </w:r>
      <w:r>
        <w:rPr>
          <w:kern w:val="2"/>
          <w:sz w:val="24"/>
          <w:szCs w:val="24"/>
          <w:highlight w:val="none"/>
        </w:rPr>
        <w:t>28661-2012）表7中无组织排放浓度限值（1.0</w:t>
      </w:r>
      <w:r>
        <w:rPr>
          <w:rFonts w:hint="eastAsia"/>
          <w:kern w:val="2"/>
          <w:sz w:val="24"/>
          <w:szCs w:val="24"/>
          <w:highlight w:val="none"/>
        </w:rPr>
        <w:t xml:space="preserve"> </w:t>
      </w:r>
      <w:r>
        <w:rPr>
          <w:kern w:val="2"/>
          <w:sz w:val="24"/>
          <w:szCs w:val="24"/>
          <w:highlight w:val="none"/>
        </w:rPr>
        <w:t>mg/m</w:t>
      </w:r>
      <w:r>
        <w:rPr>
          <w:kern w:val="2"/>
          <w:sz w:val="24"/>
          <w:szCs w:val="24"/>
          <w:highlight w:val="none"/>
          <w:vertAlign w:val="superscript"/>
        </w:rPr>
        <w:t>3</w:t>
      </w:r>
      <w:r>
        <w:rPr>
          <w:kern w:val="2"/>
          <w:sz w:val="24"/>
          <w:szCs w:val="24"/>
          <w:highlight w:val="none"/>
        </w:rPr>
        <w:t>）。</w:t>
      </w:r>
    </w:p>
    <w:p>
      <w:pPr>
        <w:widowControl/>
        <w:wordWrap w:val="0"/>
        <w:ind w:firstLine="480"/>
        <w:textAlignment w:val="auto"/>
        <w:rPr>
          <w:kern w:val="2"/>
          <w:sz w:val="24"/>
          <w:szCs w:val="24"/>
          <w:highlight w:val="none"/>
        </w:rPr>
      </w:pPr>
      <w:r>
        <w:rPr>
          <w:kern w:val="2"/>
          <w:sz w:val="24"/>
          <w:szCs w:val="24"/>
          <w:highlight w:val="none"/>
        </w:rPr>
        <w:t>因此项目运行后对周围大气环境影响较小。</w:t>
      </w:r>
    </w:p>
    <w:p>
      <w:pPr>
        <w:pStyle w:val="3"/>
        <w:rPr>
          <w:szCs w:val="24"/>
          <w:highlight w:val="none"/>
        </w:rPr>
      </w:pPr>
      <w:r>
        <w:rPr>
          <w:bCs w:val="0"/>
          <w:szCs w:val="24"/>
          <w:highlight w:val="none"/>
        </w:rPr>
        <w:t>9.2.3.2地表水环境影响</w:t>
      </w:r>
    </w:p>
    <w:p>
      <w:pPr>
        <w:pStyle w:val="19"/>
        <w:spacing w:after="0" w:line="480" w:lineRule="exact"/>
        <w:ind w:firstLine="480"/>
        <w:jc w:val="both"/>
        <w:rPr>
          <w:bCs/>
          <w:sz w:val="24"/>
          <w:szCs w:val="24"/>
          <w:highlight w:val="none"/>
        </w:rPr>
      </w:pPr>
      <w:r>
        <w:rPr>
          <w:rFonts w:hint="eastAsia"/>
          <w:sz w:val="24"/>
          <w:szCs w:val="24"/>
          <w:highlight w:val="none"/>
          <w:lang w:val="en-US" w:eastAsia="zh-CN"/>
        </w:rPr>
        <w:t>本项目用水主要为振筛湿式作业用水，产生的废水泵入浓缩罐后经管道自流至北厂区干排系统处理，处理后作为球磨磁选用水回用、不外排</w:t>
      </w:r>
      <w:r>
        <w:rPr>
          <w:bCs/>
          <w:sz w:val="24"/>
          <w:szCs w:val="24"/>
          <w:highlight w:val="none"/>
        </w:rPr>
        <w:t>，不会对周围地表水环境产生影响。</w:t>
      </w:r>
    </w:p>
    <w:p>
      <w:pPr>
        <w:pStyle w:val="3"/>
        <w:rPr>
          <w:highlight w:val="none"/>
        </w:rPr>
      </w:pPr>
      <w:r>
        <w:rPr>
          <w:highlight w:val="none"/>
        </w:rPr>
        <w:t>9.2.3.3声环境影响</w:t>
      </w:r>
    </w:p>
    <w:p>
      <w:pPr>
        <w:tabs>
          <w:tab w:val="right" w:leader="dot" w:pos="8647"/>
        </w:tabs>
        <w:ind w:firstLine="480"/>
        <w:jc w:val="both"/>
        <w:rPr>
          <w:sz w:val="24"/>
          <w:highlight w:val="none"/>
        </w:rPr>
      </w:pPr>
      <w:r>
        <w:rPr>
          <w:sz w:val="24"/>
          <w:highlight w:val="none"/>
        </w:rPr>
        <w:t>本项目噪声源主要来自生产过程中各种设备运行噪声，在采取本报告提出的噪声防治措施，再经墙体阻隔、距离衰减后，项目各种设备运转噪声对厂界处的噪声贡献值不大，经预测，项目厂界四周噪声贡献值均能达到《工业企业厂界环境噪声排放标准》（GB12348-2008）中的2类标准限值。本项目周边200m范围内无敏感点。因此，本项目的建设对项目所在地声环境影响较小。</w:t>
      </w:r>
    </w:p>
    <w:p>
      <w:pPr>
        <w:pStyle w:val="3"/>
        <w:rPr>
          <w:highlight w:val="none"/>
        </w:rPr>
      </w:pPr>
      <w:r>
        <w:rPr>
          <w:highlight w:val="none"/>
        </w:rPr>
        <w:t>9.2.3.4固体废物</w:t>
      </w:r>
    </w:p>
    <w:p>
      <w:pPr>
        <w:tabs>
          <w:tab w:val="right" w:leader="dot" w:pos="8647"/>
        </w:tabs>
        <w:ind w:firstLine="480"/>
        <w:jc w:val="both"/>
        <w:rPr>
          <w:bCs/>
          <w:sz w:val="24"/>
          <w:szCs w:val="24"/>
          <w:highlight w:val="none"/>
        </w:rPr>
      </w:pPr>
      <w:r>
        <w:rPr>
          <w:sz w:val="24"/>
          <w:highlight w:val="none"/>
        </w:rPr>
        <w:t>本项目产生的固体废物均得到合理处理、处置，不会对周围环境造成二次污染。</w:t>
      </w:r>
    </w:p>
    <w:p>
      <w:pPr>
        <w:pStyle w:val="3"/>
        <w:rPr>
          <w:highlight w:val="none"/>
        </w:rPr>
      </w:pPr>
      <w:r>
        <w:rPr>
          <w:highlight w:val="none"/>
        </w:rPr>
        <w:t>9.2.3.5生态环境影响</w:t>
      </w:r>
    </w:p>
    <w:p>
      <w:pPr>
        <w:tabs>
          <w:tab w:val="right" w:leader="dot" w:pos="8647"/>
        </w:tabs>
        <w:ind w:firstLine="480"/>
        <w:jc w:val="both"/>
        <w:rPr>
          <w:sz w:val="24"/>
          <w:highlight w:val="none"/>
        </w:rPr>
      </w:pPr>
      <w:r>
        <w:rPr>
          <w:sz w:val="24"/>
          <w:highlight w:val="none"/>
        </w:rPr>
        <w:t>本项目</w:t>
      </w:r>
      <w:r>
        <w:rPr>
          <w:rFonts w:hint="eastAsia"/>
          <w:sz w:val="24"/>
          <w:highlight w:val="none"/>
          <w:lang w:val="en-US" w:eastAsia="zh-CN"/>
        </w:rPr>
        <w:t>在</w:t>
      </w:r>
      <w:r>
        <w:rPr>
          <w:rFonts w:hint="eastAsia"/>
          <w:sz w:val="24"/>
          <w:szCs w:val="24"/>
          <w:highlight w:val="none"/>
        </w:rPr>
        <w:t>遵化市恒泰矿业有限公司</w:t>
      </w:r>
      <w:r>
        <w:rPr>
          <w:rFonts w:hint="eastAsia"/>
          <w:sz w:val="24"/>
          <w:szCs w:val="24"/>
          <w:highlight w:val="none"/>
          <w:lang w:val="en-US" w:eastAsia="zh-CN"/>
        </w:rPr>
        <w:t>现有南厂区内进行建设，</w:t>
      </w:r>
      <w:r>
        <w:rPr>
          <w:sz w:val="24"/>
          <w:highlight w:val="none"/>
        </w:rPr>
        <w:t>占地为</w:t>
      </w:r>
      <w:r>
        <w:rPr>
          <w:rFonts w:hint="eastAsia"/>
          <w:sz w:val="24"/>
          <w:highlight w:val="none"/>
          <w:lang w:val="en-US" w:eastAsia="zh-CN"/>
        </w:rPr>
        <w:t>建设</w:t>
      </w:r>
      <w:r>
        <w:rPr>
          <w:sz w:val="24"/>
          <w:highlight w:val="none"/>
        </w:rPr>
        <w:t>用地，无地表植被覆盖，项目建设不会对区域生态环境质量产生不利影响。</w:t>
      </w:r>
    </w:p>
    <w:p>
      <w:pPr>
        <w:pStyle w:val="6"/>
        <w:rPr>
          <w:highlight w:val="none"/>
        </w:rPr>
      </w:pPr>
      <w:bookmarkStart w:id="808" w:name="_Toc477175447"/>
      <w:bookmarkStart w:id="809" w:name="_Toc521591847"/>
      <w:bookmarkStart w:id="810" w:name="_Toc12540"/>
      <w:r>
        <w:rPr>
          <w:highlight w:val="none"/>
        </w:rPr>
        <w:t>9.2.</w:t>
      </w:r>
      <w:bookmarkEnd w:id="808"/>
      <w:bookmarkEnd w:id="809"/>
      <w:r>
        <w:rPr>
          <w:highlight w:val="none"/>
        </w:rPr>
        <w:t>4环境保护措施</w:t>
      </w:r>
      <w:bookmarkEnd w:id="810"/>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（1）废气治理措施</w:t>
      </w:r>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①矿石破碎、筛分过程中产生的颗粒物</w:t>
      </w:r>
    </w:p>
    <w:p>
      <w:pPr>
        <w:tabs>
          <w:tab w:val="right" w:leader="dot" w:pos="8647"/>
        </w:tabs>
        <w:snapToGrid w:val="0"/>
        <w:ind w:firstLine="480"/>
        <w:jc w:val="both"/>
        <w:rPr>
          <w:bCs/>
          <w:color w:val="000000"/>
          <w:sz w:val="24"/>
          <w:szCs w:val="24"/>
          <w:highlight w:val="none"/>
        </w:rPr>
      </w:pPr>
      <w:r>
        <w:rPr>
          <w:rFonts w:hint="eastAsia"/>
          <w:bCs/>
          <w:color w:val="000000"/>
          <w:sz w:val="24"/>
          <w:szCs w:val="24"/>
          <w:highlight w:val="none"/>
        </w:rPr>
        <w:t>破碎生产线颚破工序入料口皮质软帘封闭；出料口设置集气罩+集尘管道；</w:t>
      </w:r>
      <w:r>
        <w:rPr>
          <w:rFonts w:hint="eastAsia"/>
          <w:bCs/>
          <w:color w:val="000000"/>
          <w:sz w:val="24"/>
          <w:szCs w:val="24"/>
          <w:highlight w:val="none"/>
          <w:lang w:val="en-US" w:eastAsia="zh-CN"/>
        </w:rPr>
        <w:t>圆锥</w:t>
      </w:r>
      <w:r>
        <w:rPr>
          <w:rFonts w:hint="eastAsia"/>
          <w:bCs/>
          <w:color w:val="000000"/>
          <w:sz w:val="24"/>
          <w:szCs w:val="24"/>
          <w:highlight w:val="none"/>
        </w:rPr>
        <w:t>破工序入料口上方设置集气罩+集尘管道；出料口设置集气罩+集尘管道；筛分工序入料口设置集气罩、筛面封闭+集尘管道；出料口设置集气罩+集尘管道；料仓顶部封闭+集尘管道，出料口设置集气罩+集尘管道。每条破碎及筛分生产线设置1套离线清灰脉冲布袋除尘器，最终经20m高排气筒排放，</w:t>
      </w:r>
      <w:r>
        <w:rPr>
          <w:rFonts w:hint="eastAsia"/>
          <w:sz w:val="24"/>
          <w:szCs w:val="24"/>
          <w:highlight w:val="none"/>
        </w:rPr>
        <w:t>颗粒物的排放浓度满足</w:t>
      </w:r>
      <w:r>
        <w:rPr>
          <w:rFonts w:hint="eastAsia"/>
          <w:snapToGrid w:val="0"/>
          <w:sz w:val="24"/>
          <w:szCs w:val="24"/>
          <w:highlight w:val="none"/>
        </w:rPr>
        <w:t>《铁矿采选工业污染物排放标准》（GB28661-2012）表6中规定的选矿厂各工艺污染物特别排放限值，破碎生产工序颗粒</w:t>
      </w:r>
      <w:r>
        <w:rPr>
          <w:rFonts w:hint="eastAsia"/>
          <w:snapToGrid w:val="0"/>
          <w:sz w:val="24"/>
          <w:highlight w:val="none"/>
        </w:rPr>
        <w:t>物最高允许排放限值为10mg/Nm</w:t>
      </w:r>
      <w:r>
        <w:rPr>
          <w:rFonts w:hint="eastAsia"/>
          <w:snapToGrid w:val="0"/>
          <w:sz w:val="24"/>
          <w:highlight w:val="none"/>
          <w:vertAlign w:val="superscript"/>
        </w:rPr>
        <w:t>3</w:t>
      </w:r>
      <w:r>
        <w:rPr>
          <w:rFonts w:hint="eastAsia"/>
          <w:snapToGrid w:val="0"/>
          <w:sz w:val="24"/>
          <w:highlight w:val="none"/>
        </w:rPr>
        <w:t>，</w:t>
      </w:r>
      <w:r>
        <w:rPr>
          <w:rFonts w:hint="eastAsia"/>
          <w:bCs/>
          <w:color w:val="000000"/>
          <w:sz w:val="24"/>
          <w:szCs w:val="24"/>
          <w:highlight w:val="none"/>
        </w:rPr>
        <w:t>最终经20m高排气筒排放。</w:t>
      </w:r>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②物料装卸、储存、转运过程中产生的颗粒物</w:t>
      </w:r>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本项目物料在装卸、储存、转运过程均在封闭的车间内进行，不存在物料露天转运，并在装卸、储存、转运过程中采取喷雾抑尘措施（电伴热，管路使用保温棉保温），厂区道路由专人负责定期清扫、洒水抑尘，并在厂区门口设置汽车平台。采取上述措施后，本项目无组织排放颗粒物浓度满足《铁矿采选工业污染物排放标准》（GB28661-2012）表7中作业场所边界处颗粒物无组织排放限值为1.0mg/Nm3要求。</w:t>
      </w:r>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（2）废水治理措施</w:t>
      </w:r>
    </w:p>
    <w:p>
      <w:pPr>
        <w:pStyle w:val="19"/>
        <w:spacing w:after="0" w:line="480" w:lineRule="exact"/>
        <w:ind w:firstLine="480"/>
        <w:jc w:val="both"/>
        <w:rPr>
          <w:bCs/>
          <w:sz w:val="24"/>
          <w:szCs w:val="24"/>
          <w:highlight w:val="none"/>
        </w:rPr>
      </w:pPr>
      <w:r>
        <w:rPr>
          <w:rFonts w:hint="eastAsia"/>
          <w:sz w:val="24"/>
          <w:szCs w:val="24"/>
          <w:highlight w:val="none"/>
          <w:lang w:val="en-US" w:eastAsia="zh-CN"/>
        </w:rPr>
        <w:t>本项目用水主要为振筛湿式作业用水，产生的废水泵入浓缩罐后经管道自流至北厂区干排系统处理，处理后作为球磨磁选用水回用、不外排</w:t>
      </w:r>
      <w:r>
        <w:rPr>
          <w:bCs/>
          <w:sz w:val="24"/>
          <w:szCs w:val="24"/>
          <w:highlight w:val="none"/>
        </w:rPr>
        <w:t>，不会对周围地表水环境产生影响。</w:t>
      </w:r>
    </w:p>
    <w:p>
      <w:pPr>
        <w:snapToGrid w:val="0"/>
        <w:ind w:firstLine="480"/>
        <w:jc w:val="both"/>
        <w:rPr>
          <w:color w:val="000000"/>
          <w:sz w:val="24"/>
          <w:szCs w:val="24"/>
          <w:highlight w:val="none"/>
        </w:rPr>
      </w:pPr>
      <w:r>
        <w:rPr>
          <w:rFonts w:hint="eastAsia"/>
          <w:color w:val="000000"/>
          <w:sz w:val="24"/>
          <w:szCs w:val="24"/>
          <w:highlight w:val="none"/>
        </w:rPr>
        <w:t>（3）噪声治理措施</w:t>
      </w:r>
    </w:p>
    <w:p>
      <w:pPr>
        <w:snapToGrid w:val="0"/>
        <w:ind w:firstLine="480"/>
        <w:jc w:val="both"/>
        <w:rPr>
          <w:bCs/>
          <w:color w:val="000000"/>
          <w:sz w:val="24"/>
          <w:szCs w:val="24"/>
          <w:highlight w:val="none"/>
        </w:rPr>
      </w:pPr>
      <w:r>
        <w:rPr>
          <w:color w:val="000000"/>
          <w:sz w:val="24"/>
          <w:szCs w:val="24"/>
          <w:highlight w:val="none"/>
        </w:rPr>
        <w:t>本</w:t>
      </w:r>
      <w:r>
        <w:rPr>
          <w:rFonts w:hint="eastAsia"/>
          <w:color w:val="000000"/>
          <w:sz w:val="24"/>
          <w:szCs w:val="24"/>
          <w:highlight w:val="none"/>
        </w:rPr>
        <w:t>项目</w:t>
      </w:r>
      <w:r>
        <w:rPr>
          <w:color w:val="000000"/>
          <w:sz w:val="24"/>
          <w:szCs w:val="24"/>
          <w:highlight w:val="none"/>
        </w:rPr>
        <w:t>噪声主要为</w:t>
      </w:r>
      <w:r>
        <w:rPr>
          <w:rFonts w:hint="eastAsia"/>
          <w:color w:val="000000"/>
          <w:sz w:val="24"/>
          <w:szCs w:val="24"/>
          <w:highlight w:val="none"/>
        </w:rPr>
        <w:t>破碎机、振动筛</w:t>
      </w:r>
      <w:r>
        <w:rPr>
          <w:rFonts w:hint="eastAsia"/>
          <w:color w:val="000000"/>
          <w:kern w:val="2"/>
          <w:sz w:val="24"/>
          <w:szCs w:val="24"/>
          <w:highlight w:val="none"/>
        </w:rPr>
        <w:t>、磁选机</w:t>
      </w:r>
      <w:r>
        <w:rPr>
          <w:color w:val="000000"/>
          <w:kern w:val="2"/>
          <w:sz w:val="24"/>
          <w:szCs w:val="24"/>
          <w:highlight w:val="none"/>
        </w:rPr>
        <w:t>、水泵等</w:t>
      </w:r>
      <w:r>
        <w:rPr>
          <w:rFonts w:hint="eastAsia"/>
          <w:color w:val="000000"/>
          <w:sz w:val="24"/>
          <w:szCs w:val="24"/>
          <w:highlight w:val="none"/>
        </w:rPr>
        <w:t>设备运行时产生的</w:t>
      </w:r>
      <w:r>
        <w:rPr>
          <w:color w:val="000000"/>
          <w:sz w:val="24"/>
          <w:szCs w:val="24"/>
          <w:highlight w:val="none"/>
        </w:rPr>
        <w:t>噪声</w:t>
      </w:r>
      <w:r>
        <w:rPr>
          <w:rFonts w:hint="eastAsia"/>
          <w:color w:val="000000"/>
          <w:sz w:val="24"/>
          <w:szCs w:val="24"/>
          <w:highlight w:val="none"/>
        </w:rPr>
        <w:t>。</w:t>
      </w:r>
      <w:r>
        <w:rPr>
          <w:rFonts w:hint="eastAsia"/>
          <w:bCs/>
          <w:color w:val="000000"/>
          <w:sz w:val="24"/>
          <w:szCs w:val="24"/>
          <w:highlight w:val="none"/>
        </w:rPr>
        <w:t>设备置于封闭车间内，基础减震，泵类设置软连接，风机加装隔声罩等措施，确保厂界噪声达标。</w:t>
      </w:r>
    </w:p>
    <w:p>
      <w:pPr>
        <w:tabs>
          <w:tab w:val="right" w:leader="dot" w:pos="8647"/>
        </w:tabs>
        <w:snapToGrid w:val="0"/>
        <w:ind w:firstLine="480"/>
        <w:jc w:val="both"/>
        <w:rPr>
          <w:color w:val="000000"/>
          <w:kern w:val="2"/>
          <w:sz w:val="24"/>
          <w:szCs w:val="24"/>
          <w:highlight w:val="none"/>
        </w:rPr>
      </w:pPr>
      <w:r>
        <w:rPr>
          <w:rFonts w:hint="eastAsia"/>
          <w:color w:val="000000"/>
          <w:kern w:val="2"/>
          <w:sz w:val="24"/>
          <w:szCs w:val="24"/>
          <w:highlight w:val="none"/>
        </w:rPr>
        <w:t>（4）固体废物治理措施</w:t>
      </w:r>
    </w:p>
    <w:p>
      <w:pPr>
        <w:tabs>
          <w:tab w:val="right" w:leader="dot" w:pos="8647"/>
        </w:tabs>
        <w:ind w:firstLine="480"/>
        <w:jc w:val="both"/>
        <w:rPr>
          <w:rFonts w:cs="宋体"/>
          <w:color w:val="000000"/>
          <w:sz w:val="24"/>
          <w:highlight w:val="none"/>
        </w:rPr>
      </w:pPr>
      <w:r>
        <w:rPr>
          <w:rFonts w:hint="eastAsia"/>
          <w:color w:val="000000"/>
          <w:kern w:val="2"/>
          <w:sz w:val="24"/>
          <w:szCs w:val="24"/>
          <w:highlight w:val="none"/>
        </w:rPr>
        <w:t>本项目</w:t>
      </w:r>
      <w:r>
        <w:rPr>
          <w:rFonts w:hint="eastAsia"/>
          <w:color w:val="000000"/>
          <w:kern w:val="2"/>
          <w:sz w:val="24"/>
          <w:szCs w:val="24"/>
          <w:highlight w:val="none"/>
          <w:lang w:val="en-US" w:eastAsia="zh-CN"/>
        </w:rPr>
        <w:t>砂石料</w:t>
      </w:r>
      <w:r>
        <w:rPr>
          <w:rFonts w:hint="eastAsia"/>
          <w:color w:val="000000"/>
          <w:kern w:val="2"/>
          <w:sz w:val="24"/>
          <w:szCs w:val="24"/>
          <w:highlight w:val="none"/>
        </w:rPr>
        <w:t>外售周边建材企业综合利用，</w:t>
      </w:r>
      <w:r>
        <w:rPr>
          <w:rFonts w:hint="eastAsia"/>
          <w:color w:val="000000"/>
          <w:kern w:val="2"/>
          <w:sz w:val="24"/>
          <w:szCs w:val="24"/>
          <w:highlight w:val="none"/>
          <w:lang w:val="en-US" w:eastAsia="zh-CN"/>
        </w:rPr>
        <w:t>除尘灰集中收集后进入球磨工序</w:t>
      </w:r>
      <w:r>
        <w:rPr>
          <w:rFonts w:hint="eastAsia"/>
          <w:color w:val="000000"/>
          <w:sz w:val="24"/>
          <w:szCs w:val="24"/>
          <w:highlight w:val="none"/>
        </w:rPr>
        <w:t>；</w:t>
      </w:r>
      <w:r>
        <w:rPr>
          <w:rFonts w:hint="eastAsia"/>
          <w:bCs/>
          <w:color w:val="000000"/>
          <w:sz w:val="24"/>
          <w:szCs w:val="24"/>
          <w:highlight w:val="none"/>
        </w:rPr>
        <w:t>危险废物废矿物油、废油桶暂存于厂内危废间，定期送有资质的危险废物处置单位处理。</w:t>
      </w:r>
      <w:r>
        <w:rPr>
          <w:rFonts w:hint="eastAsia" w:cs="宋体"/>
          <w:color w:val="000000"/>
          <w:sz w:val="24"/>
          <w:highlight w:val="none"/>
        </w:rPr>
        <w:t>整体环保措施可行。</w:t>
      </w:r>
    </w:p>
    <w:p>
      <w:pPr>
        <w:pStyle w:val="6"/>
        <w:rPr>
          <w:highlight w:val="none"/>
        </w:rPr>
      </w:pPr>
      <w:bookmarkStart w:id="811" w:name="_Toc521591850"/>
      <w:bookmarkStart w:id="812" w:name="_Toc477175450"/>
      <w:bookmarkStart w:id="813" w:name="_Toc16767"/>
      <w:r>
        <w:rPr>
          <w:highlight w:val="none"/>
        </w:rPr>
        <w:t>9.2.</w:t>
      </w:r>
      <w:r>
        <w:rPr>
          <w:rFonts w:hint="eastAsia"/>
          <w:highlight w:val="none"/>
        </w:rPr>
        <w:t>5总量控制</w:t>
      </w:r>
    </w:p>
    <w:p>
      <w:pPr>
        <w:ind w:firstLine="480"/>
        <w:jc w:val="both"/>
        <w:rPr>
          <w:sz w:val="24"/>
          <w:szCs w:val="24"/>
          <w:highlight w:val="none"/>
        </w:rPr>
      </w:pPr>
      <w:r>
        <w:rPr>
          <w:rFonts w:hint="eastAsia"/>
          <w:sz w:val="24"/>
          <w:szCs w:val="24"/>
          <w:highlight w:val="none"/>
        </w:rPr>
        <w:t>本项目废气污染物主要为颗粒物，无生产生活废水外排，因此，</w:t>
      </w:r>
      <w:r>
        <w:rPr>
          <w:sz w:val="24"/>
          <w:szCs w:val="24"/>
          <w:highlight w:val="none"/>
        </w:rPr>
        <w:t>本项目建议总量控制指标为：SO</w:t>
      </w:r>
      <w:r>
        <w:rPr>
          <w:sz w:val="24"/>
          <w:szCs w:val="24"/>
          <w:highlight w:val="none"/>
          <w:vertAlign w:val="subscript"/>
        </w:rPr>
        <w:t>2</w:t>
      </w:r>
      <w:r>
        <w:rPr>
          <w:sz w:val="24"/>
          <w:szCs w:val="24"/>
          <w:highlight w:val="none"/>
        </w:rPr>
        <w:t>：</w:t>
      </w:r>
      <w:r>
        <w:rPr>
          <w:rFonts w:hint="eastAsia"/>
          <w:sz w:val="24"/>
          <w:szCs w:val="24"/>
          <w:highlight w:val="none"/>
        </w:rPr>
        <w:t>0</w:t>
      </w:r>
      <w:r>
        <w:rPr>
          <w:sz w:val="24"/>
          <w:szCs w:val="24"/>
          <w:highlight w:val="none"/>
        </w:rPr>
        <w:t>t/a；NO</w:t>
      </w:r>
      <w:r>
        <w:rPr>
          <w:sz w:val="24"/>
          <w:szCs w:val="24"/>
          <w:highlight w:val="none"/>
          <w:vertAlign w:val="subscript"/>
        </w:rPr>
        <w:t>x</w:t>
      </w:r>
      <w:r>
        <w:rPr>
          <w:sz w:val="24"/>
          <w:szCs w:val="24"/>
          <w:highlight w:val="none"/>
        </w:rPr>
        <w:t>：</w:t>
      </w:r>
      <w:r>
        <w:rPr>
          <w:rFonts w:hint="eastAsia"/>
          <w:sz w:val="24"/>
          <w:szCs w:val="24"/>
          <w:highlight w:val="none"/>
        </w:rPr>
        <w:t>0</w:t>
      </w:r>
      <w:r>
        <w:rPr>
          <w:sz w:val="24"/>
          <w:szCs w:val="24"/>
          <w:highlight w:val="none"/>
        </w:rPr>
        <w:t>t/a；COD：0t/a；氨氮：</w:t>
      </w:r>
      <w:r>
        <w:rPr>
          <w:rFonts w:hint="eastAsia"/>
          <w:sz w:val="24"/>
          <w:szCs w:val="24"/>
          <w:highlight w:val="none"/>
        </w:rPr>
        <w:t>0</w:t>
      </w:r>
      <w:r>
        <w:rPr>
          <w:sz w:val="24"/>
          <w:szCs w:val="24"/>
          <w:highlight w:val="none"/>
        </w:rPr>
        <w:t>t/a</w:t>
      </w:r>
      <w:r>
        <w:rPr>
          <w:rFonts w:hint="eastAsia"/>
          <w:sz w:val="24"/>
          <w:szCs w:val="24"/>
          <w:highlight w:val="none"/>
        </w:rPr>
        <w:t>、颗粒物：</w:t>
      </w:r>
      <w:r>
        <w:rPr>
          <w:rFonts w:hint="eastAsia"/>
          <w:bCs/>
          <w:sz w:val="24"/>
          <w:szCs w:val="24"/>
          <w:highlight w:val="none"/>
        </w:rPr>
        <w:t>2.88</w:t>
      </w:r>
      <w:r>
        <w:rPr>
          <w:rFonts w:cs="宋体"/>
          <w:sz w:val="24"/>
          <w:szCs w:val="24"/>
          <w:highlight w:val="none"/>
        </w:rPr>
        <w:t>t/a</w:t>
      </w:r>
      <w:r>
        <w:rPr>
          <w:sz w:val="24"/>
          <w:szCs w:val="24"/>
          <w:highlight w:val="none"/>
        </w:rPr>
        <w:t>。</w:t>
      </w:r>
    </w:p>
    <w:p>
      <w:pPr>
        <w:ind w:firstLine="480"/>
        <w:jc w:val="both"/>
        <w:rPr>
          <w:bCs/>
          <w:sz w:val="24"/>
          <w:szCs w:val="24"/>
          <w:highlight w:val="none"/>
        </w:rPr>
      </w:pPr>
      <w:r>
        <w:rPr>
          <w:rFonts w:hint="eastAsia"/>
          <w:bCs/>
          <w:sz w:val="24"/>
          <w:szCs w:val="24"/>
          <w:highlight w:val="none"/>
          <w:lang w:val="en-US" w:eastAsia="zh-CN"/>
        </w:rPr>
        <w:t>现有工程总量控制指标：</w:t>
      </w:r>
      <w:r>
        <w:rPr>
          <w:rFonts w:hint="eastAsia"/>
          <w:bCs/>
          <w:sz w:val="24"/>
          <w:szCs w:val="24"/>
          <w:highlight w:val="none"/>
        </w:rPr>
        <w:t>SO</w:t>
      </w:r>
      <w:r>
        <w:rPr>
          <w:rFonts w:hint="eastAsia"/>
          <w:bCs/>
          <w:sz w:val="24"/>
          <w:szCs w:val="24"/>
          <w:highlight w:val="none"/>
          <w:vertAlign w:val="subscript"/>
        </w:rPr>
        <w:t>2</w:t>
      </w:r>
      <w:r>
        <w:rPr>
          <w:rFonts w:hint="eastAsia"/>
          <w:bCs/>
          <w:sz w:val="24"/>
          <w:szCs w:val="24"/>
          <w:highlight w:val="none"/>
        </w:rPr>
        <w:t>：0t/a、NO</w:t>
      </w:r>
      <w:r>
        <w:rPr>
          <w:rFonts w:hint="eastAsia"/>
          <w:bCs/>
          <w:sz w:val="24"/>
          <w:szCs w:val="24"/>
          <w:highlight w:val="none"/>
          <w:vertAlign w:val="subscript"/>
        </w:rPr>
        <w:t>X</w:t>
      </w:r>
      <w:r>
        <w:rPr>
          <w:rFonts w:hint="eastAsia"/>
          <w:bCs/>
          <w:sz w:val="24"/>
          <w:szCs w:val="24"/>
          <w:highlight w:val="none"/>
        </w:rPr>
        <w:t>：0t/a，颗粒物：</w:t>
      </w:r>
      <w:r>
        <w:rPr>
          <w:rFonts w:hint="eastAsia"/>
          <w:bCs/>
          <w:sz w:val="24"/>
          <w:szCs w:val="24"/>
          <w:highlight w:val="none"/>
          <w:lang w:val="en-US" w:eastAsia="zh-CN"/>
        </w:rPr>
        <w:t>2.88</w:t>
      </w:r>
      <w:r>
        <w:rPr>
          <w:rFonts w:hint="eastAsia"/>
          <w:bCs/>
          <w:sz w:val="24"/>
          <w:szCs w:val="24"/>
          <w:highlight w:val="none"/>
        </w:rPr>
        <w:t>t/a；COD：0t/a、氨氮：0t/a。</w:t>
      </w:r>
    </w:p>
    <w:p>
      <w:pPr>
        <w:ind w:firstLine="480"/>
        <w:jc w:val="both"/>
        <w:rPr>
          <w:highlight w:val="none"/>
        </w:rPr>
      </w:pPr>
      <w:r>
        <w:rPr>
          <w:rFonts w:hint="eastAsia"/>
          <w:bCs/>
          <w:sz w:val="24"/>
          <w:szCs w:val="24"/>
          <w:highlight w:val="none"/>
        </w:rPr>
        <w:t>因此，</w:t>
      </w:r>
      <w:r>
        <w:rPr>
          <w:rFonts w:hint="eastAsia"/>
          <w:bCs/>
          <w:sz w:val="24"/>
          <w:szCs w:val="24"/>
          <w:highlight w:val="none"/>
          <w:lang w:val="en-US" w:eastAsia="zh-CN"/>
        </w:rPr>
        <w:t>本</w:t>
      </w:r>
      <w:r>
        <w:rPr>
          <w:rFonts w:hint="eastAsia"/>
          <w:bCs/>
          <w:sz w:val="24"/>
          <w:szCs w:val="24"/>
          <w:highlight w:val="none"/>
        </w:rPr>
        <w:t>项目建成后</w:t>
      </w:r>
      <w:r>
        <w:rPr>
          <w:rFonts w:hint="eastAsia"/>
          <w:bCs/>
          <w:sz w:val="24"/>
          <w:szCs w:val="24"/>
          <w:highlight w:val="none"/>
          <w:lang w:val="en-US" w:eastAsia="zh-CN"/>
        </w:rPr>
        <w:t>全厂</w:t>
      </w:r>
      <w:r>
        <w:rPr>
          <w:rFonts w:hint="eastAsia"/>
          <w:bCs/>
          <w:sz w:val="24"/>
          <w:szCs w:val="24"/>
          <w:highlight w:val="none"/>
        </w:rPr>
        <w:t>总量控制指标</w:t>
      </w:r>
      <w:r>
        <w:rPr>
          <w:rFonts w:hint="eastAsia"/>
          <w:bCs/>
          <w:sz w:val="24"/>
          <w:szCs w:val="24"/>
          <w:highlight w:val="none"/>
          <w:lang w:val="en-US" w:eastAsia="zh-CN"/>
        </w:rPr>
        <w:t>为：</w:t>
      </w:r>
      <w:r>
        <w:rPr>
          <w:rFonts w:hint="eastAsia"/>
          <w:bCs/>
          <w:sz w:val="24"/>
          <w:szCs w:val="24"/>
          <w:highlight w:val="none"/>
        </w:rPr>
        <w:t>SO</w:t>
      </w:r>
      <w:r>
        <w:rPr>
          <w:rFonts w:hint="eastAsia"/>
          <w:bCs/>
          <w:sz w:val="24"/>
          <w:szCs w:val="24"/>
          <w:highlight w:val="none"/>
          <w:vertAlign w:val="subscript"/>
        </w:rPr>
        <w:t>2</w:t>
      </w:r>
      <w:r>
        <w:rPr>
          <w:rFonts w:hint="eastAsia"/>
          <w:bCs/>
          <w:sz w:val="24"/>
          <w:szCs w:val="24"/>
          <w:highlight w:val="none"/>
        </w:rPr>
        <w:t>：0t/a、NO</w:t>
      </w:r>
      <w:r>
        <w:rPr>
          <w:rFonts w:hint="eastAsia"/>
          <w:bCs/>
          <w:sz w:val="24"/>
          <w:szCs w:val="24"/>
          <w:highlight w:val="none"/>
          <w:vertAlign w:val="subscript"/>
        </w:rPr>
        <w:t>X</w:t>
      </w:r>
      <w:r>
        <w:rPr>
          <w:rFonts w:hint="eastAsia"/>
          <w:bCs/>
          <w:sz w:val="24"/>
          <w:szCs w:val="24"/>
          <w:highlight w:val="none"/>
        </w:rPr>
        <w:t>：0t/a，颗粒物：</w:t>
      </w:r>
      <w:r>
        <w:rPr>
          <w:rFonts w:hint="eastAsia"/>
          <w:bCs/>
          <w:sz w:val="24"/>
          <w:szCs w:val="24"/>
          <w:highlight w:val="none"/>
          <w:lang w:val="en-US" w:eastAsia="zh-CN"/>
        </w:rPr>
        <w:t>5.76</w:t>
      </w:r>
      <w:r>
        <w:rPr>
          <w:rFonts w:hint="eastAsia"/>
          <w:bCs/>
          <w:sz w:val="24"/>
          <w:szCs w:val="24"/>
          <w:highlight w:val="none"/>
        </w:rPr>
        <w:t>t/a；COD：0t/a、氨氮：0t/a。</w:t>
      </w:r>
    </w:p>
    <w:p>
      <w:pPr>
        <w:pStyle w:val="6"/>
        <w:rPr>
          <w:highlight w:val="none"/>
        </w:rPr>
      </w:pPr>
      <w:r>
        <w:rPr>
          <w:rFonts w:hint="eastAsia"/>
          <w:highlight w:val="none"/>
        </w:rPr>
        <w:t>9.2.6</w:t>
      </w:r>
      <w:r>
        <w:rPr>
          <w:highlight w:val="none"/>
        </w:rPr>
        <w:t>环境影响经济损益分析</w:t>
      </w:r>
      <w:bookmarkEnd w:id="811"/>
      <w:bookmarkEnd w:id="812"/>
      <w:bookmarkEnd w:id="813"/>
    </w:p>
    <w:p>
      <w:pPr>
        <w:tabs>
          <w:tab w:val="right" w:leader="dot" w:pos="8647"/>
        </w:tabs>
        <w:ind w:firstLine="480"/>
        <w:jc w:val="both"/>
        <w:rPr>
          <w:sz w:val="24"/>
          <w:highlight w:val="none"/>
        </w:rPr>
      </w:pPr>
      <w:r>
        <w:rPr>
          <w:sz w:val="24"/>
          <w:highlight w:val="none"/>
        </w:rPr>
        <w:t>本项目建设，从环境经济效益指标如环境成本比率、环境系数、环境代价比率和环境投资效益来看，本工程环境代价和环保成本较低，而环境效益却较为明显，从环境经济角度来看合理可行。</w:t>
      </w:r>
    </w:p>
    <w:p>
      <w:pPr>
        <w:pStyle w:val="6"/>
        <w:rPr>
          <w:highlight w:val="none"/>
        </w:rPr>
      </w:pPr>
      <w:bookmarkStart w:id="814" w:name="_Toc20130"/>
      <w:bookmarkStart w:id="815" w:name="_Toc477175451"/>
      <w:bookmarkStart w:id="816" w:name="_Toc521591851"/>
      <w:r>
        <w:rPr>
          <w:highlight w:val="none"/>
        </w:rPr>
        <w:t>9.2.</w:t>
      </w:r>
      <w:r>
        <w:rPr>
          <w:rFonts w:hint="eastAsia"/>
          <w:highlight w:val="none"/>
        </w:rPr>
        <w:t>7</w:t>
      </w:r>
      <w:r>
        <w:rPr>
          <w:highlight w:val="none"/>
        </w:rPr>
        <w:t>环境管理与监测计划</w:t>
      </w:r>
      <w:bookmarkEnd w:id="814"/>
      <w:bookmarkEnd w:id="815"/>
      <w:bookmarkEnd w:id="816"/>
    </w:p>
    <w:p>
      <w:pPr>
        <w:tabs>
          <w:tab w:val="right" w:leader="dot" w:pos="8647"/>
        </w:tabs>
        <w:ind w:firstLine="480"/>
        <w:jc w:val="both"/>
        <w:rPr>
          <w:sz w:val="24"/>
          <w:highlight w:val="none"/>
        </w:rPr>
      </w:pPr>
      <w:r>
        <w:rPr>
          <w:sz w:val="24"/>
          <w:highlight w:val="none"/>
        </w:rPr>
        <w:t>根据实际情况，本项目应建立以公司总经理负责、分管副经理兼管环保工作、各职能部门各负其责的环境管理体系。</w:t>
      </w:r>
    </w:p>
    <w:p>
      <w:pPr>
        <w:tabs>
          <w:tab w:val="right" w:leader="dot" w:pos="8647"/>
        </w:tabs>
        <w:ind w:firstLine="480"/>
        <w:jc w:val="both"/>
        <w:rPr>
          <w:sz w:val="24"/>
          <w:highlight w:val="none"/>
        </w:rPr>
      </w:pPr>
      <w:r>
        <w:rPr>
          <w:sz w:val="24"/>
          <w:highlight w:val="none"/>
        </w:rPr>
        <w:t>项目建成后，配备专职环保员，负责本厂环境管理与监测工作，并负责与上级部门联系。</w:t>
      </w:r>
    </w:p>
    <w:p>
      <w:pPr>
        <w:pStyle w:val="6"/>
        <w:rPr>
          <w:highlight w:val="none"/>
        </w:rPr>
      </w:pPr>
      <w:bookmarkStart w:id="817" w:name="_Toc20382"/>
      <w:r>
        <w:rPr>
          <w:highlight w:val="none"/>
        </w:rPr>
        <w:t>9.2.</w:t>
      </w:r>
      <w:r>
        <w:rPr>
          <w:rFonts w:hint="eastAsia"/>
          <w:highlight w:val="none"/>
        </w:rPr>
        <w:t>8</w:t>
      </w:r>
      <w:r>
        <w:rPr>
          <w:highlight w:val="none"/>
        </w:rPr>
        <w:t>公众参与结论</w:t>
      </w:r>
      <w:bookmarkEnd w:id="817"/>
    </w:p>
    <w:p>
      <w:pPr>
        <w:tabs>
          <w:tab w:val="right" w:leader="dot" w:pos="8647"/>
        </w:tabs>
        <w:ind w:firstLine="480"/>
        <w:jc w:val="both"/>
        <w:rPr>
          <w:sz w:val="24"/>
          <w:highlight w:val="none"/>
        </w:rPr>
      </w:pPr>
      <w:bookmarkStart w:id="818" w:name="_Hlk536523931"/>
      <w:r>
        <w:rPr>
          <w:sz w:val="24"/>
          <w:highlight w:val="none"/>
        </w:rPr>
        <w:t>根据</w:t>
      </w:r>
      <w:r>
        <w:rPr>
          <w:rFonts w:hint="eastAsia"/>
          <w:sz w:val="24"/>
          <w:szCs w:val="24"/>
          <w:highlight w:val="none"/>
        </w:rPr>
        <w:t>《环境影响评价公众参与办法》（生态环境部部令第4号）</w:t>
      </w:r>
      <w:r>
        <w:rPr>
          <w:sz w:val="24"/>
          <w:highlight w:val="none"/>
        </w:rPr>
        <w:t>，本次评价进行了第一次网络公示、第二次网络公示，</w:t>
      </w:r>
      <w:r>
        <w:rPr>
          <w:rFonts w:hint="eastAsia"/>
          <w:sz w:val="24"/>
          <w:highlight w:val="none"/>
        </w:rPr>
        <w:t>并同步在当地报社及项目附近村庄进行第二次公示，</w:t>
      </w:r>
      <w:r>
        <w:rPr>
          <w:sz w:val="24"/>
          <w:highlight w:val="none"/>
        </w:rPr>
        <w:t>公示期间未收到公众对本项目建设的意见。</w:t>
      </w:r>
      <w:bookmarkEnd w:id="818"/>
    </w:p>
    <w:p>
      <w:pPr>
        <w:pStyle w:val="5"/>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819" w:name="_Toc26157"/>
      <w:bookmarkStart w:id="820" w:name="_Toc23889"/>
      <w:bookmarkStart w:id="821" w:name="_Toc499651438"/>
      <w:bookmarkStart w:id="822" w:name="_Toc536557317"/>
      <w:bookmarkStart w:id="823" w:name="_Toc477175452"/>
      <w:bookmarkStart w:id="824" w:name="_Toc503218137"/>
      <w:bookmarkStart w:id="825" w:name="_Toc7364"/>
      <w:bookmarkStart w:id="826" w:name="_Toc521591852"/>
      <w:bookmarkStart w:id="827" w:name="_Toc524285130"/>
      <w:r>
        <w:rPr>
          <w:rFonts w:ascii="Times New Roman" w:hAnsi="Times New Roman" w:eastAsia="宋体"/>
          <w:bCs w:val="0"/>
          <w:snapToGrid w:val="0"/>
          <w:kern w:val="0"/>
          <w:sz w:val="28"/>
          <w:szCs w:val="28"/>
          <w:highlight w:val="none"/>
        </w:rPr>
        <w:t>建设项目的环境影响可行性结论</w:t>
      </w:r>
      <w:bookmarkEnd w:id="819"/>
      <w:bookmarkEnd w:id="820"/>
      <w:bookmarkEnd w:id="821"/>
      <w:bookmarkEnd w:id="822"/>
      <w:bookmarkEnd w:id="823"/>
      <w:bookmarkEnd w:id="824"/>
      <w:bookmarkEnd w:id="825"/>
      <w:bookmarkEnd w:id="826"/>
      <w:bookmarkEnd w:id="827"/>
    </w:p>
    <w:bookmarkEnd w:id="803"/>
    <w:p>
      <w:pPr>
        <w:ind w:firstLine="480"/>
        <w:jc w:val="both"/>
        <w:rPr>
          <w:sz w:val="24"/>
          <w:highlight w:val="none"/>
          <w:u w:val="single"/>
        </w:rPr>
      </w:pPr>
      <w:r>
        <w:rPr>
          <w:sz w:val="24"/>
          <w:highlight w:val="none"/>
        </w:rPr>
        <w:t>综上所述，</w:t>
      </w:r>
      <w:r>
        <w:rPr>
          <w:rFonts w:hint="eastAsia"/>
          <w:sz w:val="24"/>
          <w:szCs w:val="24"/>
          <w:highlight w:val="none"/>
        </w:rPr>
        <w:t>遵化市恒泰矿业有限公司年处理60万吨铁矿石、30万吨粗精矿改扩建项目</w:t>
      </w:r>
      <w:r>
        <w:rPr>
          <w:sz w:val="24"/>
          <w:highlight w:val="none"/>
        </w:rPr>
        <w:t>符合国家和地方产业政策要求；项目选址可行；采用国内较先进的工艺，充分利用资源能源，符合清洁生产要求；项目认真落实环评提出的各项环境污染防治措施后，污染物可做到达标排放，项目建设不会对区域的环境质量产生明显影响，本项目环境影响可行。</w:t>
      </w:r>
    </w:p>
    <w:sectPr>
      <w:footerReference r:id="rId16" w:type="default"/>
      <w:pgSz w:w="11907" w:h="16840"/>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隶书">
    <w:panose1 w:val="02010509060101010101"/>
    <w:charset w:val="86"/>
    <w:family w:val="modern"/>
    <w:pitch w:val="default"/>
    <w:sig w:usb0="00000001" w:usb1="080E0000" w:usb2="00000000" w:usb3="00000000" w:csb0="00040000" w:csb1="00000000"/>
  </w:font>
  <w:font w:name="FangSong_GB2312">
    <w:altName w:val="仿宋_GB2312"/>
    <w:panose1 w:val="0201060906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Times">
    <w:altName w:val="Times New Roman"/>
    <w:panose1 w:val="02020603050405020304"/>
    <w:charset w:val="00"/>
    <w:family w:val="roman"/>
    <w:pitch w:val="default"/>
    <w:sig w:usb0="00000000" w:usb1="00000000" w:usb2="00000009" w:usb3="00000000" w:csb0="000001FF" w:csb1="00000000"/>
  </w:font>
  <w:font w:name="KaiTi_GB2312">
    <w:altName w:val="楷体"/>
    <w:panose1 w:val="02010609060101010101"/>
    <w:charset w:val="86"/>
    <w:family w:val="modern"/>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00"/>
    <w:family w:val="roman"/>
    <w:pitch w:val="default"/>
    <w:sig w:usb0="00000000" w:usb1="0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r>
      <w:pict>
        <v:shape id="_x0000_s2058" o:spid="_x0000_s2058" o:spt="202" type="#_x0000_t202" style="position:absolute;left:0pt;margin-top:0pt;height:144pt;width:144pt;mso-position-horizontal:center;mso-position-horizontal-relative:margin;mso-wrap-style:none;z-index:251696128;mso-width-relative:page;mso-height-relative:page;" filled="f" stroked="f" coordsize="21600,21600">
          <v:path/>
          <v:fill on="f" focussize="0,0"/>
          <v:stroke on="f" joinstyle="miter"/>
          <v:imagedata o:title=""/>
          <o:lock v:ext="edit"/>
          <v:textbox inset="0mm,0mm,0mm,0mm" style="mso-fit-shape-to-text:t;">
            <w:txbxContent>
              <w:p>
                <w:pPr>
                  <w:pStyle w:val="31"/>
                </w:pPr>
                <w:r>
                  <w:fldChar w:fldCharType="begin"/>
                </w:r>
                <w:r>
                  <w:instrText xml:space="preserve"> PAGE  \* MERGEFORMAT </w:instrText>
                </w:r>
                <w:r>
                  <w:fldChar w:fldCharType="separate"/>
                </w:r>
                <w:r>
                  <w:t>ii</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98426818"/>
    </w:sdtPr>
    <w:sdtContent>
      <w:p>
        <w:pPr>
          <w:pStyle w:val="31"/>
          <w:ind w:left="560"/>
          <w:jc w:val="center"/>
        </w:pPr>
        <w:r>
          <w:rPr>
            <w:lang w:val="zh-CN"/>
          </w:rPr>
          <w:fldChar w:fldCharType="begin"/>
        </w:r>
        <w:r>
          <w:rPr>
            <w:lang w:val="zh-CN"/>
          </w:rPr>
          <w:instrText xml:space="preserve">PAGE   \* MERGEFORMAT</w:instrText>
        </w:r>
        <w:r>
          <w:rPr>
            <w:lang w:val="zh-CN"/>
          </w:rPr>
          <w:fldChar w:fldCharType="separate"/>
        </w:r>
        <w:r>
          <w:rPr>
            <w:lang w:val="zh-CN"/>
          </w:rPr>
          <w:t>70</w:t>
        </w:r>
        <w:r>
          <w:rPr>
            <w:lang w:val="zh-CN"/>
          </w:rPr>
          <w:fldChar w:fldCharType="end"/>
        </w:r>
      </w:p>
    </w:sdtContent>
  </w:sdt>
  <w:p>
    <w:pPr>
      <w:pStyle w:val="31"/>
      <w:jc w:val="center"/>
      <w:rPr>
        <w:sz w:val="21"/>
        <w:szCs w:val="21"/>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top w:val="thickThinSmallGap" w:color="auto" w:sz="24" w:space="1"/>
      </w:pBdr>
      <w:tabs>
        <w:tab w:val="clear" w:pos="4153"/>
        <w:tab w:val="clear" w:pos="8306"/>
      </w:tabs>
      <w:ind w:right="11" w:firstLine="105" w:firstLineChars="50"/>
      <w:rPr>
        <w:sz w:val="21"/>
        <w:szCs w:val="21"/>
      </w:rPr>
    </w:pPr>
    <w:r>
      <w:rPr>
        <w:sz w:val="21"/>
        <w:szCs w:val="21"/>
      </w:rPr>
      <w:fldChar w:fldCharType="begin"/>
    </w:r>
    <w:r>
      <w:rPr>
        <w:rStyle w:val="56"/>
        <w:szCs w:val="21"/>
      </w:rPr>
      <w:instrText xml:space="preserve"> PAGE </w:instrText>
    </w:r>
    <w:r>
      <w:rPr>
        <w:sz w:val="21"/>
        <w:szCs w:val="21"/>
      </w:rPr>
      <w:fldChar w:fldCharType="separate"/>
    </w:r>
    <w:r>
      <w:rPr>
        <w:rStyle w:val="56"/>
        <w:szCs w:val="21"/>
      </w:rPr>
      <w:t>62</w:t>
    </w:r>
    <w:r>
      <w:rPr>
        <w:sz w:val="21"/>
        <w:szCs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rPr>
        <w:sz w:val="21"/>
        <w:szCs w:val="21"/>
      </w:rPr>
    </w:pPr>
    <w:r>
      <w:rPr>
        <w:sz w:val="21"/>
      </w:rPr>
      <w:pict>
        <v:shape id="_x0000_s2056" o:spid="_x0000_s2056" o:spt="202" type="#_x0000_t202" style="position:absolute;left:0pt;margin-top:0pt;height:144pt;width:144pt;mso-position-horizontal:center;mso-position-horizontal-relative:margin;mso-wrap-style:none;z-index:251695104;mso-width-relative:page;mso-height-relative:page;" filled="f" stroked="f" coordsize="21600,21600">
          <v:path/>
          <v:fill on="f" focussize="0,0"/>
          <v:stroke on="f" joinstyle="miter"/>
          <v:imagedata o:title=""/>
          <o:lock v:ext="edit"/>
          <v:textbox inset="0mm,0mm,0mm,0mm" style="mso-fit-shape-to-text:t;">
            <w:txbxContent>
              <w:p>
                <w:pPr>
                  <w:pStyle w:val="31"/>
                </w:pPr>
                <w:r>
                  <w:fldChar w:fldCharType="begin"/>
                </w:r>
                <w:r>
                  <w:instrText xml:space="preserve"> PAGE  \* MERGEFORMAT </w:instrText>
                </w:r>
                <w:r>
                  <w:fldChar w:fldCharType="separate"/>
                </w:r>
                <w:r>
                  <w:t>210</w:t>
                </w:r>
                <w: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0" w:firstLineChars="0"/>
      <w:rPr>
        <w:b/>
      </w:rPr>
    </w:pPr>
    <w:r>
      <w:rPr>
        <w:rFonts w:hint="eastAsia"/>
        <w:b/>
      </w:rPr>
      <w:t>遵化市恒泰矿业有限公司年处理</w:t>
    </w:r>
    <w:r>
      <w:rPr>
        <w:rFonts w:hint="eastAsia"/>
        <w:b/>
        <w:lang w:val="en-US" w:eastAsia="zh-CN"/>
      </w:rPr>
      <w:t>60</w:t>
    </w:r>
    <w:r>
      <w:rPr>
        <w:rFonts w:hint="eastAsia"/>
        <w:b/>
      </w:rPr>
      <w:t>万吨铁矿石、30万吨粗精矿</w:t>
    </w:r>
    <w:r>
      <w:rPr>
        <w:rFonts w:hint="eastAsia"/>
        <w:b/>
        <w:lang w:val="en-US" w:eastAsia="zh-CN"/>
      </w:rPr>
      <w:t>改扩建</w:t>
    </w:r>
    <w:r>
      <w:rPr>
        <w:rFonts w:hint="eastAsia"/>
        <w:b/>
      </w:rPr>
      <w:t>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CD2570"/>
    <w:multiLevelType w:val="singleLevel"/>
    <w:tmpl w:val="90CD2570"/>
    <w:lvl w:ilvl="0" w:tentative="0">
      <w:start w:val="1"/>
      <w:numFmt w:val="decimal"/>
      <w:suff w:val="nothing"/>
      <w:lvlText w:val="（%1）"/>
      <w:lvlJc w:val="left"/>
    </w:lvl>
  </w:abstractNum>
  <w:abstractNum w:abstractNumId="1">
    <w:nsid w:val="C0C85FC5"/>
    <w:multiLevelType w:val="singleLevel"/>
    <w:tmpl w:val="C0C85FC5"/>
    <w:lvl w:ilvl="0" w:tentative="0">
      <w:start w:val="1"/>
      <w:numFmt w:val="decimal"/>
      <w:suff w:val="nothing"/>
      <w:lvlText w:val="（%1）"/>
      <w:lvlJc w:val="left"/>
    </w:lvl>
  </w:abstractNum>
  <w:abstractNum w:abstractNumId="2">
    <w:nsid w:val="00000007"/>
    <w:multiLevelType w:val="multilevel"/>
    <w:tmpl w:val="00000007"/>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
    <w:nsid w:val="00000009"/>
    <w:multiLevelType w:val="multilevel"/>
    <w:tmpl w:val="00000009"/>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3544" w:hanging="567"/>
      </w:pPr>
    </w:lvl>
    <w:lvl w:ilvl="3" w:tentative="0">
      <w:start w:val="1"/>
      <w:numFmt w:val="decimal"/>
      <w:lvlText w:val="%1.%2.%3.%4"/>
      <w:lvlJc w:val="left"/>
      <w:pPr>
        <w:ind w:left="113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
    <w:nsid w:val="66DEFF0B"/>
    <w:multiLevelType w:val="singleLevel"/>
    <w:tmpl w:val="66DEFF0B"/>
    <w:lvl w:ilvl="0" w:tentative="0">
      <w:start w:val="2"/>
      <w:numFmt w:val="decimal"/>
      <w:suff w:val="nothing"/>
      <w:lvlText w:val="（%1）"/>
      <w:lvlJc w:val="left"/>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hideSpellingErrors/>
  <w:documentProtection w:enforcement="0"/>
  <w:defaultTabStop w:val="420"/>
  <w:drawingGridHorizontalSpacing w:val="140"/>
  <w:drawingGridVerticalSpacing w:val="381"/>
  <w:displayHorizontalDrawingGridEvery w:val="2"/>
  <w:doNotShadeFormData w:val="1"/>
  <w:noPunctuationKerning w:val="1"/>
  <w:characterSpacingControl w:val="compressPunctuation"/>
  <w:doNotValidateAgainstSchema/>
  <w:doNotDemarcateInvalidXml/>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MjIzMTA5M2MxNDA1ZjNhYjA5MWVkN2JjNDQyYTg5M2UifQ=="/>
  </w:docVars>
  <w:rsids>
    <w:rsidRoot w:val="00172A27"/>
    <w:rsid w:val="0000009E"/>
    <w:rsid w:val="000009C8"/>
    <w:rsid w:val="00000AFA"/>
    <w:rsid w:val="00000B15"/>
    <w:rsid w:val="00000F02"/>
    <w:rsid w:val="00001425"/>
    <w:rsid w:val="00001518"/>
    <w:rsid w:val="0000162E"/>
    <w:rsid w:val="000017D7"/>
    <w:rsid w:val="000018D2"/>
    <w:rsid w:val="000019E5"/>
    <w:rsid w:val="00001D51"/>
    <w:rsid w:val="000020BF"/>
    <w:rsid w:val="00002EA8"/>
    <w:rsid w:val="00003360"/>
    <w:rsid w:val="000035C4"/>
    <w:rsid w:val="0000364A"/>
    <w:rsid w:val="00003B3A"/>
    <w:rsid w:val="000042C8"/>
    <w:rsid w:val="0000452F"/>
    <w:rsid w:val="000047C1"/>
    <w:rsid w:val="0000481A"/>
    <w:rsid w:val="00004896"/>
    <w:rsid w:val="00004942"/>
    <w:rsid w:val="00004BA1"/>
    <w:rsid w:val="00004E76"/>
    <w:rsid w:val="0000518F"/>
    <w:rsid w:val="000057EA"/>
    <w:rsid w:val="0000604E"/>
    <w:rsid w:val="000064E4"/>
    <w:rsid w:val="00006AA2"/>
    <w:rsid w:val="00006D31"/>
    <w:rsid w:val="000075C3"/>
    <w:rsid w:val="00007A62"/>
    <w:rsid w:val="00007B28"/>
    <w:rsid w:val="00007BD9"/>
    <w:rsid w:val="00007CFE"/>
    <w:rsid w:val="000106E0"/>
    <w:rsid w:val="000108E6"/>
    <w:rsid w:val="00010D42"/>
    <w:rsid w:val="00010D92"/>
    <w:rsid w:val="00011A19"/>
    <w:rsid w:val="00011A3D"/>
    <w:rsid w:val="00011EDD"/>
    <w:rsid w:val="00011F1E"/>
    <w:rsid w:val="00012192"/>
    <w:rsid w:val="00012328"/>
    <w:rsid w:val="00012DF2"/>
    <w:rsid w:val="000133F3"/>
    <w:rsid w:val="000138F5"/>
    <w:rsid w:val="00013A0E"/>
    <w:rsid w:val="00013BDB"/>
    <w:rsid w:val="00013D63"/>
    <w:rsid w:val="00013F05"/>
    <w:rsid w:val="000141C1"/>
    <w:rsid w:val="000144DC"/>
    <w:rsid w:val="00014622"/>
    <w:rsid w:val="000146CB"/>
    <w:rsid w:val="00014C89"/>
    <w:rsid w:val="00015095"/>
    <w:rsid w:val="000154F3"/>
    <w:rsid w:val="00015535"/>
    <w:rsid w:val="000159A9"/>
    <w:rsid w:val="00015B8E"/>
    <w:rsid w:val="00015F9F"/>
    <w:rsid w:val="000164D8"/>
    <w:rsid w:val="000167DE"/>
    <w:rsid w:val="00016B87"/>
    <w:rsid w:val="00016CD7"/>
    <w:rsid w:val="0001725C"/>
    <w:rsid w:val="0001728D"/>
    <w:rsid w:val="00017A57"/>
    <w:rsid w:val="00017D23"/>
    <w:rsid w:val="00017E7A"/>
    <w:rsid w:val="0002063B"/>
    <w:rsid w:val="000206AD"/>
    <w:rsid w:val="000208BF"/>
    <w:rsid w:val="00020DF1"/>
    <w:rsid w:val="00020EF1"/>
    <w:rsid w:val="00020FCC"/>
    <w:rsid w:val="000214A9"/>
    <w:rsid w:val="00021F6E"/>
    <w:rsid w:val="0002208F"/>
    <w:rsid w:val="00022300"/>
    <w:rsid w:val="000227A2"/>
    <w:rsid w:val="000227B9"/>
    <w:rsid w:val="00022950"/>
    <w:rsid w:val="00022B3F"/>
    <w:rsid w:val="00022E18"/>
    <w:rsid w:val="0002328C"/>
    <w:rsid w:val="00023479"/>
    <w:rsid w:val="000238E7"/>
    <w:rsid w:val="00024480"/>
    <w:rsid w:val="0002473B"/>
    <w:rsid w:val="000248E4"/>
    <w:rsid w:val="000248F4"/>
    <w:rsid w:val="00024BF6"/>
    <w:rsid w:val="00024F14"/>
    <w:rsid w:val="00025394"/>
    <w:rsid w:val="00025A4C"/>
    <w:rsid w:val="00025B69"/>
    <w:rsid w:val="00025CAC"/>
    <w:rsid w:val="000266C4"/>
    <w:rsid w:val="00026747"/>
    <w:rsid w:val="00026AA0"/>
    <w:rsid w:val="000276AE"/>
    <w:rsid w:val="000276EA"/>
    <w:rsid w:val="00027C6C"/>
    <w:rsid w:val="00027CA0"/>
    <w:rsid w:val="00027E47"/>
    <w:rsid w:val="00027ECC"/>
    <w:rsid w:val="00030208"/>
    <w:rsid w:val="00030248"/>
    <w:rsid w:val="00030429"/>
    <w:rsid w:val="00030AA8"/>
    <w:rsid w:val="00030B22"/>
    <w:rsid w:val="00030D7E"/>
    <w:rsid w:val="00031258"/>
    <w:rsid w:val="000313F1"/>
    <w:rsid w:val="00031A7F"/>
    <w:rsid w:val="00031AE5"/>
    <w:rsid w:val="00031C5C"/>
    <w:rsid w:val="00031E6F"/>
    <w:rsid w:val="0003238F"/>
    <w:rsid w:val="00033410"/>
    <w:rsid w:val="0003362A"/>
    <w:rsid w:val="00033658"/>
    <w:rsid w:val="000336F1"/>
    <w:rsid w:val="00033769"/>
    <w:rsid w:val="00033900"/>
    <w:rsid w:val="000342E1"/>
    <w:rsid w:val="00034538"/>
    <w:rsid w:val="000347C1"/>
    <w:rsid w:val="00034B8E"/>
    <w:rsid w:val="00034BD5"/>
    <w:rsid w:val="00034FA8"/>
    <w:rsid w:val="000351CF"/>
    <w:rsid w:val="00035306"/>
    <w:rsid w:val="000359E9"/>
    <w:rsid w:val="00035C11"/>
    <w:rsid w:val="000364F1"/>
    <w:rsid w:val="0003697C"/>
    <w:rsid w:val="00036AB8"/>
    <w:rsid w:val="00036EE9"/>
    <w:rsid w:val="0003702E"/>
    <w:rsid w:val="000370E7"/>
    <w:rsid w:val="00037C47"/>
    <w:rsid w:val="00040501"/>
    <w:rsid w:val="000405F6"/>
    <w:rsid w:val="00040A2A"/>
    <w:rsid w:val="00040F51"/>
    <w:rsid w:val="00041689"/>
    <w:rsid w:val="00041BFB"/>
    <w:rsid w:val="00041E7C"/>
    <w:rsid w:val="000421D7"/>
    <w:rsid w:val="00042269"/>
    <w:rsid w:val="000422CA"/>
    <w:rsid w:val="00042376"/>
    <w:rsid w:val="00042C9B"/>
    <w:rsid w:val="000435D2"/>
    <w:rsid w:val="00043C69"/>
    <w:rsid w:val="00044045"/>
    <w:rsid w:val="00044285"/>
    <w:rsid w:val="00044314"/>
    <w:rsid w:val="00044541"/>
    <w:rsid w:val="00044CB7"/>
    <w:rsid w:val="00044DD2"/>
    <w:rsid w:val="000455D7"/>
    <w:rsid w:val="0004573A"/>
    <w:rsid w:val="000459CF"/>
    <w:rsid w:val="00045A06"/>
    <w:rsid w:val="00045D0B"/>
    <w:rsid w:val="00045E41"/>
    <w:rsid w:val="00045F1E"/>
    <w:rsid w:val="0004641F"/>
    <w:rsid w:val="000466C8"/>
    <w:rsid w:val="000467A5"/>
    <w:rsid w:val="000468C4"/>
    <w:rsid w:val="000472AD"/>
    <w:rsid w:val="000479FE"/>
    <w:rsid w:val="00047DFB"/>
    <w:rsid w:val="00047E27"/>
    <w:rsid w:val="00050691"/>
    <w:rsid w:val="00050BF0"/>
    <w:rsid w:val="000511DD"/>
    <w:rsid w:val="00051595"/>
    <w:rsid w:val="00052325"/>
    <w:rsid w:val="00052706"/>
    <w:rsid w:val="00052A30"/>
    <w:rsid w:val="00052B9F"/>
    <w:rsid w:val="00054D10"/>
    <w:rsid w:val="0005540F"/>
    <w:rsid w:val="000562F8"/>
    <w:rsid w:val="00056313"/>
    <w:rsid w:val="00056500"/>
    <w:rsid w:val="00056695"/>
    <w:rsid w:val="00056EBA"/>
    <w:rsid w:val="00056EDF"/>
    <w:rsid w:val="00056F35"/>
    <w:rsid w:val="00056FC9"/>
    <w:rsid w:val="0005717A"/>
    <w:rsid w:val="00057D23"/>
    <w:rsid w:val="0006003D"/>
    <w:rsid w:val="0006032D"/>
    <w:rsid w:val="00060CEA"/>
    <w:rsid w:val="0006106E"/>
    <w:rsid w:val="0006167F"/>
    <w:rsid w:val="000618E4"/>
    <w:rsid w:val="00061959"/>
    <w:rsid w:val="00061B48"/>
    <w:rsid w:val="00061E6C"/>
    <w:rsid w:val="00061E78"/>
    <w:rsid w:val="00061F32"/>
    <w:rsid w:val="00062487"/>
    <w:rsid w:val="00062580"/>
    <w:rsid w:val="000625C0"/>
    <w:rsid w:val="00062602"/>
    <w:rsid w:val="00062D6F"/>
    <w:rsid w:val="00063024"/>
    <w:rsid w:val="000635DD"/>
    <w:rsid w:val="000638D2"/>
    <w:rsid w:val="00063A37"/>
    <w:rsid w:val="00064033"/>
    <w:rsid w:val="000640E6"/>
    <w:rsid w:val="000641B6"/>
    <w:rsid w:val="00064C6A"/>
    <w:rsid w:val="000652B5"/>
    <w:rsid w:val="000655F1"/>
    <w:rsid w:val="00065B03"/>
    <w:rsid w:val="00065E7D"/>
    <w:rsid w:val="00065E82"/>
    <w:rsid w:val="0006610E"/>
    <w:rsid w:val="000663D2"/>
    <w:rsid w:val="00066561"/>
    <w:rsid w:val="000669AE"/>
    <w:rsid w:val="00066B6C"/>
    <w:rsid w:val="00066C59"/>
    <w:rsid w:val="00066D76"/>
    <w:rsid w:val="00066DBB"/>
    <w:rsid w:val="00066DDE"/>
    <w:rsid w:val="000672F7"/>
    <w:rsid w:val="000675E3"/>
    <w:rsid w:val="000700EF"/>
    <w:rsid w:val="00070370"/>
    <w:rsid w:val="000705F7"/>
    <w:rsid w:val="0007083E"/>
    <w:rsid w:val="00070B06"/>
    <w:rsid w:val="00070CEA"/>
    <w:rsid w:val="00070DE5"/>
    <w:rsid w:val="00070FF0"/>
    <w:rsid w:val="0007104F"/>
    <w:rsid w:val="00072461"/>
    <w:rsid w:val="000725F1"/>
    <w:rsid w:val="000728DC"/>
    <w:rsid w:val="00072A47"/>
    <w:rsid w:val="00072D75"/>
    <w:rsid w:val="00073330"/>
    <w:rsid w:val="00073638"/>
    <w:rsid w:val="00074612"/>
    <w:rsid w:val="000747AD"/>
    <w:rsid w:val="00074B4D"/>
    <w:rsid w:val="00074D98"/>
    <w:rsid w:val="00075475"/>
    <w:rsid w:val="000757C8"/>
    <w:rsid w:val="0007592D"/>
    <w:rsid w:val="00075A79"/>
    <w:rsid w:val="000762BE"/>
    <w:rsid w:val="00076382"/>
    <w:rsid w:val="00076865"/>
    <w:rsid w:val="00076B28"/>
    <w:rsid w:val="00076CD8"/>
    <w:rsid w:val="00076CE2"/>
    <w:rsid w:val="00076D23"/>
    <w:rsid w:val="00077FE3"/>
    <w:rsid w:val="00080919"/>
    <w:rsid w:val="00080A30"/>
    <w:rsid w:val="00080CD1"/>
    <w:rsid w:val="00080E64"/>
    <w:rsid w:val="000810FA"/>
    <w:rsid w:val="000817AC"/>
    <w:rsid w:val="000817DC"/>
    <w:rsid w:val="000819AF"/>
    <w:rsid w:val="00081ADD"/>
    <w:rsid w:val="0008270E"/>
    <w:rsid w:val="00082921"/>
    <w:rsid w:val="00082D17"/>
    <w:rsid w:val="00082EC2"/>
    <w:rsid w:val="00082ED9"/>
    <w:rsid w:val="000830D8"/>
    <w:rsid w:val="00083297"/>
    <w:rsid w:val="000834DD"/>
    <w:rsid w:val="00083879"/>
    <w:rsid w:val="00083B34"/>
    <w:rsid w:val="00083D52"/>
    <w:rsid w:val="00083E7C"/>
    <w:rsid w:val="0008409C"/>
    <w:rsid w:val="0008445F"/>
    <w:rsid w:val="0008450C"/>
    <w:rsid w:val="00084612"/>
    <w:rsid w:val="00084646"/>
    <w:rsid w:val="00084648"/>
    <w:rsid w:val="000846E6"/>
    <w:rsid w:val="00084AD4"/>
    <w:rsid w:val="00084BFB"/>
    <w:rsid w:val="00084E55"/>
    <w:rsid w:val="00084F63"/>
    <w:rsid w:val="00085821"/>
    <w:rsid w:val="00085899"/>
    <w:rsid w:val="000858B1"/>
    <w:rsid w:val="00085FB2"/>
    <w:rsid w:val="00086443"/>
    <w:rsid w:val="00086465"/>
    <w:rsid w:val="000864AC"/>
    <w:rsid w:val="0008651D"/>
    <w:rsid w:val="000867C0"/>
    <w:rsid w:val="00086ACF"/>
    <w:rsid w:val="00086CBF"/>
    <w:rsid w:val="00086D05"/>
    <w:rsid w:val="0008737D"/>
    <w:rsid w:val="00087578"/>
    <w:rsid w:val="000875FF"/>
    <w:rsid w:val="00090104"/>
    <w:rsid w:val="00090519"/>
    <w:rsid w:val="00090B3A"/>
    <w:rsid w:val="00090F36"/>
    <w:rsid w:val="00091044"/>
    <w:rsid w:val="0009189D"/>
    <w:rsid w:val="00091966"/>
    <w:rsid w:val="000919CD"/>
    <w:rsid w:val="000936DD"/>
    <w:rsid w:val="00093C83"/>
    <w:rsid w:val="00094213"/>
    <w:rsid w:val="0009422A"/>
    <w:rsid w:val="000946A1"/>
    <w:rsid w:val="00094DFA"/>
    <w:rsid w:val="000952BE"/>
    <w:rsid w:val="000959BA"/>
    <w:rsid w:val="00095F18"/>
    <w:rsid w:val="00096486"/>
    <w:rsid w:val="000964AD"/>
    <w:rsid w:val="0009661F"/>
    <w:rsid w:val="00096EE5"/>
    <w:rsid w:val="00096EF1"/>
    <w:rsid w:val="00097528"/>
    <w:rsid w:val="00097584"/>
    <w:rsid w:val="000978DB"/>
    <w:rsid w:val="000979A9"/>
    <w:rsid w:val="00097B61"/>
    <w:rsid w:val="00097F5B"/>
    <w:rsid w:val="000A020D"/>
    <w:rsid w:val="000A06AA"/>
    <w:rsid w:val="000A0C5B"/>
    <w:rsid w:val="000A0FFD"/>
    <w:rsid w:val="000A11C7"/>
    <w:rsid w:val="000A142D"/>
    <w:rsid w:val="000A171A"/>
    <w:rsid w:val="000A1784"/>
    <w:rsid w:val="000A1791"/>
    <w:rsid w:val="000A17B1"/>
    <w:rsid w:val="000A1DC1"/>
    <w:rsid w:val="000A20F7"/>
    <w:rsid w:val="000A21E0"/>
    <w:rsid w:val="000A242C"/>
    <w:rsid w:val="000A2669"/>
    <w:rsid w:val="000A2DFF"/>
    <w:rsid w:val="000A337B"/>
    <w:rsid w:val="000A36A0"/>
    <w:rsid w:val="000A37F6"/>
    <w:rsid w:val="000A38DB"/>
    <w:rsid w:val="000A3BEB"/>
    <w:rsid w:val="000A4054"/>
    <w:rsid w:val="000A41A9"/>
    <w:rsid w:val="000A4819"/>
    <w:rsid w:val="000A49D0"/>
    <w:rsid w:val="000A4E53"/>
    <w:rsid w:val="000A4EF6"/>
    <w:rsid w:val="000A5F74"/>
    <w:rsid w:val="000A6329"/>
    <w:rsid w:val="000A656F"/>
    <w:rsid w:val="000A660F"/>
    <w:rsid w:val="000A67A5"/>
    <w:rsid w:val="000A6A96"/>
    <w:rsid w:val="000A6C08"/>
    <w:rsid w:val="000A72D2"/>
    <w:rsid w:val="000A7A83"/>
    <w:rsid w:val="000A7DF0"/>
    <w:rsid w:val="000B0373"/>
    <w:rsid w:val="000B1E2B"/>
    <w:rsid w:val="000B2016"/>
    <w:rsid w:val="000B2586"/>
    <w:rsid w:val="000B25A4"/>
    <w:rsid w:val="000B282F"/>
    <w:rsid w:val="000B2A7B"/>
    <w:rsid w:val="000B2C6D"/>
    <w:rsid w:val="000B309C"/>
    <w:rsid w:val="000B3888"/>
    <w:rsid w:val="000B3B97"/>
    <w:rsid w:val="000B3C0C"/>
    <w:rsid w:val="000B3E5A"/>
    <w:rsid w:val="000B402C"/>
    <w:rsid w:val="000B4645"/>
    <w:rsid w:val="000B4AD1"/>
    <w:rsid w:val="000B4DE5"/>
    <w:rsid w:val="000B5416"/>
    <w:rsid w:val="000B588E"/>
    <w:rsid w:val="000B58B3"/>
    <w:rsid w:val="000B5925"/>
    <w:rsid w:val="000B5ACF"/>
    <w:rsid w:val="000B6019"/>
    <w:rsid w:val="000B6278"/>
    <w:rsid w:val="000B64CC"/>
    <w:rsid w:val="000B6EF8"/>
    <w:rsid w:val="000B718C"/>
    <w:rsid w:val="000B7954"/>
    <w:rsid w:val="000B7DB8"/>
    <w:rsid w:val="000C0843"/>
    <w:rsid w:val="000C0B68"/>
    <w:rsid w:val="000C17D4"/>
    <w:rsid w:val="000C1E87"/>
    <w:rsid w:val="000C1EFA"/>
    <w:rsid w:val="000C24FB"/>
    <w:rsid w:val="000C25DE"/>
    <w:rsid w:val="000C28DE"/>
    <w:rsid w:val="000C28EE"/>
    <w:rsid w:val="000C2FB1"/>
    <w:rsid w:val="000C3412"/>
    <w:rsid w:val="000C34A9"/>
    <w:rsid w:val="000C42C0"/>
    <w:rsid w:val="000C437B"/>
    <w:rsid w:val="000C4451"/>
    <w:rsid w:val="000C4C4D"/>
    <w:rsid w:val="000C4F2B"/>
    <w:rsid w:val="000C4FE3"/>
    <w:rsid w:val="000C5221"/>
    <w:rsid w:val="000C53CE"/>
    <w:rsid w:val="000C5534"/>
    <w:rsid w:val="000C5779"/>
    <w:rsid w:val="000C60F7"/>
    <w:rsid w:val="000C62F9"/>
    <w:rsid w:val="000C65C7"/>
    <w:rsid w:val="000C6776"/>
    <w:rsid w:val="000C6843"/>
    <w:rsid w:val="000C687E"/>
    <w:rsid w:val="000C6B3B"/>
    <w:rsid w:val="000C6D57"/>
    <w:rsid w:val="000C6F03"/>
    <w:rsid w:val="000C7475"/>
    <w:rsid w:val="000C7A19"/>
    <w:rsid w:val="000C7AF7"/>
    <w:rsid w:val="000D01AA"/>
    <w:rsid w:val="000D081A"/>
    <w:rsid w:val="000D0C97"/>
    <w:rsid w:val="000D12E6"/>
    <w:rsid w:val="000D1849"/>
    <w:rsid w:val="000D1BFA"/>
    <w:rsid w:val="000D266E"/>
    <w:rsid w:val="000D292E"/>
    <w:rsid w:val="000D2A6D"/>
    <w:rsid w:val="000D3232"/>
    <w:rsid w:val="000D3C3A"/>
    <w:rsid w:val="000D3DA5"/>
    <w:rsid w:val="000D4024"/>
    <w:rsid w:val="000D41B9"/>
    <w:rsid w:val="000D446E"/>
    <w:rsid w:val="000D4F60"/>
    <w:rsid w:val="000D5288"/>
    <w:rsid w:val="000D52F7"/>
    <w:rsid w:val="000D532A"/>
    <w:rsid w:val="000D5622"/>
    <w:rsid w:val="000D5F21"/>
    <w:rsid w:val="000D63EB"/>
    <w:rsid w:val="000D765C"/>
    <w:rsid w:val="000D7756"/>
    <w:rsid w:val="000D7BB3"/>
    <w:rsid w:val="000E01C5"/>
    <w:rsid w:val="000E0372"/>
    <w:rsid w:val="000E0793"/>
    <w:rsid w:val="000E0809"/>
    <w:rsid w:val="000E0DB3"/>
    <w:rsid w:val="000E0EEF"/>
    <w:rsid w:val="000E1198"/>
    <w:rsid w:val="000E1642"/>
    <w:rsid w:val="000E1DB4"/>
    <w:rsid w:val="000E2032"/>
    <w:rsid w:val="000E21D0"/>
    <w:rsid w:val="000E294A"/>
    <w:rsid w:val="000E2AEC"/>
    <w:rsid w:val="000E2BEE"/>
    <w:rsid w:val="000E2E74"/>
    <w:rsid w:val="000E359A"/>
    <w:rsid w:val="000E3C49"/>
    <w:rsid w:val="000E4683"/>
    <w:rsid w:val="000E49B3"/>
    <w:rsid w:val="000E4A4E"/>
    <w:rsid w:val="000E4D72"/>
    <w:rsid w:val="000E508B"/>
    <w:rsid w:val="000E5370"/>
    <w:rsid w:val="000E53C9"/>
    <w:rsid w:val="000E5650"/>
    <w:rsid w:val="000E57C3"/>
    <w:rsid w:val="000E5C87"/>
    <w:rsid w:val="000E6025"/>
    <w:rsid w:val="000E646C"/>
    <w:rsid w:val="000E65F7"/>
    <w:rsid w:val="000E6683"/>
    <w:rsid w:val="000E6816"/>
    <w:rsid w:val="000E7143"/>
    <w:rsid w:val="000E736A"/>
    <w:rsid w:val="000E75B3"/>
    <w:rsid w:val="000E76DD"/>
    <w:rsid w:val="000E77BF"/>
    <w:rsid w:val="000E789B"/>
    <w:rsid w:val="000E79D3"/>
    <w:rsid w:val="000E7DE8"/>
    <w:rsid w:val="000F0102"/>
    <w:rsid w:val="000F02B5"/>
    <w:rsid w:val="000F0C76"/>
    <w:rsid w:val="000F0E74"/>
    <w:rsid w:val="000F0E7B"/>
    <w:rsid w:val="000F1EBC"/>
    <w:rsid w:val="000F21EA"/>
    <w:rsid w:val="000F24DC"/>
    <w:rsid w:val="000F2D01"/>
    <w:rsid w:val="000F2EE6"/>
    <w:rsid w:val="000F3028"/>
    <w:rsid w:val="000F31D7"/>
    <w:rsid w:val="000F34CA"/>
    <w:rsid w:val="000F34F7"/>
    <w:rsid w:val="000F3692"/>
    <w:rsid w:val="000F3CE5"/>
    <w:rsid w:val="000F43D3"/>
    <w:rsid w:val="000F4499"/>
    <w:rsid w:val="000F4AD9"/>
    <w:rsid w:val="000F4E28"/>
    <w:rsid w:val="000F5196"/>
    <w:rsid w:val="000F5605"/>
    <w:rsid w:val="000F5A00"/>
    <w:rsid w:val="000F5C95"/>
    <w:rsid w:val="000F63C1"/>
    <w:rsid w:val="000F643B"/>
    <w:rsid w:val="000F661A"/>
    <w:rsid w:val="000F6681"/>
    <w:rsid w:val="000F6DA7"/>
    <w:rsid w:val="000F6E9D"/>
    <w:rsid w:val="000F7205"/>
    <w:rsid w:val="000F7432"/>
    <w:rsid w:val="000F74F0"/>
    <w:rsid w:val="000F76B1"/>
    <w:rsid w:val="00100173"/>
    <w:rsid w:val="0010035C"/>
    <w:rsid w:val="001005F1"/>
    <w:rsid w:val="00100BAA"/>
    <w:rsid w:val="00101053"/>
    <w:rsid w:val="001012E1"/>
    <w:rsid w:val="0010134B"/>
    <w:rsid w:val="0010177E"/>
    <w:rsid w:val="00101E32"/>
    <w:rsid w:val="00102038"/>
    <w:rsid w:val="0010232C"/>
    <w:rsid w:val="001024C8"/>
    <w:rsid w:val="0010259D"/>
    <w:rsid w:val="001027BD"/>
    <w:rsid w:val="00102D02"/>
    <w:rsid w:val="00102F8C"/>
    <w:rsid w:val="00103038"/>
    <w:rsid w:val="001033CD"/>
    <w:rsid w:val="0010366F"/>
    <w:rsid w:val="00103CAC"/>
    <w:rsid w:val="001048D1"/>
    <w:rsid w:val="00105432"/>
    <w:rsid w:val="0010551F"/>
    <w:rsid w:val="00105AD2"/>
    <w:rsid w:val="00105CCC"/>
    <w:rsid w:val="001061EA"/>
    <w:rsid w:val="001062DE"/>
    <w:rsid w:val="00106901"/>
    <w:rsid w:val="0010698C"/>
    <w:rsid w:val="001076F6"/>
    <w:rsid w:val="00107B40"/>
    <w:rsid w:val="00107DE5"/>
    <w:rsid w:val="001100A5"/>
    <w:rsid w:val="001100BA"/>
    <w:rsid w:val="001101D3"/>
    <w:rsid w:val="00110323"/>
    <w:rsid w:val="001105DC"/>
    <w:rsid w:val="00110A53"/>
    <w:rsid w:val="00110D2F"/>
    <w:rsid w:val="00110F1F"/>
    <w:rsid w:val="00111673"/>
    <w:rsid w:val="00111863"/>
    <w:rsid w:val="001119B6"/>
    <w:rsid w:val="00111C27"/>
    <w:rsid w:val="001125CC"/>
    <w:rsid w:val="0011270B"/>
    <w:rsid w:val="00112742"/>
    <w:rsid w:val="0011284A"/>
    <w:rsid w:val="00112AE7"/>
    <w:rsid w:val="00112DC5"/>
    <w:rsid w:val="00112F57"/>
    <w:rsid w:val="00112FC6"/>
    <w:rsid w:val="001131D0"/>
    <w:rsid w:val="00113295"/>
    <w:rsid w:val="0011375D"/>
    <w:rsid w:val="0011375E"/>
    <w:rsid w:val="00113986"/>
    <w:rsid w:val="0011430B"/>
    <w:rsid w:val="0011452F"/>
    <w:rsid w:val="00114A01"/>
    <w:rsid w:val="00114FC5"/>
    <w:rsid w:val="0011537E"/>
    <w:rsid w:val="00115715"/>
    <w:rsid w:val="001158D3"/>
    <w:rsid w:val="00115B76"/>
    <w:rsid w:val="001161C6"/>
    <w:rsid w:val="00116267"/>
    <w:rsid w:val="001163DF"/>
    <w:rsid w:val="00116B64"/>
    <w:rsid w:val="0011724D"/>
    <w:rsid w:val="001174FE"/>
    <w:rsid w:val="00117634"/>
    <w:rsid w:val="0012004A"/>
    <w:rsid w:val="00120282"/>
    <w:rsid w:val="001203D1"/>
    <w:rsid w:val="00120727"/>
    <w:rsid w:val="00120744"/>
    <w:rsid w:val="0012144F"/>
    <w:rsid w:val="00121C2C"/>
    <w:rsid w:val="00121DDB"/>
    <w:rsid w:val="001222A4"/>
    <w:rsid w:val="00122737"/>
    <w:rsid w:val="00122947"/>
    <w:rsid w:val="00122BAD"/>
    <w:rsid w:val="00122D62"/>
    <w:rsid w:val="00122FA2"/>
    <w:rsid w:val="00123199"/>
    <w:rsid w:val="00123C59"/>
    <w:rsid w:val="00123C7E"/>
    <w:rsid w:val="00123D12"/>
    <w:rsid w:val="00123D15"/>
    <w:rsid w:val="00123E88"/>
    <w:rsid w:val="00124077"/>
    <w:rsid w:val="0012453E"/>
    <w:rsid w:val="00124923"/>
    <w:rsid w:val="00125526"/>
    <w:rsid w:val="001259D8"/>
    <w:rsid w:val="00125F71"/>
    <w:rsid w:val="00126075"/>
    <w:rsid w:val="00126126"/>
    <w:rsid w:val="001267A3"/>
    <w:rsid w:val="00126D96"/>
    <w:rsid w:val="00127832"/>
    <w:rsid w:val="001279E0"/>
    <w:rsid w:val="00127BEE"/>
    <w:rsid w:val="00127D36"/>
    <w:rsid w:val="00127FA6"/>
    <w:rsid w:val="00130122"/>
    <w:rsid w:val="0013034F"/>
    <w:rsid w:val="001308AA"/>
    <w:rsid w:val="001308C1"/>
    <w:rsid w:val="00130A65"/>
    <w:rsid w:val="00130BCB"/>
    <w:rsid w:val="00130C64"/>
    <w:rsid w:val="0013178D"/>
    <w:rsid w:val="001319BD"/>
    <w:rsid w:val="00131BDB"/>
    <w:rsid w:val="00131E92"/>
    <w:rsid w:val="00131F6A"/>
    <w:rsid w:val="001322A8"/>
    <w:rsid w:val="001323C6"/>
    <w:rsid w:val="001324AB"/>
    <w:rsid w:val="001326BE"/>
    <w:rsid w:val="00132825"/>
    <w:rsid w:val="00132860"/>
    <w:rsid w:val="001328AD"/>
    <w:rsid w:val="0013375E"/>
    <w:rsid w:val="0013409E"/>
    <w:rsid w:val="0013483F"/>
    <w:rsid w:val="001348C6"/>
    <w:rsid w:val="00134B09"/>
    <w:rsid w:val="00134C01"/>
    <w:rsid w:val="00134C98"/>
    <w:rsid w:val="00135119"/>
    <w:rsid w:val="001351E1"/>
    <w:rsid w:val="001353A9"/>
    <w:rsid w:val="001354EF"/>
    <w:rsid w:val="00135568"/>
    <w:rsid w:val="0013571D"/>
    <w:rsid w:val="00135888"/>
    <w:rsid w:val="001358C7"/>
    <w:rsid w:val="00136091"/>
    <w:rsid w:val="001364BD"/>
    <w:rsid w:val="00136729"/>
    <w:rsid w:val="00136CD3"/>
    <w:rsid w:val="00136EC1"/>
    <w:rsid w:val="001379DB"/>
    <w:rsid w:val="00137A52"/>
    <w:rsid w:val="00140474"/>
    <w:rsid w:val="00140F80"/>
    <w:rsid w:val="001415B8"/>
    <w:rsid w:val="001417E2"/>
    <w:rsid w:val="00141CA5"/>
    <w:rsid w:val="001420E0"/>
    <w:rsid w:val="001428EE"/>
    <w:rsid w:val="00142BFA"/>
    <w:rsid w:val="00142C16"/>
    <w:rsid w:val="0014313E"/>
    <w:rsid w:val="00143B0A"/>
    <w:rsid w:val="00143B33"/>
    <w:rsid w:val="00143B52"/>
    <w:rsid w:val="00143FF0"/>
    <w:rsid w:val="00144117"/>
    <w:rsid w:val="001441B5"/>
    <w:rsid w:val="00144758"/>
    <w:rsid w:val="00144A5C"/>
    <w:rsid w:val="00144F45"/>
    <w:rsid w:val="00145394"/>
    <w:rsid w:val="00145A71"/>
    <w:rsid w:val="00146F5A"/>
    <w:rsid w:val="001474CA"/>
    <w:rsid w:val="00147F0E"/>
    <w:rsid w:val="00150C10"/>
    <w:rsid w:val="00151081"/>
    <w:rsid w:val="0015143D"/>
    <w:rsid w:val="00151496"/>
    <w:rsid w:val="0015158A"/>
    <w:rsid w:val="001517A2"/>
    <w:rsid w:val="00151B7D"/>
    <w:rsid w:val="00151C1A"/>
    <w:rsid w:val="00151C65"/>
    <w:rsid w:val="00151E45"/>
    <w:rsid w:val="001527BA"/>
    <w:rsid w:val="00152BC8"/>
    <w:rsid w:val="00152EB8"/>
    <w:rsid w:val="00153253"/>
    <w:rsid w:val="00153982"/>
    <w:rsid w:val="00153D03"/>
    <w:rsid w:val="00153E78"/>
    <w:rsid w:val="00154069"/>
    <w:rsid w:val="001545EF"/>
    <w:rsid w:val="00154B51"/>
    <w:rsid w:val="00154D5A"/>
    <w:rsid w:val="001552BF"/>
    <w:rsid w:val="00155388"/>
    <w:rsid w:val="0015601C"/>
    <w:rsid w:val="00156D2E"/>
    <w:rsid w:val="00156E41"/>
    <w:rsid w:val="00157853"/>
    <w:rsid w:val="0015787F"/>
    <w:rsid w:val="0015794E"/>
    <w:rsid w:val="00157D8F"/>
    <w:rsid w:val="00157E7C"/>
    <w:rsid w:val="00160361"/>
    <w:rsid w:val="00160A70"/>
    <w:rsid w:val="00160E54"/>
    <w:rsid w:val="0016165E"/>
    <w:rsid w:val="001617F4"/>
    <w:rsid w:val="00161817"/>
    <w:rsid w:val="00161CDD"/>
    <w:rsid w:val="00161E29"/>
    <w:rsid w:val="00162402"/>
    <w:rsid w:val="0016254F"/>
    <w:rsid w:val="0016369F"/>
    <w:rsid w:val="00163764"/>
    <w:rsid w:val="0016419F"/>
    <w:rsid w:val="00164415"/>
    <w:rsid w:val="00164B1B"/>
    <w:rsid w:val="00165703"/>
    <w:rsid w:val="001658AC"/>
    <w:rsid w:val="00165987"/>
    <w:rsid w:val="00165AC9"/>
    <w:rsid w:val="001661F4"/>
    <w:rsid w:val="001662C6"/>
    <w:rsid w:val="0016648C"/>
    <w:rsid w:val="0016680D"/>
    <w:rsid w:val="00166FA6"/>
    <w:rsid w:val="001671E9"/>
    <w:rsid w:val="00167457"/>
    <w:rsid w:val="00167710"/>
    <w:rsid w:val="0016798C"/>
    <w:rsid w:val="0017025F"/>
    <w:rsid w:val="00170E1F"/>
    <w:rsid w:val="00171FE8"/>
    <w:rsid w:val="0017241F"/>
    <w:rsid w:val="001724C4"/>
    <w:rsid w:val="00172732"/>
    <w:rsid w:val="00172A27"/>
    <w:rsid w:val="00172AE2"/>
    <w:rsid w:val="00172C56"/>
    <w:rsid w:val="00172F4F"/>
    <w:rsid w:val="00172FB9"/>
    <w:rsid w:val="00173010"/>
    <w:rsid w:val="00173276"/>
    <w:rsid w:val="0017342D"/>
    <w:rsid w:val="001736C7"/>
    <w:rsid w:val="00173839"/>
    <w:rsid w:val="00173969"/>
    <w:rsid w:val="001739C9"/>
    <w:rsid w:val="00173F18"/>
    <w:rsid w:val="00174DD9"/>
    <w:rsid w:val="00175E7F"/>
    <w:rsid w:val="00176221"/>
    <w:rsid w:val="00176319"/>
    <w:rsid w:val="001763A9"/>
    <w:rsid w:val="00176BF3"/>
    <w:rsid w:val="00176D59"/>
    <w:rsid w:val="00176DCB"/>
    <w:rsid w:val="00176ED9"/>
    <w:rsid w:val="00176FA0"/>
    <w:rsid w:val="001770B0"/>
    <w:rsid w:val="0017725F"/>
    <w:rsid w:val="00177380"/>
    <w:rsid w:val="00177BF6"/>
    <w:rsid w:val="00177D6F"/>
    <w:rsid w:val="001804E2"/>
    <w:rsid w:val="00180667"/>
    <w:rsid w:val="001812BB"/>
    <w:rsid w:val="0018150C"/>
    <w:rsid w:val="00181845"/>
    <w:rsid w:val="0018195D"/>
    <w:rsid w:val="00181F11"/>
    <w:rsid w:val="00182058"/>
    <w:rsid w:val="001824DF"/>
    <w:rsid w:val="00182552"/>
    <w:rsid w:val="001826C8"/>
    <w:rsid w:val="00182BB0"/>
    <w:rsid w:val="001838AA"/>
    <w:rsid w:val="00183CE2"/>
    <w:rsid w:val="00183D2A"/>
    <w:rsid w:val="00183F29"/>
    <w:rsid w:val="001841C1"/>
    <w:rsid w:val="0018438D"/>
    <w:rsid w:val="00184432"/>
    <w:rsid w:val="00184634"/>
    <w:rsid w:val="001847AA"/>
    <w:rsid w:val="001849B8"/>
    <w:rsid w:val="00184DA4"/>
    <w:rsid w:val="00184FE9"/>
    <w:rsid w:val="00185421"/>
    <w:rsid w:val="001859C7"/>
    <w:rsid w:val="00185C66"/>
    <w:rsid w:val="00185DBB"/>
    <w:rsid w:val="00185F43"/>
    <w:rsid w:val="00186144"/>
    <w:rsid w:val="0018614E"/>
    <w:rsid w:val="001861A7"/>
    <w:rsid w:val="00186391"/>
    <w:rsid w:val="0018652A"/>
    <w:rsid w:val="00186827"/>
    <w:rsid w:val="00186890"/>
    <w:rsid w:val="001869A6"/>
    <w:rsid w:val="00186B9C"/>
    <w:rsid w:val="00186C16"/>
    <w:rsid w:val="001871AF"/>
    <w:rsid w:val="001874D4"/>
    <w:rsid w:val="001876A7"/>
    <w:rsid w:val="001877D2"/>
    <w:rsid w:val="001878B6"/>
    <w:rsid w:val="00187B01"/>
    <w:rsid w:val="00187F05"/>
    <w:rsid w:val="00190176"/>
    <w:rsid w:val="001905E8"/>
    <w:rsid w:val="00190913"/>
    <w:rsid w:val="00190B07"/>
    <w:rsid w:val="00190CF5"/>
    <w:rsid w:val="00190EF0"/>
    <w:rsid w:val="0019140B"/>
    <w:rsid w:val="00191632"/>
    <w:rsid w:val="00191663"/>
    <w:rsid w:val="00191803"/>
    <w:rsid w:val="00191F7E"/>
    <w:rsid w:val="00192127"/>
    <w:rsid w:val="00192C9C"/>
    <w:rsid w:val="001932E9"/>
    <w:rsid w:val="00193CA5"/>
    <w:rsid w:val="00194082"/>
    <w:rsid w:val="00194305"/>
    <w:rsid w:val="00194599"/>
    <w:rsid w:val="00194CAF"/>
    <w:rsid w:val="00195065"/>
    <w:rsid w:val="001954B4"/>
    <w:rsid w:val="001954C5"/>
    <w:rsid w:val="00195629"/>
    <w:rsid w:val="001956A5"/>
    <w:rsid w:val="001958F7"/>
    <w:rsid w:val="00195E58"/>
    <w:rsid w:val="0019600C"/>
    <w:rsid w:val="0019617E"/>
    <w:rsid w:val="00196536"/>
    <w:rsid w:val="0019670B"/>
    <w:rsid w:val="00196C40"/>
    <w:rsid w:val="00196F4C"/>
    <w:rsid w:val="00196FC5"/>
    <w:rsid w:val="001971F6"/>
    <w:rsid w:val="001974A9"/>
    <w:rsid w:val="0019783B"/>
    <w:rsid w:val="00197A2E"/>
    <w:rsid w:val="00197B69"/>
    <w:rsid w:val="00197EF1"/>
    <w:rsid w:val="001A022A"/>
    <w:rsid w:val="001A04AE"/>
    <w:rsid w:val="001A0618"/>
    <w:rsid w:val="001A0C8A"/>
    <w:rsid w:val="001A0C90"/>
    <w:rsid w:val="001A1667"/>
    <w:rsid w:val="001A1E45"/>
    <w:rsid w:val="001A2042"/>
    <w:rsid w:val="001A291F"/>
    <w:rsid w:val="001A2ADA"/>
    <w:rsid w:val="001A2C2D"/>
    <w:rsid w:val="001A2D6E"/>
    <w:rsid w:val="001A2FD6"/>
    <w:rsid w:val="001A3030"/>
    <w:rsid w:val="001A3676"/>
    <w:rsid w:val="001A3C36"/>
    <w:rsid w:val="001A41D1"/>
    <w:rsid w:val="001A44D3"/>
    <w:rsid w:val="001A4710"/>
    <w:rsid w:val="001A48F1"/>
    <w:rsid w:val="001A4E0F"/>
    <w:rsid w:val="001A518D"/>
    <w:rsid w:val="001A528E"/>
    <w:rsid w:val="001A5BD6"/>
    <w:rsid w:val="001A5C85"/>
    <w:rsid w:val="001A5E83"/>
    <w:rsid w:val="001A63C5"/>
    <w:rsid w:val="001A65D3"/>
    <w:rsid w:val="001A6763"/>
    <w:rsid w:val="001A69D8"/>
    <w:rsid w:val="001A6D27"/>
    <w:rsid w:val="001A6E3C"/>
    <w:rsid w:val="001A6EA5"/>
    <w:rsid w:val="001A7558"/>
    <w:rsid w:val="001A7751"/>
    <w:rsid w:val="001A7922"/>
    <w:rsid w:val="001A7A22"/>
    <w:rsid w:val="001A7B63"/>
    <w:rsid w:val="001A7C1A"/>
    <w:rsid w:val="001B0648"/>
    <w:rsid w:val="001B07B7"/>
    <w:rsid w:val="001B0932"/>
    <w:rsid w:val="001B0BD1"/>
    <w:rsid w:val="001B105B"/>
    <w:rsid w:val="001B166B"/>
    <w:rsid w:val="001B1C99"/>
    <w:rsid w:val="001B1EBD"/>
    <w:rsid w:val="001B2A71"/>
    <w:rsid w:val="001B2FD8"/>
    <w:rsid w:val="001B36BC"/>
    <w:rsid w:val="001B3ADC"/>
    <w:rsid w:val="001B3DBC"/>
    <w:rsid w:val="001B3E49"/>
    <w:rsid w:val="001B41C7"/>
    <w:rsid w:val="001B4580"/>
    <w:rsid w:val="001B4BF4"/>
    <w:rsid w:val="001B4E40"/>
    <w:rsid w:val="001B5A98"/>
    <w:rsid w:val="001B5B88"/>
    <w:rsid w:val="001B61FB"/>
    <w:rsid w:val="001B6246"/>
    <w:rsid w:val="001B63B7"/>
    <w:rsid w:val="001B6923"/>
    <w:rsid w:val="001B6EF2"/>
    <w:rsid w:val="001B6FA2"/>
    <w:rsid w:val="001B7C14"/>
    <w:rsid w:val="001C0163"/>
    <w:rsid w:val="001C04D6"/>
    <w:rsid w:val="001C0655"/>
    <w:rsid w:val="001C070D"/>
    <w:rsid w:val="001C0884"/>
    <w:rsid w:val="001C0E22"/>
    <w:rsid w:val="001C104D"/>
    <w:rsid w:val="001C10CD"/>
    <w:rsid w:val="001C1301"/>
    <w:rsid w:val="001C1551"/>
    <w:rsid w:val="001C1A71"/>
    <w:rsid w:val="001C24CA"/>
    <w:rsid w:val="001C2526"/>
    <w:rsid w:val="001C26E0"/>
    <w:rsid w:val="001C2949"/>
    <w:rsid w:val="001C2BC7"/>
    <w:rsid w:val="001C2DEA"/>
    <w:rsid w:val="001C2E39"/>
    <w:rsid w:val="001C34B4"/>
    <w:rsid w:val="001C3864"/>
    <w:rsid w:val="001C3954"/>
    <w:rsid w:val="001C42AB"/>
    <w:rsid w:val="001C476F"/>
    <w:rsid w:val="001C4894"/>
    <w:rsid w:val="001C4F22"/>
    <w:rsid w:val="001C523C"/>
    <w:rsid w:val="001C553D"/>
    <w:rsid w:val="001C562B"/>
    <w:rsid w:val="001C57B2"/>
    <w:rsid w:val="001C5AD0"/>
    <w:rsid w:val="001C607F"/>
    <w:rsid w:val="001C66A2"/>
    <w:rsid w:val="001C7498"/>
    <w:rsid w:val="001C74E8"/>
    <w:rsid w:val="001C7517"/>
    <w:rsid w:val="001C7603"/>
    <w:rsid w:val="001C7673"/>
    <w:rsid w:val="001C77D3"/>
    <w:rsid w:val="001D01F3"/>
    <w:rsid w:val="001D0497"/>
    <w:rsid w:val="001D05ED"/>
    <w:rsid w:val="001D06ED"/>
    <w:rsid w:val="001D09B0"/>
    <w:rsid w:val="001D0CF4"/>
    <w:rsid w:val="001D1457"/>
    <w:rsid w:val="001D149A"/>
    <w:rsid w:val="001D1D41"/>
    <w:rsid w:val="001D1D52"/>
    <w:rsid w:val="001D1EA4"/>
    <w:rsid w:val="001D2043"/>
    <w:rsid w:val="001D2B88"/>
    <w:rsid w:val="001D2FD6"/>
    <w:rsid w:val="001D31D5"/>
    <w:rsid w:val="001D3B19"/>
    <w:rsid w:val="001D3CCD"/>
    <w:rsid w:val="001D3CD2"/>
    <w:rsid w:val="001D3D30"/>
    <w:rsid w:val="001D4BE6"/>
    <w:rsid w:val="001D4FF4"/>
    <w:rsid w:val="001D55B2"/>
    <w:rsid w:val="001D576C"/>
    <w:rsid w:val="001D596A"/>
    <w:rsid w:val="001D5AE9"/>
    <w:rsid w:val="001D5EBB"/>
    <w:rsid w:val="001E0342"/>
    <w:rsid w:val="001E06D1"/>
    <w:rsid w:val="001E164B"/>
    <w:rsid w:val="001E1A89"/>
    <w:rsid w:val="001E2557"/>
    <w:rsid w:val="001E268C"/>
    <w:rsid w:val="001E2EFD"/>
    <w:rsid w:val="001E2FCC"/>
    <w:rsid w:val="001E31B5"/>
    <w:rsid w:val="001E376F"/>
    <w:rsid w:val="001E3F8C"/>
    <w:rsid w:val="001E43A3"/>
    <w:rsid w:val="001E45BA"/>
    <w:rsid w:val="001E4821"/>
    <w:rsid w:val="001E4F10"/>
    <w:rsid w:val="001E57F9"/>
    <w:rsid w:val="001E58E9"/>
    <w:rsid w:val="001E608E"/>
    <w:rsid w:val="001E615F"/>
    <w:rsid w:val="001E6400"/>
    <w:rsid w:val="001E673F"/>
    <w:rsid w:val="001E6883"/>
    <w:rsid w:val="001E68D5"/>
    <w:rsid w:val="001E6C7B"/>
    <w:rsid w:val="001E790D"/>
    <w:rsid w:val="001E7C68"/>
    <w:rsid w:val="001E7FD5"/>
    <w:rsid w:val="001F022A"/>
    <w:rsid w:val="001F0258"/>
    <w:rsid w:val="001F03BB"/>
    <w:rsid w:val="001F0747"/>
    <w:rsid w:val="001F07B8"/>
    <w:rsid w:val="001F0947"/>
    <w:rsid w:val="001F095E"/>
    <w:rsid w:val="001F0F20"/>
    <w:rsid w:val="001F0FDD"/>
    <w:rsid w:val="001F1308"/>
    <w:rsid w:val="001F166F"/>
    <w:rsid w:val="001F17DD"/>
    <w:rsid w:val="001F1CE8"/>
    <w:rsid w:val="001F1E51"/>
    <w:rsid w:val="001F235B"/>
    <w:rsid w:val="001F2411"/>
    <w:rsid w:val="001F2C82"/>
    <w:rsid w:val="001F2C9A"/>
    <w:rsid w:val="001F2E3F"/>
    <w:rsid w:val="001F3026"/>
    <w:rsid w:val="001F3168"/>
    <w:rsid w:val="001F3233"/>
    <w:rsid w:val="001F3270"/>
    <w:rsid w:val="001F37D5"/>
    <w:rsid w:val="001F3936"/>
    <w:rsid w:val="001F3A9A"/>
    <w:rsid w:val="001F4482"/>
    <w:rsid w:val="001F4BD8"/>
    <w:rsid w:val="001F4C81"/>
    <w:rsid w:val="001F4D16"/>
    <w:rsid w:val="001F574B"/>
    <w:rsid w:val="001F5F16"/>
    <w:rsid w:val="001F6276"/>
    <w:rsid w:val="001F63B0"/>
    <w:rsid w:val="001F64CB"/>
    <w:rsid w:val="001F6960"/>
    <w:rsid w:val="001F6D03"/>
    <w:rsid w:val="001F7790"/>
    <w:rsid w:val="001F7973"/>
    <w:rsid w:val="0020008E"/>
    <w:rsid w:val="002000EC"/>
    <w:rsid w:val="0020098E"/>
    <w:rsid w:val="00200D81"/>
    <w:rsid w:val="00200DEC"/>
    <w:rsid w:val="00201114"/>
    <w:rsid w:val="00201855"/>
    <w:rsid w:val="00201907"/>
    <w:rsid w:val="00201BC0"/>
    <w:rsid w:val="00201EC0"/>
    <w:rsid w:val="00202039"/>
    <w:rsid w:val="002022A1"/>
    <w:rsid w:val="002023F4"/>
    <w:rsid w:val="0020252F"/>
    <w:rsid w:val="002029B3"/>
    <w:rsid w:val="00202B97"/>
    <w:rsid w:val="00202D8F"/>
    <w:rsid w:val="00202EDD"/>
    <w:rsid w:val="00202FA3"/>
    <w:rsid w:val="00203779"/>
    <w:rsid w:val="002039E9"/>
    <w:rsid w:val="00203E24"/>
    <w:rsid w:val="0020414B"/>
    <w:rsid w:val="002041D0"/>
    <w:rsid w:val="002041E0"/>
    <w:rsid w:val="00204300"/>
    <w:rsid w:val="00204AFC"/>
    <w:rsid w:val="00204ED6"/>
    <w:rsid w:val="00204F24"/>
    <w:rsid w:val="0020535D"/>
    <w:rsid w:val="00205C62"/>
    <w:rsid w:val="0020655C"/>
    <w:rsid w:val="00206BF4"/>
    <w:rsid w:val="00206D15"/>
    <w:rsid w:val="00206E51"/>
    <w:rsid w:val="002073AE"/>
    <w:rsid w:val="002074C5"/>
    <w:rsid w:val="002074E1"/>
    <w:rsid w:val="00207AB9"/>
    <w:rsid w:val="00207DFF"/>
    <w:rsid w:val="002104C8"/>
    <w:rsid w:val="0021074B"/>
    <w:rsid w:val="00210C89"/>
    <w:rsid w:val="00210EBC"/>
    <w:rsid w:val="002114FE"/>
    <w:rsid w:val="0021153E"/>
    <w:rsid w:val="0021252E"/>
    <w:rsid w:val="00212BC6"/>
    <w:rsid w:val="00212F98"/>
    <w:rsid w:val="0021375C"/>
    <w:rsid w:val="00213E9B"/>
    <w:rsid w:val="00214057"/>
    <w:rsid w:val="00214258"/>
    <w:rsid w:val="0021499D"/>
    <w:rsid w:val="00214C24"/>
    <w:rsid w:val="00214E32"/>
    <w:rsid w:val="00214EE0"/>
    <w:rsid w:val="00215131"/>
    <w:rsid w:val="0021572D"/>
    <w:rsid w:val="002157C8"/>
    <w:rsid w:val="00215D76"/>
    <w:rsid w:val="00216173"/>
    <w:rsid w:val="00216582"/>
    <w:rsid w:val="00216B17"/>
    <w:rsid w:val="00216D3D"/>
    <w:rsid w:val="00216FED"/>
    <w:rsid w:val="0021711C"/>
    <w:rsid w:val="0021791B"/>
    <w:rsid w:val="002179EB"/>
    <w:rsid w:val="00220066"/>
    <w:rsid w:val="002200FE"/>
    <w:rsid w:val="0022028F"/>
    <w:rsid w:val="002208C0"/>
    <w:rsid w:val="00220DFB"/>
    <w:rsid w:val="00221005"/>
    <w:rsid w:val="002210BE"/>
    <w:rsid w:val="002210F6"/>
    <w:rsid w:val="00221572"/>
    <w:rsid w:val="00221DE7"/>
    <w:rsid w:val="00222735"/>
    <w:rsid w:val="00222E30"/>
    <w:rsid w:val="00222F83"/>
    <w:rsid w:val="0022329D"/>
    <w:rsid w:val="00223783"/>
    <w:rsid w:val="0022378B"/>
    <w:rsid w:val="00223CC6"/>
    <w:rsid w:val="0022492D"/>
    <w:rsid w:val="00224DEB"/>
    <w:rsid w:val="00224E40"/>
    <w:rsid w:val="00224E4B"/>
    <w:rsid w:val="0022543E"/>
    <w:rsid w:val="0022556E"/>
    <w:rsid w:val="002257C4"/>
    <w:rsid w:val="0022585E"/>
    <w:rsid w:val="00225B37"/>
    <w:rsid w:val="002264BD"/>
    <w:rsid w:val="002267BF"/>
    <w:rsid w:val="00226814"/>
    <w:rsid w:val="00226FB5"/>
    <w:rsid w:val="002275CF"/>
    <w:rsid w:val="00227A4A"/>
    <w:rsid w:val="00227A5B"/>
    <w:rsid w:val="00227F19"/>
    <w:rsid w:val="00230278"/>
    <w:rsid w:val="00230D0D"/>
    <w:rsid w:val="00230E50"/>
    <w:rsid w:val="00231601"/>
    <w:rsid w:val="00231956"/>
    <w:rsid w:val="00231AE5"/>
    <w:rsid w:val="00231D66"/>
    <w:rsid w:val="00231D7B"/>
    <w:rsid w:val="00231FEE"/>
    <w:rsid w:val="00232238"/>
    <w:rsid w:val="00232396"/>
    <w:rsid w:val="00232434"/>
    <w:rsid w:val="0023283C"/>
    <w:rsid w:val="002329E8"/>
    <w:rsid w:val="00232EF5"/>
    <w:rsid w:val="00233274"/>
    <w:rsid w:val="002333DA"/>
    <w:rsid w:val="0023419C"/>
    <w:rsid w:val="00234418"/>
    <w:rsid w:val="0023451B"/>
    <w:rsid w:val="00234867"/>
    <w:rsid w:val="00234B05"/>
    <w:rsid w:val="00234BB2"/>
    <w:rsid w:val="00234BE8"/>
    <w:rsid w:val="00234DF6"/>
    <w:rsid w:val="0023534E"/>
    <w:rsid w:val="00235554"/>
    <w:rsid w:val="00235AE4"/>
    <w:rsid w:val="00235DDE"/>
    <w:rsid w:val="00236337"/>
    <w:rsid w:val="0023636A"/>
    <w:rsid w:val="002363C1"/>
    <w:rsid w:val="00236840"/>
    <w:rsid w:val="00236F52"/>
    <w:rsid w:val="00236FC7"/>
    <w:rsid w:val="00237033"/>
    <w:rsid w:val="002370D5"/>
    <w:rsid w:val="002371DD"/>
    <w:rsid w:val="0023795F"/>
    <w:rsid w:val="002401F1"/>
    <w:rsid w:val="00240E4A"/>
    <w:rsid w:val="00241364"/>
    <w:rsid w:val="00241408"/>
    <w:rsid w:val="002415E8"/>
    <w:rsid w:val="002415F7"/>
    <w:rsid w:val="002417DC"/>
    <w:rsid w:val="002425D3"/>
    <w:rsid w:val="00242762"/>
    <w:rsid w:val="00242838"/>
    <w:rsid w:val="00242A19"/>
    <w:rsid w:val="00243348"/>
    <w:rsid w:val="00243606"/>
    <w:rsid w:val="00243965"/>
    <w:rsid w:val="00243FF3"/>
    <w:rsid w:val="002440F3"/>
    <w:rsid w:val="00244699"/>
    <w:rsid w:val="002455A2"/>
    <w:rsid w:val="00245735"/>
    <w:rsid w:val="00245796"/>
    <w:rsid w:val="002462A7"/>
    <w:rsid w:val="00246F9F"/>
    <w:rsid w:val="00247486"/>
    <w:rsid w:val="002479BF"/>
    <w:rsid w:val="002505A2"/>
    <w:rsid w:val="00250736"/>
    <w:rsid w:val="002509AA"/>
    <w:rsid w:val="00250C06"/>
    <w:rsid w:val="00250E7D"/>
    <w:rsid w:val="0025139D"/>
    <w:rsid w:val="00251808"/>
    <w:rsid w:val="0025241C"/>
    <w:rsid w:val="00252B96"/>
    <w:rsid w:val="002532D1"/>
    <w:rsid w:val="002533FB"/>
    <w:rsid w:val="00253AC0"/>
    <w:rsid w:val="00253B80"/>
    <w:rsid w:val="00253C5C"/>
    <w:rsid w:val="00253E07"/>
    <w:rsid w:val="0025445C"/>
    <w:rsid w:val="00254858"/>
    <w:rsid w:val="00254A35"/>
    <w:rsid w:val="00254AB5"/>
    <w:rsid w:val="00254B0E"/>
    <w:rsid w:val="0025577C"/>
    <w:rsid w:val="00256332"/>
    <w:rsid w:val="002567C2"/>
    <w:rsid w:val="002568BC"/>
    <w:rsid w:val="00256E20"/>
    <w:rsid w:val="002574DA"/>
    <w:rsid w:val="0025770A"/>
    <w:rsid w:val="0026006E"/>
    <w:rsid w:val="0026006F"/>
    <w:rsid w:val="002604B9"/>
    <w:rsid w:val="00260B4E"/>
    <w:rsid w:val="00260C21"/>
    <w:rsid w:val="00261534"/>
    <w:rsid w:val="002616FC"/>
    <w:rsid w:val="002618A8"/>
    <w:rsid w:val="00262613"/>
    <w:rsid w:val="00262B89"/>
    <w:rsid w:val="002632D1"/>
    <w:rsid w:val="0026378F"/>
    <w:rsid w:val="00263A25"/>
    <w:rsid w:val="00263AC4"/>
    <w:rsid w:val="00263D08"/>
    <w:rsid w:val="00263D20"/>
    <w:rsid w:val="00263D79"/>
    <w:rsid w:val="002640A7"/>
    <w:rsid w:val="0026436B"/>
    <w:rsid w:val="00264686"/>
    <w:rsid w:val="0026488C"/>
    <w:rsid w:val="00264AF2"/>
    <w:rsid w:val="00264CBC"/>
    <w:rsid w:val="0026518D"/>
    <w:rsid w:val="00265CDC"/>
    <w:rsid w:val="00266341"/>
    <w:rsid w:val="00266761"/>
    <w:rsid w:val="00266BBC"/>
    <w:rsid w:val="00266D2B"/>
    <w:rsid w:val="00267357"/>
    <w:rsid w:val="002679B1"/>
    <w:rsid w:val="00267B65"/>
    <w:rsid w:val="00267DE8"/>
    <w:rsid w:val="00267EA4"/>
    <w:rsid w:val="00267F8D"/>
    <w:rsid w:val="00267FD3"/>
    <w:rsid w:val="0027002F"/>
    <w:rsid w:val="00270524"/>
    <w:rsid w:val="00270700"/>
    <w:rsid w:val="00270BB4"/>
    <w:rsid w:val="00270BE8"/>
    <w:rsid w:val="00270EF3"/>
    <w:rsid w:val="00271507"/>
    <w:rsid w:val="0027151C"/>
    <w:rsid w:val="00271612"/>
    <w:rsid w:val="00272029"/>
    <w:rsid w:val="00272666"/>
    <w:rsid w:val="002726E5"/>
    <w:rsid w:val="002727C6"/>
    <w:rsid w:val="0027374A"/>
    <w:rsid w:val="00273B28"/>
    <w:rsid w:val="00273C6D"/>
    <w:rsid w:val="002744D7"/>
    <w:rsid w:val="00274718"/>
    <w:rsid w:val="00274A60"/>
    <w:rsid w:val="00274AA0"/>
    <w:rsid w:val="0027502B"/>
    <w:rsid w:val="002751EA"/>
    <w:rsid w:val="00275451"/>
    <w:rsid w:val="002754EB"/>
    <w:rsid w:val="00275797"/>
    <w:rsid w:val="00275868"/>
    <w:rsid w:val="00276028"/>
    <w:rsid w:val="00276047"/>
    <w:rsid w:val="002763E1"/>
    <w:rsid w:val="0027657A"/>
    <w:rsid w:val="002766E0"/>
    <w:rsid w:val="0027692D"/>
    <w:rsid w:val="00276B69"/>
    <w:rsid w:val="0027701E"/>
    <w:rsid w:val="002770CF"/>
    <w:rsid w:val="002772E4"/>
    <w:rsid w:val="00277782"/>
    <w:rsid w:val="002800BE"/>
    <w:rsid w:val="002800FC"/>
    <w:rsid w:val="002803F9"/>
    <w:rsid w:val="00280404"/>
    <w:rsid w:val="002809B3"/>
    <w:rsid w:val="00280B05"/>
    <w:rsid w:val="00280C16"/>
    <w:rsid w:val="00280FE9"/>
    <w:rsid w:val="00281201"/>
    <w:rsid w:val="002816EE"/>
    <w:rsid w:val="00281ACE"/>
    <w:rsid w:val="00281C60"/>
    <w:rsid w:val="00281F8A"/>
    <w:rsid w:val="00282AC9"/>
    <w:rsid w:val="00282F33"/>
    <w:rsid w:val="002834C7"/>
    <w:rsid w:val="002837F6"/>
    <w:rsid w:val="00283A47"/>
    <w:rsid w:val="00283CA0"/>
    <w:rsid w:val="00283DD4"/>
    <w:rsid w:val="0028408A"/>
    <w:rsid w:val="002843D8"/>
    <w:rsid w:val="00284D0B"/>
    <w:rsid w:val="00284EFA"/>
    <w:rsid w:val="00285456"/>
    <w:rsid w:val="0028548F"/>
    <w:rsid w:val="002855D7"/>
    <w:rsid w:val="00285C9E"/>
    <w:rsid w:val="0028640E"/>
    <w:rsid w:val="00286C4C"/>
    <w:rsid w:val="00286DAD"/>
    <w:rsid w:val="00287A9F"/>
    <w:rsid w:val="00290471"/>
    <w:rsid w:val="00290AA9"/>
    <w:rsid w:val="002912BA"/>
    <w:rsid w:val="002912DA"/>
    <w:rsid w:val="002913F7"/>
    <w:rsid w:val="002914FD"/>
    <w:rsid w:val="002916E1"/>
    <w:rsid w:val="00291CA5"/>
    <w:rsid w:val="00291D37"/>
    <w:rsid w:val="00291EC9"/>
    <w:rsid w:val="002921CE"/>
    <w:rsid w:val="00292531"/>
    <w:rsid w:val="00292655"/>
    <w:rsid w:val="00292A84"/>
    <w:rsid w:val="00292B7D"/>
    <w:rsid w:val="00293261"/>
    <w:rsid w:val="002932D7"/>
    <w:rsid w:val="00293467"/>
    <w:rsid w:val="00293A01"/>
    <w:rsid w:val="00293DCA"/>
    <w:rsid w:val="00293F23"/>
    <w:rsid w:val="00294C3F"/>
    <w:rsid w:val="00294CF6"/>
    <w:rsid w:val="00294FD7"/>
    <w:rsid w:val="002952AF"/>
    <w:rsid w:val="002956FC"/>
    <w:rsid w:val="00295B6C"/>
    <w:rsid w:val="00295CF1"/>
    <w:rsid w:val="00295DD0"/>
    <w:rsid w:val="00296C7F"/>
    <w:rsid w:val="002970BF"/>
    <w:rsid w:val="00297181"/>
    <w:rsid w:val="002975AC"/>
    <w:rsid w:val="002A0558"/>
    <w:rsid w:val="002A0C02"/>
    <w:rsid w:val="002A0EB7"/>
    <w:rsid w:val="002A1074"/>
    <w:rsid w:val="002A113A"/>
    <w:rsid w:val="002A16B1"/>
    <w:rsid w:val="002A1979"/>
    <w:rsid w:val="002A200D"/>
    <w:rsid w:val="002A2084"/>
    <w:rsid w:val="002A21FA"/>
    <w:rsid w:val="002A25DA"/>
    <w:rsid w:val="002A2771"/>
    <w:rsid w:val="002A2855"/>
    <w:rsid w:val="002A2E05"/>
    <w:rsid w:val="002A302F"/>
    <w:rsid w:val="002A31BA"/>
    <w:rsid w:val="002A3BFB"/>
    <w:rsid w:val="002A3D4E"/>
    <w:rsid w:val="002A4347"/>
    <w:rsid w:val="002A4492"/>
    <w:rsid w:val="002A45D9"/>
    <w:rsid w:val="002A46C6"/>
    <w:rsid w:val="002A4775"/>
    <w:rsid w:val="002A4E98"/>
    <w:rsid w:val="002A5041"/>
    <w:rsid w:val="002A5CA0"/>
    <w:rsid w:val="002A5DCF"/>
    <w:rsid w:val="002A5E81"/>
    <w:rsid w:val="002A5EFD"/>
    <w:rsid w:val="002A6ACF"/>
    <w:rsid w:val="002A6BBE"/>
    <w:rsid w:val="002A6CB1"/>
    <w:rsid w:val="002A6D16"/>
    <w:rsid w:val="002A730D"/>
    <w:rsid w:val="002A792A"/>
    <w:rsid w:val="002A7AA8"/>
    <w:rsid w:val="002A7BF9"/>
    <w:rsid w:val="002A7C61"/>
    <w:rsid w:val="002A7F17"/>
    <w:rsid w:val="002B0076"/>
    <w:rsid w:val="002B032A"/>
    <w:rsid w:val="002B0384"/>
    <w:rsid w:val="002B044E"/>
    <w:rsid w:val="002B0B0B"/>
    <w:rsid w:val="002B0D8D"/>
    <w:rsid w:val="002B0EBC"/>
    <w:rsid w:val="002B132A"/>
    <w:rsid w:val="002B1713"/>
    <w:rsid w:val="002B1CDD"/>
    <w:rsid w:val="002B21F5"/>
    <w:rsid w:val="002B228C"/>
    <w:rsid w:val="002B2668"/>
    <w:rsid w:val="002B2875"/>
    <w:rsid w:val="002B3134"/>
    <w:rsid w:val="002B369F"/>
    <w:rsid w:val="002B3A1E"/>
    <w:rsid w:val="002B3ECB"/>
    <w:rsid w:val="002B3F5B"/>
    <w:rsid w:val="002B405C"/>
    <w:rsid w:val="002B4617"/>
    <w:rsid w:val="002B4785"/>
    <w:rsid w:val="002B4C0C"/>
    <w:rsid w:val="002B4D5C"/>
    <w:rsid w:val="002B51C4"/>
    <w:rsid w:val="002B5314"/>
    <w:rsid w:val="002B561D"/>
    <w:rsid w:val="002B5922"/>
    <w:rsid w:val="002B5E03"/>
    <w:rsid w:val="002B6193"/>
    <w:rsid w:val="002B662C"/>
    <w:rsid w:val="002B6C45"/>
    <w:rsid w:val="002B75BB"/>
    <w:rsid w:val="002B7E1F"/>
    <w:rsid w:val="002C090E"/>
    <w:rsid w:val="002C0AD2"/>
    <w:rsid w:val="002C0C94"/>
    <w:rsid w:val="002C0FB6"/>
    <w:rsid w:val="002C13E6"/>
    <w:rsid w:val="002C1500"/>
    <w:rsid w:val="002C1F7C"/>
    <w:rsid w:val="002C234F"/>
    <w:rsid w:val="002C2FF4"/>
    <w:rsid w:val="002C3618"/>
    <w:rsid w:val="002C3FF2"/>
    <w:rsid w:val="002C4400"/>
    <w:rsid w:val="002C4981"/>
    <w:rsid w:val="002C4F88"/>
    <w:rsid w:val="002C509F"/>
    <w:rsid w:val="002C52C6"/>
    <w:rsid w:val="002C5880"/>
    <w:rsid w:val="002C58BD"/>
    <w:rsid w:val="002C59F0"/>
    <w:rsid w:val="002C5EA7"/>
    <w:rsid w:val="002C5F4D"/>
    <w:rsid w:val="002C614D"/>
    <w:rsid w:val="002C61B3"/>
    <w:rsid w:val="002C643A"/>
    <w:rsid w:val="002C6B8C"/>
    <w:rsid w:val="002C6F0D"/>
    <w:rsid w:val="002C70E7"/>
    <w:rsid w:val="002C727D"/>
    <w:rsid w:val="002C7426"/>
    <w:rsid w:val="002C7A3B"/>
    <w:rsid w:val="002C7A81"/>
    <w:rsid w:val="002C7DAF"/>
    <w:rsid w:val="002D0041"/>
    <w:rsid w:val="002D0340"/>
    <w:rsid w:val="002D04F6"/>
    <w:rsid w:val="002D069D"/>
    <w:rsid w:val="002D0B99"/>
    <w:rsid w:val="002D0E29"/>
    <w:rsid w:val="002D10B7"/>
    <w:rsid w:val="002D170A"/>
    <w:rsid w:val="002D1B41"/>
    <w:rsid w:val="002D1D8F"/>
    <w:rsid w:val="002D1DA7"/>
    <w:rsid w:val="002D225C"/>
    <w:rsid w:val="002D23A2"/>
    <w:rsid w:val="002D2465"/>
    <w:rsid w:val="002D290C"/>
    <w:rsid w:val="002D2CF3"/>
    <w:rsid w:val="002D2F19"/>
    <w:rsid w:val="002D34D5"/>
    <w:rsid w:val="002D397A"/>
    <w:rsid w:val="002D3A29"/>
    <w:rsid w:val="002D42AD"/>
    <w:rsid w:val="002D53F3"/>
    <w:rsid w:val="002D5485"/>
    <w:rsid w:val="002D58E3"/>
    <w:rsid w:val="002D5ECE"/>
    <w:rsid w:val="002D6A4A"/>
    <w:rsid w:val="002D6D76"/>
    <w:rsid w:val="002D7360"/>
    <w:rsid w:val="002D74D3"/>
    <w:rsid w:val="002E0166"/>
    <w:rsid w:val="002E0A3C"/>
    <w:rsid w:val="002E10B4"/>
    <w:rsid w:val="002E16EC"/>
    <w:rsid w:val="002E26BA"/>
    <w:rsid w:val="002E28BD"/>
    <w:rsid w:val="002E2A1A"/>
    <w:rsid w:val="002E2EF1"/>
    <w:rsid w:val="002E2F66"/>
    <w:rsid w:val="002E3224"/>
    <w:rsid w:val="002E34D0"/>
    <w:rsid w:val="002E4474"/>
    <w:rsid w:val="002E4744"/>
    <w:rsid w:val="002E4B58"/>
    <w:rsid w:val="002E4F70"/>
    <w:rsid w:val="002E50F1"/>
    <w:rsid w:val="002E5535"/>
    <w:rsid w:val="002E55A6"/>
    <w:rsid w:val="002E5B71"/>
    <w:rsid w:val="002E5BE3"/>
    <w:rsid w:val="002E5E4E"/>
    <w:rsid w:val="002E62B7"/>
    <w:rsid w:val="002E63CC"/>
    <w:rsid w:val="002E707C"/>
    <w:rsid w:val="002E7643"/>
    <w:rsid w:val="002E79D8"/>
    <w:rsid w:val="002F0CC9"/>
    <w:rsid w:val="002F0DE0"/>
    <w:rsid w:val="002F181C"/>
    <w:rsid w:val="002F1888"/>
    <w:rsid w:val="002F18DF"/>
    <w:rsid w:val="002F1E2B"/>
    <w:rsid w:val="002F25BB"/>
    <w:rsid w:val="002F2CF1"/>
    <w:rsid w:val="002F30AF"/>
    <w:rsid w:val="002F31B3"/>
    <w:rsid w:val="002F3B4D"/>
    <w:rsid w:val="002F3F72"/>
    <w:rsid w:val="002F402D"/>
    <w:rsid w:val="002F40A1"/>
    <w:rsid w:val="002F46D5"/>
    <w:rsid w:val="002F4A8D"/>
    <w:rsid w:val="002F4F5A"/>
    <w:rsid w:val="002F52AE"/>
    <w:rsid w:val="002F6767"/>
    <w:rsid w:val="002F792E"/>
    <w:rsid w:val="002F7B20"/>
    <w:rsid w:val="0030017D"/>
    <w:rsid w:val="00300D6E"/>
    <w:rsid w:val="003014AA"/>
    <w:rsid w:val="003014E1"/>
    <w:rsid w:val="00301795"/>
    <w:rsid w:val="00301B49"/>
    <w:rsid w:val="00301E1B"/>
    <w:rsid w:val="00302147"/>
    <w:rsid w:val="00302FEA"/>
    <w:rsid w:val="00303148"/>
    <w:rsid w:val="00303180"/>
    <w:rsid w:val="003032B7"/>
    <w:rsid w:val="0030365B"/>
    <w:rsid w:val="003036BA"/>
    <w:rsid w:val="003039BE"/>
    <w:rsid w:val="00303BBC"/>
    <w:rsid w:val="00303C12"/>
    <w:rsid w:val="00303F5D"/>
    <w:rsid w:val="003040D4"/>
    <w:rsid w:val="00304128"/>
    <w:rsid w:val="00304212"/>
    <w:rsid w:val="00304931"/>
    <w:rsid w:val="00304B99"/>
    <w:rsid w:val="00304CBE"/>
    <w:rsid w:val="00304D0C"/>
    <w:rsid w:val="00304E22"/>
    <w:rsid w:val="003054ED"/>
    <w:rsid w:val="0030556C"/>
    <w:rsid w:val="00305575"/>
    <w:rsid w:val="0030594F"/>
    <w:rsid w:val="00305C80"/>
    <w:rsid w:val="0030632E"/>
    <w:rsid w:val="003063C0"/>
    <w:rsid w:val="00306724"/>
    <w:rsid w:val="003067A5"/>
    <w:rsid w:val="00306DEE"/>
    <w:rsid w:val="00307014"/>
    <w:rsid w:val="00307184"/>
    <w:rsid w:val="003075CB"/>
    <w:rsid w:val="003078F5"/>
    <w:rsid w:val="00307FDB"/>
    <w:rsid w:val="0031000C"/>
    <w:rsid w:val="003100CA"/>
    <w:rsid w:val="00310917"/>
    <w:rsid w:val="00310CD0"/>
    <w:rsid w:val="003115FD"/>
    <w:rsid w:val="00311C90"/>
    <w:rsid w:val="0031231B"/>
    <w:rsid w:val="0031283F"/>
    <w:rsid w:val="00312AAD"/>
    <w:rsid w:val="00313057"/>
    <w:rsid w:val="00313068"/>
    <w:rsid w:val="0031364B"/>
    <w:rsid w:val="00313700"/>
    <w:rsid w:val="003137C5"/>
    <w:rsid w:val="00313F88"/>
    <w:rsid w:val="003142C4"/>
    <w:rsid w:val="003142E3"/>
    <w:rsid w:val="00314506"/>
    <w:rsid w:val="0031489D"/>
    <w:rsid w:val="00315334"/>
    <w:rsid w:val="003155E8"/>
    <w:rsid w:val="00315879"/>
    <w:rsid w:val="003158EE"/>
    <w:rsid w:val="00315CC4"/>
    <w:rsid w:val="003162C5"/>
    <w:rsid w:val="003163A7"/>
    <w:rsid w:val="00316E4D"/>
    <w:rsid w:val="00317718"/>
    <w:rsid w:val="00317CDE"/>
    <w:rsid w:val="00317E32"/>
    <w:rsid w:val="003205CB"/>
    <w:rsid w:val="00320601"/>
    <w:rsid w:val="00320B08"/>
    <w:rsid w:val="00320C4F"/>
    <w:rsid w:val="00321A04"/>
    <w:rsid w:val="00321B7D"/>
    <w:rsid w:val="00322006"/>
    <w:rsid w:val="003220D1"/>
    <w:rsid w:val="0032279F"/>
    <w:rsid w:val="003228B9"/>
    <w:rsid w:val="00322934"/>
    <w:rsid w:val="00322977"/>
    <w:rsid w:val="0032307D"/>
    <w:rsid w:val="00323C68"/>
    <w:rsid w:val="00324094"/>
    <w:rsid w:val="00324167"/>
    <w:rsid w:val="00324244"/>
    <w:rsid w:val="00324800"/>
    <w:rsid w:val="00324947"/>
    <w:rsid w:val="0032514B"/>
    <w:rsid w:val="0032541F"/>
    <w:rsid w:val="00325ECD"/>
    <w:rsid w:val="00326397"/>
    <w:rsid w:val="003269A0"/>
    <w:rsid w:val="00326A01"/>
    <w:rsid w:val="00326B9F"/>
    <w:rsid w:val="00326C33"/>
    <w:rsid w:val="00326D91"/>
    <w:rsid w:val="00327136"/>
    <w:rsid w:val="003273AE"/>
    <w:rsid w:val="003275A9"/>
    <w:rsid w:val="00327855"/>
    <w:rsid w:val="0033046D"/>
    <w:rsid w:val="00330D42"/>
    <w:rsid w:val="00331307"/>
    <w:rsid w:val="00331353"/>
    <w:rsid w:val="0033172A"/>
    <w:rsid w:val="00331E25"/>
    <w:rsid w:val="00332071"/>
    <w:rsid w:val="00332A9C"/>
    <w:rsid w:val="00332C21"/>
    <w:rsid w:val="00332D60"/>
    <w:rsid w:val="003337DE"/>
    <w:rsid w:val="00333A7F"/>
    <w:rsid w:val="00334B9A"/>
    <w:rsid w:val="00334DA3"/>
    <w:rsid w:val="00334E26"/>
    <w:rsid w:val="0033517E"/>
    <w:rsid w:val="003353A8"/>
    <w:rsid w:val="0033550E"/>
    <w:rsid w:val="003355E1"/>
    <w:rsid w:val="00335825"/>
    <w:rsid w:val="003360F8"/>
    <w:rsid w:val="003363CD"/>
    <w:rsid w:val="00336A53"/>
    <w:rsid w:val="00337309"/>
    <w:rsid w:val="003373FA"/>
    <w:rsid w:val="003375C1"/>
    <w:rsid w:val="003378AA"/>
    <w:rsid w:val="00337AE7"/>
    <w:rsid w:val="00337C7C"/>
    <w:rsid w:val="00337D3F"/>
    <w:rsid w:val="00337F79"/>
    <w:rsid w:val="003408B1"/>
    <w:rsid w:val="00340A1E"/>
    <w:rsid w:val="00340C43"/>
    <w:rsid w:val="00340D05"/>
    <w:rsid w:val="00340D97"/>
    <w:rsid w:val="00341301"/>
    <w:rsid w:val="00341707"/>
    <w:rsid w:val="00341716"/>
    <w:rsid w:val="00341DAB"/>
    <w:rsid w:val="00341F14"/>
    <w:rsid w:val="00341FA0"/>
    <w:rsid w:val="003421B6"/>
    <w:rsid w:val="00342A29"/>
    <w:rsid w:val="0034305A"/>
    <w:rsid w:val="003437BE"/>
    <w:rsid w:val="00343DB1"/>
    <w:rsid w:val="003443FC"/>
    <w:rsid w:val="00345171"/>
    <w:rsid w:val="00345600"/>
    <w:rsid w:val="00345B06"/>
    <w:rsid w:val="00345B11"/>
    <w:rsid w:val="00345FC0"/>
    <w:rsid w:val="00346191"/>
    <w:rsid w:val="00346350"/>
    <w:rsid w:val="00346D19"/>
    <w:rsid w:val="0034726C"/>
    <w:rsid w:val="003472A5"/>
    <w:rsid w:val="003479D7"/>
    <w:rsid w:val="00347B29"/>
    <w:rsid w:val="00347FAB"/>
    <w:rsid w:val="003500F5"/>
    <w:rsid w:val="00350505"/>
    <w:rsid w:val="00350BFF"/>
    <w:rsid w:val="00350CA1"/>
    <w:rsid w:val="00351333"/>
    <w:rsid w:val="00351688"/>
    <w:rsid w:val="00352057"/>
    <w:rsid w:val="003520FC"/>
    <w:rsid w:val="0035215D"/>
    <w:rsid w:val="003524CA"/>
    <w:rsid w:val="00352563"/>
    <w:rsid w:val="003525D7"/>
    <w:rsid w:val="00352DDD"/>
    <w:rsid w:val="00352E22"/>
    <w:rsid w:val="00353517"/>
    <w:rsid w:val="003537E3"/>
    <w:rsid w:val="00353925"/>
    <w:rsid w:val="003543C9"/>
    <w:rsid w:val="00354735"/>
    <w:rsid w:val="00354847"/>
    <w:rsid w:val="00355462"/>
    <w:rsid w:val="0035596A"/>
    <w:rsid w:val="00355A24"/>
    <w:rsid w:val="00355BC0"/>
    <w:rsid w:val="00355D79"/>
    <w:rsid w:val="00355E92"/>
    <w:rsid w:val="0035619F"/>
    <w:rsid w:val="00356C12"/>
    <w:rsid w:val="003573E5"/>
    <w:rsid w:val="0035761A"/>
    <w:rsid w:val="00357B0D"/>
    <w:rsid w:val="00357B72"/>
    <w:rsid w:val="00357CFD"/>
    <w:rsid w:val="00357F61"/>
    <w:rsid w:val="0036019E"/>
    <w:rsid w:val="00360850"/>
    <w:rsid w:val="003609E0"/>
    <w:rsid w:val="00361957"/>
    <w:rsid w:val="003622B3"/>
    <w:rsid w:val="003623CF"/>
    <w:rsid w:val="00362839"/>
    <w:rsid w:val="00362F24"/>
    <w:rsid w:val="0036324C"/>
    <w:rsid w:val="00363287"/>
    <w:rsid w:val="00363386"/>
    <w:rsid w:val="0036389F"/>
    <w:rsid w:val="003641EC"/>
    <w:rsid w:val="003645F2"/>
    <w:rsid w:val="003647E4"/>
    <w:rsid w:val="00364862"/>
    <w:rsid w:val="00364C39"/>
    <w:rsid w:val="00365940"/>
    <w:rsid w:val="00365ADA"/>
    <w:rsid w:val="00365B67"/>
    <w:rsid w:val="00366160"/>
    <w:rsid w:val="0036638F"/>
    <w:rsid w:val="00366671"/>
    <w:rsid w:val="003666D8"/>
    <w:rsid w:val="0036676C"/>
    <w:rsid w:val="00366E95"/>
    <w:rsid w:val="003674C7"/>
    <w:rsid w:val="00367FA1"/>
    <w:rsid w:val="003700BB"/>
    <w:rsid w:val="0037010F"/>
    <w:rsid w:val="0037014F"/>
    <w:rsid w:val="0037019E"/>
    <w:rsid w:val="00370ACD"/>
    <w:rsid w:val="00370B68"/>
    <w:rsid w:val="00370BC5"/>
    <w:rsid w:val="00372612"/>
    <w:rsid w:val="00372A78"/>
    <w:rsid w:val="00372F4A"/>
    <w:rsid w:val="003733B2"/>
    <w:rsid w:val="003733FA"/>
    <w:rsid w:val="00373440"/>
    <w:rsid w:val="003735D3"/>
    <w:rsid w:val="0037369D"/>
    <w:rsid w:val="00373EF5"/>
    <w:rsid w:val="0037400F"/>
    <w:rsid w:val="0037401E"/>
    <w:rsid w:val="00374BA9"/>
    <w:rsid w:val="00374BEE"/>
    <w:rsid w:val="00374D2F"/>
    <w:rsid w:val="00375392"/>
    <w:rsid w:val="00375C9A"/>
    <w:rsid w:val="00376D2F"/>
    <w:rsid w:val="00376E7A"/>
    <w:rsid w:val="00376EF0"/>
    <w:rsid w:val="00377372"/>
    <w:rsid w:val="003777B3"/>
    <w:rsid w:val="00377C20"/>
    <w:rsid w:val="00377E0B"/>
    <w:rsid w:val="00380052"/>
    <w:rsid w:val="00380AE4"/>
    <w:rsid w:val="00380BF2"/>
    <w:rsid w:val="00380DD9"/>
    <w:rsid w:val="003810B9"/>
    <w:rsid w:val="00381195"/>
    <w:rsid w:val="0038157D"/>
    <w:rsid w:val="003815EF"/>
    <w:rsid w:val="0038196C"/>
    <w:rsid w:val="00381A2D"/>
    <w:rsid w:val="00381E90"/>
    <w:rsid w:val="00382184"/>
    <w:rsid w:val="00382409"/>
    <w:rsid w:val="00382BB3"/>
    <w:rsid w:val="00382CB5"/>
    <w:rsid w:val="00382FDE"/>
    <w:rsid w:val="003830E0"/>
    <w:rsid w:val="0038330A"/>
    <w:rsid w:val="0038332E"/>
    <w:rsid w:val="0038357F"/>
    <w:rsid w:val="0038386A"/>
    <w:rsid w:val="0038395E"/>
    <w:rsid w:val="00383D6E"/>
    <w:rsid w:val="0038444D"/>
    <w:rsid w:val="00384926"/>
    <w:rsid w:val="00384B00"/>
    <w:rsid w:val="00384CE5"/>
    <w:rsid w:val="003852B0"/>
    <w:rsid w:val="00385473"/>
    <w:rsid w:val="00385884"/>
    <w:rsid w:val="00385997"/>
    <w:rsid w:val="00385BFE"/>
    <w:rsid w:val="00385C76"/>
    <w:rsid w:val="00386076"/>
    <w:rsid w:val="003860BF"/>
    <w:rsid w:val="0038638A"/>
    <w:rsid w:val="0038651D"/>
    <w:rsid w:val="00386535"/>
    <w:rsid w:val="003865FD"/>
    <w:rsid w:val="00386695"/>
    <w:rsid w:val="00386A0F"/>
    <w:rsid w:val="00386BC7"/>
    <w:rsid w:val="00386C5D"/>
    <w:rsid w:val="00387A19"/>
    <w:rsid w:val="00387C61"/>
    <w:rsid w:val="003904DD"/>
    <w:rsid w:val="00390ABB"/>
    <w:rsid w:val="00390D83"/>
    <w:rsid w:val="00390F8E"/>
    <w:rsid w:val="003910E2"/>
    <w:rsid w:val="00391398"/>
    <w:rsid w:val="00391443"/>
    <w:rsid w:val="003915C0"/>
    <w:rsid w:val="00391B06"/>
    <w:rsid w:val="00391F52"/>
    <w:rsid w:val="0039217C"/>
    <w:rsid w:val="00392266"/>
    <w:rsid w:val="00392673"/>
    <w:rsid w:val="0039280B"/>
    <w:rsid w:val="00392ADD"/>
    <w:rsid w:val="00392E75"/>
    <w:rsid w:val="0039334C"/>
    <w:rsid w:val="00393490"/>
    <w:rsid w:val="003936D2"/>
    <w:rsid w:val="0039379D"/>
    <w:rsid w:val="003939E9"/>
    <w:rsid w:val="00393AE6"/>
    <w:rsid w:val="00394122"/>
    <w:rsid w:val="00394162"/>
    <w:rsid w:val="003941D7"/>
    <w:rsid w:val="00394733"/>
    <w:rsid w:val="00394AB1"/>
    <w:rsid w:val="00394BC4"/>
    <w:rsid w:val="00394C43"/>
    <w:rsid w:val="00394CAC"/>
    <w:rsid w:val="00394F99"/>
    <w:rsid w:val="00395685"/>
    <w:rsid w:val="00395A76"/>
    <w:rsid w:val="00395B2A"/>
    <w:rsid w:val="00395B40"/>
    <w:rsid w:val="003960E1"/>
    <w:rsid w:val="003968EF"/>
    <w:rsid w:val="003969FA"/>
    <w:rsid w:val="00397096"/>
    <w:rsid w:val="003977C7"/>
    <w:rsid w:val="00397C73"/>
    <w:rsid w:val="00397FFE"/>
    <w:rsid w:val="003A04E1"/>
    <w:rsid w:val="003A05AC"/>
    <w:rsid w:val="003A0957"/>
    <w:rsid w:val="003A0F47"/>
    <w:rsid w:val="003A1202"/>
    <w:rsid w:val="003A12E2"/>
    <w:rsid w:val="003A16FE"/>
    <w:rsid w:val="003A1D6C"/>
    <w:rsid w:val="003A281A"/>
    <w:rsid w:val="003A2CDB"/>
    <w:rsid w:val="003A32A6"/>
    <w:rsid w:val="003A35A9"/>
    <w:rsid w:val="003A3B2A"/>
    <w:rsid w:val="003A3B9F"/>
    <w:rsid w:val="003A3C0A"/>
    <w:rsid w:val="003A3D93"/>
    <w:rsid w:val="003A42F9"/>
    <w:rsid w:val="003A4391"/>
    <w:rsid w:val="003A490D"/>
    <w:rsid w:val="003A4CDD"/>
    <w:rsid w:val="003A511C"/>
    <w:rsid w:val="003A5635"/>
    <w:rsid w:val="003A56E4"/>
    <w:rsid w:val="003A5940"/>
    <w:rsid w:val="003A5AFD"/>
    <w:rsid w:val="003A6122"/>
    <w:rsid w:val="003A63F1"/>
    <w:rsid w:val="003A64A0"/>
    <w:rsid w:val="003A64E3"/>
    <w:rsid w:val="003A6BBB"/>
    <w:rsid w:val="003A7355"/>
    <w:rsid w:val="003A7AF9"/>
    <w:rsid w:val="003A7ED9"/>
    <w:rsid w:val="003A7F32"/>
    <w:rsid w:val="003B0061"/>
    <w:rsid w:val="003B00F3"/>
    <w:rsid w:val="003B0735"/>
    <w:rsid w:val="003B1D20"/>
    <w:rsid w:val="003B1D3C"/>
    <w:rsid w:val="003B2488"/>
    <w:rsid w:val="003B2837"/>
    <w:rsid w:val="003B2A4B"/>
    <w:rsid w:val="003B2D09"/>
    <w:rsid w:val="003B2F83"/>
    <w:rsid w:val="003B32A4"/>
    <w:rsid w:val="003B3CF2"/>
    <w:rsid w:val="003B4006"/>
    <w:rsid w:val="003B44F2"/>
    <w:rsid w:val="003B5086"/>
    <w:rsid w:val="003B5C37"/>
    <w:rsid w:val="003B5D84"/>
    <w:rsid w:val="003B5F17"/>
    <w:rsid w:val="003B66E6"/>
    <w:rsid w:val="003B6850"/>
    <w:rsid w:val="003B6BE4"/>
    <w:rsid w:val="003B6CBF"/>
    <w:rsid w:val="003B742D"/>
    <w:rsid w:val="003B78D6"/>
    <w:rsid w:val="003B78FD"/>
    <w:rsid w:val="003B7BD2"/>
    <w:rsid w:val="003B7D10"/>
    <w:rsid w:val="003B7F78"/>
    <w:rsid w:val="003C016C"/>
    <w:rsid w:val="003C021B"/>
    <w:rsid w:val="003C0287"/>
    <w:rsid w:val="003C05B8"/>
    <w:rsid w:val="003C08B5"/>
    <w:rsid w:val="003C09C0"/>
    <w:rsid w:val="003C09E8"/>
    <w:rsid w:val="003C0B63"/>
    <w:rsid w:val="003C0D5A"/>
    <w:rsid w:val="003C1307"/>
    <w:rsid w:val="003C1997"/>
    <w:rsid w:val="003C1F92"/>
    <w:rsid w:val="003C2166"/>
    <w:rsid w:val="003C227E"/>
    <w:rsid w:val="003C25E4"/>
    <w:rsid w:val="003C260F"/>
    <w:rsid w:val="003C329E"/>
    <w:rsid w:val="003C32F7"/>
    <w:rsid w:val="003C345C"/>
    <w:rsid w:val="003C3655"/>
    <w:rsid w:val="003C368B"/>
    <w:rsid w:val="003C3985"/>
    <w:rsid w:val="003C3D8B"/>
    <w:rsid w:val="003C3E54"/>
    <w:rsid w:val="003C400F"/>
    <w:rsid w:val="003C469C"/>
    <w:rsid w:val="003C4904"/>
    <w:rsid w:val="003C5CCF"/>
    <w:rsid w:val="003C600B"/>
    <w:rsid w:val="003C693D"/>
    <w:rsid w:val="003C69A0"/>
    <w:rsid w:val="003C714A"/>
    <w:rsid w:val="003C7446"/>
    <w:rsid w:val="003C755C"/>
    <w:rsid w:val="003C75F2"/>
    <w:rsid w:val="003C77BC"/>
    <w:rsid w:val="003C7ACB"/>
    <w:rsid w:val="003C7D8C"/>
    <w:rsid w:val="003C7FA1"/>
    <w:rsid w:val="003D0203"/>
    <w:rsid w:val="003D03F1"/>
    <w:rsid w:val="003D0868"/>
    <w:rsid w:val="003D0AA8"/>
    <w:rsid w:val="003D0D77"/>
    <w:rsid w:val="003D0EE1"/>
    <w:rsid w:val="003D0EED"/>
    <w:rsid w:val="003D11CA"/>
    <w:rsid w:val="003D1779"/>
    <w:rsid w:val="003D210D"/>
    <w:rsid w:val="003D22B4"/>
    <w:rsid w:val="003D253A"/>
    <w:rsid w:val="003D2631"/>
    <w:rsid w:val="003D2E36"/>
    <w:rsid w:val="003D3045"/>
    <w:rsid w:val="003D3361"/>
    <w:rsid w:val="003D36A5"/>
    <w:rsid w:val="003D3B35"/>
    <w:rsid w:val="003D3E1E"/>
    <w:rsid w:val="003D403B"/>
    <w:rsid w:val="003D452B"/>
    <w:rsid w:val="003D50A0"/>
    <w:rsid w:val="003D566B"/>
    <w:rsid w:val="003D5BDE"/>
    <w:rsid w:val="003D5CC3"/>
    <w:rsid w:val="003D5EA1"/>
    <w:rsid w:val="003D5EB5"/>
    <w:rsid w:val="003D65DF"/>
    <w:rsid w:val="003D65F6"/>
    <w:rsid w:val="003D6D84"/>
    <w:rsid w:val="003D6D9A"/>
    <w:rsid w:val="003D6F21"/>
    <w:rsid w:val="003D71EE"/>
    <w:rsid w:val="003D74CD"/>
    <w:rsid w:val="003D7E44"/>
    <w:rsid w:val="003E029C"/>
    <w:rsid w:val="003E04DB"/>
    <w:rsid w:val="003E074E"/>
    <w:rsid w:val="003E0787"/>
    <w:rsid w:val="003E09CD"/>
    <w:rsid w:val="003E0AEB"/>
    <w:rsid w:val="003E16AC"/>
    <w:rsid w:val="003E1A8D"/>
    <w:rsid w:val="003E1B6D"/>
    <w:rsid w:val="003E1D56"/>
    <w:rsid w:val="003E1D68"/>
    <w:rsid w:val="003E290C"/>
    <w:rsid w:val="003E2D74"/>
    <w:rsid w:val="003E33BF"/>
    <w:rsid w:val="003E3E48"/>
    <w:rsid w:val="003E438B"/>
    <w:rsid w:val="003E446C"/>
    <w:rsid w:val="003E46CE"/>
    <w:rsid w:val="003E479D"/>
    <w:rsid w:val="003E4D84"/>
    <w:rsid w:val="003E5AF6"/>
    <w:rsid w:val="003E65DE"/>
    <w:rsid w:val="003E6E31"/>
    <w:rsid w:val="003E6F05"/>
    <w:rsid w:val="003E70B3"/>
    <w:rsid w:val="003E78DB"/>
    <w:rsid w:val="003E79C4"/>
    <w:rsid w:val="003E7F3A"/>
    <w:rsid w:val="003F05C1"/>
    <w:rsid w:val="003F07DB"/>
    <w:rsid w:val="003F0B3C"/>
    <w:rsid w:val="003F0CED"/>
    <w:rsid w:val="003F0E11"/>
    <w:rsid w:val="003F1123"/>
    <w:rsid w:val="003F13FB"/>
    <w:rsid w:val="003F1489"/>
    <w:rsid w:val="003F14CB"/>
    <w:rsid w:val="003F17A5"/>
    <w:rsid w:val="003F186A"/>
    <w:rsid w:val="003F18C6"/>
    <w:rsid w:val="003F2308"/>
    <w:rsid w:val="003F249A"/>
    <w:rsid w:val="003F305D"/>
    <w:rsid w:val="003F341D"/>
    <w:rsid w:val="003F3832"/>
    <w:rsid w:val="003F3B38"/>
    <w:rsid w:val="003F3C00"/>
    <w:rsid w:val="003F4700"/>
    <w:rsid w:val="003F53CC"/>
    <w:rsid w:val="003F55BC"/>
    <w:rsid w:val="003F5917"/>
    <w:rsid w:val="003F5EBD"/>
    <w:rsid w:val="003F60EA"/>
    <w:rsid w:val="003F6392"/>
    <w:rsid w:val="003F66B0"/>
    <w:rsid w:val="003F66D7"/>
    <w:rsid w:val="003F69A4"/>
    <w:rsid w:val="003F6CF9"/>
    <w:rsid w:val="003F73BF"/>
    <w:rsid w:val="003F7618"/>
    <w:rsid w:val="003F770F"/>
    <w:rsid w:val="003F7801"/>
    <w:rsid w:val="003F782A"/>
    <w:rsid w:val="003F797B"/>
    <w:rsid w:val="003F7AD4"/>
    <w:rsid w:val="003F7FA7"/>
    <w:rsid w:val="004000BA"/>
    <w:rsid w:val="004000C7"/>
    <w:rsid w:val="0040027D"/>
    <w:rsid w:val="004006B2"/>
    <w:rsid w:val="004009A9"/>
    <w:rsid w:val="00400E05"/>
    <w:rsid w:val="00400EB7"/>
    <w:rsid w:val="00400FED"/>
    <w:rsid w:val="00401826"/>
    <w:rsid w:val="004018DE"/>
    <w:rsid w:val="00401ECA"/>
    <w:rsid w:val="00402065"/>
    <w:rsid w:val="0040222C"/>
    <w:rsid w:val="00402262"/>
    <w:rsid w:val="00402608"/>
    <w:rsid w:val="004027C5"/>
    <w:rsid w:val="00402A98"/>
    <w:rsid w:val="00403241"/>
    <w:rsid w:val="004033CF"/>
    <w:rsid w:val="00403556"/>
    <w:rsid w:val="004036A4"/>
    <w:rsid w:val="00403702"/>
    <w:rsid w:val="0040382A"/>
    <w:rsid w:val="00403AE0"/>
    <w:rsid w:val="00403B31"/>
    <w:rsid w:val="00403C10"/>
    <w:rsid w:val="00403EE0"/>
    <w:rsid w:val="00404755"/>
    <w:rsid w:val="00404E43"/>
    <w:rsid w:val="0040545A"/>
    <w:rsid w:val="0040552D"/>
    <w:rsid w:val="004056B8"/>
    <w:rsid w:val="00405D80"/>
    <w:rsid w:val="00405E2C"/>
    <w:rsid w:val="00405F3D"/>
    <w:rsid w:val="00405FCF"/>
    <w:rsid w:val="004061B3"/>
    <w:rsid w:val="00406215"/>
    <w:rsid w:val="004064A9"/>
    <w:rsid w:val="00406D89"/>
    <w:rsid w:val="00406E85"/>
    <w:rsid w:val="00406EBE"/>
    <w:rsid w:val="0040713C"/>
    <w:rsid w:val="0040715B"/>
    <w:rsid w:val="004071AE"/>
    <w:rsid w:val="00407759"/>
    <w:rsid w:val="004079E7"/>
    <w:rsid w:val="00407AE0"/>
    <w:rsid w:val="00407FE3"/>
    <w:rsid w:val="004100DA"/>
    <w:rsid w:val="00410132"/>
    <w:rsid w:val="00410211"/>
    <w:rsid w:val="004102DD"/>
    <w:rsid w:val="00410A24"/>
    <w:rsid w:val="00410D3B"/>
    <w:rsid w:val="0041119B"/>
    <w:rsid w:val="00411325"/>
    <w:rsid w:val="004114F6"/>
    <w:rsid w:val="00412583"/>
    <w:rsid w:val="0041293B"/>
    <w:rsid w:val="00412A60"/>
    <w:rsid w:val="00412B29"/>
    <w:rsid w:val="00413CEB"/>
    <w:rsid w:val="00413DFA"/>
    <w:rsid w:val="00413F6F"/>
    <w:rsid w:val="00414130"/>
    <w:rsid w:val="004141FA"/>
    <w:rsid w:val="00414232"/>
    <w:rsid w:val="0041502C"/>
    <w:rsid w:val="004157F3"/>
    <w:rsid w:val="00415907"/>
    <w:rsid w:val="00415A40"/>
    <w:rsid w:val="00415B81"/>
    <w:rsid w:val="0041628F"/>
    <w:rsid w:val="004164E9"/>
    <w:rsid w:val="004166DD"/>
    <w:rsid w:val="00416A98"/>
    <w:rsid w:val="00417FA6"/>
    <w:rsid w:val="00420471"/>
    <w:rsid w:val="00420692"/>
    <w:rsid w:val="00420BBB"/>
    <w:rsid w:val="00420D57"/>
    <w:rsid w:val="00420E64"/>
    <w:rsid w:val="0042133A"/>
    <w:rsid w:val="0042145C"/>
    <w:rsid w:val="004216C4"/>
    <w:rsid w:val="0042181B"/>
    <w:rsid w:val="00421ACD"/>
    <w:rsid w:val="00421E60"/>
    <w:rsid w:val="00422007"/>
    <w:rsid w:val="0042229B"/>
    <w:rsid w:val="0042235A"/>
    <w:rsid w:val="00422C4E"/>
    <w:rsid w:val="00422E50"/>
    <w:rsid w:val="00422E7C"/>
    <w:rsid w:val="00424446"/>
    <w:rsid w:val="00424C52"/>
    <w:rsid w:val="0042523C"/>
    <w:rsid w:val="004256A5"/>
    <w:rsid w:val="004256E7"/>
    <w:rsid w:val="004257FF"/>
    <w:rsid w:val="004258EC"/>
    <w:rsid w:val="0042607E"/>
    <w:rsid w:val="00426145"/>
    <w:rsid w:val="004261AB"/>
    <w:rsid w:val="004261F6"/>
    <w:rsid w:val="004262A8"/>
    <w:rsid w:val="00426BC9"/>
    <w:rsid w:val="00427191"/>
    <w:rsid w:val="0042738E"/>
    <w:rsid w:val="00427901"/>
    <w:rsid w:val="004279E9"/>
    <w:rsid w:val="00427CAE"/>
    <w:rsid w:val="0043027C"/>
    <w:rsid w:val="00430502"/>
    <w:rsid w:val="004307A7"/>
    <w:rsid w:val="00430AEF"/>
    <w:rsid w:val="00430F24"/>
    <w:rsid w:val="00431260"/>
    <w:rsid w:val="00431CF2"/>
    <w:rsid w:val="00431FC9"/>
    <w:rsid w:val="004320E2"/>
    <w:rsid w:val="00432437"/>
    <w:rsid w:val="0043266F"/>
    <w:rsid w:val="004326C6"/>
    <w:rsid w:val="00432D33"/>
    <w:rsid w:val="00432DA9"/>
    <w:rsid w:val="004334C4"/>
    <w:rsid w:val="004335FA"/>
    <w:rsid w:val="0043383E"/>
    <w:rsid w:val="00433BBC"/>
    <w:rsid w:val="00433E58"/>
    <w:rsid w:val="00434309"/>
    <w:rsid w:val="0043435F"/>
    <w:rsid w:val="00434B5F"/>
    <w:rsid w:val="00434DEE"/>
    <w:rsid w:val="004353FC"/>
    <w:rsid w:val="0043542D"/>
    <w:rsid w:val="00435656"/>
    <w:rsid w:val="00435687"/>
    <w:rsid w:val="00435725"/>
    <w:rsid w:val="00435CF7"/>
    <w:rsid w:val="00435FBA"/>
    <w:rsid w:val="00436303"/>
    <w:rsid w:val="004368B7"/>
    <w:rsid w:val="00436F70"/>
    <w:rsid w:val="004371A6"/>
    <w:rsid w:val="00437456"/>
    <w:rsid w:val="00437B48"/>
    <w:rsid w:val="00437F66"/>
    <w:rsid w:val="004400E7"/>
    <w:rsid w:val="004401E3"/>
    <w:rsid w:val="0044029A"/>
    <w:rsid w:val="004403E4"/>
    <w:rsid w:val="00440B3E"/>
    <w:rsid w:val="00440B8B"/>
    <w:rsid w:val="00441873"/>
    <w:rsid w:val="00441942"/>
    <w:rsid w:val="00442C05"/>
    <w:rsid w:val="00443253"/>
    <w:rsid w:val="004437B1"/>
    <w:rsid w:val="00444AE8"/>
    <w:rsid w:val="00444E21"/>
    <w:rsid w:val="0044553D"/>
    <w:rsid w:val="00445986"/>
    <w:rsid w:val="00445A33"/>
    <w:rsid w:val="00445D8A"/>
    <w:rsid w:val="0044600B"/>
    <w:rsid w:val="004465FD"/>
    <w:rsid w:val="0044665E"/>
    <w:rsid w:val="00446A2F"/>
    <w:rsid w:val="00446C8C"/>
    <w:rsid w:val="00447092"/>
    <w:rsid w:val="004470D5"/>
    <w:rsid w:val="004470FA"/>
    <w:rsid w:val="00447186"/>
    <w:rsid w:val="0045025F"/>
    <w:rsid w:val="00450447"/>
    <w:rsid w:val="004508C8"/>
    <w:rsid w:val="00450B8A"/>
    <w:rsid w:val="00450EAA"/>
    <w:rsid w:val="004513A1"/>
    <w:rsid w:val="004513A5"/>
    <w:rsid w:val="004513D6"/>
    <w:rsid w:val="00451BEC"/>
    <w:rsid w:val="00451F67"/>
    <w:rsid w:val="004524CF"/>
    <w:rsid w:val="00452554"/>
    <w:rsid w:val="004526CA"/>
    <w:rsid w:val="00452847"/>
    <w:rsid w:val="0045294A"/>
    <w:rsid w:val="00452EEE"/>
    <w:rsid w:val="0045382C"/>
    <w:rsid w:val="00453A4E"/>
    <w:rsid w:val="00453D2C"/>
    <w:rsid w:val="00454482"/>
    <w:rsid w:val="0045453C"/>
    <w:rsid w:val="00454984"/>
    <w:rsid w:val="00454E81"/>
    <w:rsid w:val="004550BE"/>
    <w:rsid w:val="00455C23"/>
    <w:rsid w:val="00455FDE"/>
    <w:rsid w:val="00456087"/>
    <w:rsid w:val="004561E1"/>
    <w:rsid w:val="0045621D"/>
    <w:rsid w:val="004564AA"/>
    <w:rsid w:val="0045660B"/>
    <w:rsid w:val="0045697C"/>
    <w:rsid w:val="00456AB7"/>
    <w:rsid w:val="00456D53"/>
    <w:rsid w:val="004571C2"/>
    <w:rsid w:val="004576C4"/>
    <w:rsid w:val="00457715"/>
    <w:rsid w:val="00457BEA"/>
    <w:rsid w:val="00460094"/>
    <w:rsid w:val="00460748"/>
    <w:rsid w:val="0046185A"/>
    <w:rsid w:val="0046269C"/>
    <w:rsid w:val="00462B14"/>
    <w:rsid w:val="004631D1"/>
    <w:rsid w:val="00463207"/>
    <w:rsid w:val="00463562"/>
    <w:rsid w:val="004635E9"/>
    <w:rsid w:val="00463B38"/>
    <w:rsid w:val="00463CC8"/>
    <w:rsid w:val="004644B5"/>
    <w:rsid w:val="00464613"/>
    <w:rsid w:val="00464C6C"/>
    <w:rsid w:val="00465589"/>
    <w:rsid w:val="004658E7"/>
    <w:rsid w:val="00465A28"/>
    <w:rsid w:val="004669FC"/>
    <w:rsid w:val="00466DE5"/>
    <w:rsid w:val="00467116"/>
    <w:rsid w:val="004674E5"/>
    <w:rsid w:val="00467A9F"/>
    <w:rsid w:val="00467E9C"/>
    <w:rsid w:val="00467EE7"/>
    <w:rsid w:val="0047049C"/>
    <w:rsid w:val="0047098F"/>
    <w:rsid w:val="00470D18"/>
    <w:rsid w:val="00470DF8"/>
    <w:rsid w:val="00471A1B"/>
    <w:rsid w:val="0047234E"/>
    <w:rsid w:val="00472464"/>
    <w:rsid w:val="00472534"/>
    <w:rsid w:val="00472789"/>
    <w:rsid w:val="00472CBB"/>
    <w:rsid w:val="004731A5"/>
    <w:rsid w:val="00473211"/>
    <w:rsid w:val="004733C7"/>
    <w:rsid w:val="0047357E"/>
    <w:rsid w:val="00473745"/>
    <w:rsid w:val="00474110"/>
    <w:rsid w:val="00474133"/>
    <w:rsid w:val="00474854"/>
    <w:rsid w:val="0047507F"/>
    <w:rsid w:val="004754A7"/>
    <w:rsid w:val="00475630"/>
    <w:rsid w:val="00475D05"/>
    <w:rsid w:val="00476001"/>
    <w:rsid w:val="004764CF"/>
    <w:rsid w:val="004766A7"/>
    <w:rsid w:val="004769FD"/>
    <w:rsid w:val="00476BEC"/>
    <w:rsid w:val="004774D7"/>
    <w:rsid w:val="004777AA"/>
    <w:rsid w:val="00477846"/>
    <w:rsid w:val="004779F2"/>
    <w:rsid w:val="00477B4C"/>
    <w:rsid w:val="00477E6E"/>
    <w:rsid w:val="0048028F"/>
    <w:rsid w:val="0048035F"/>
    <w:rsid w:val="0048045B"/>
    <w:rsid w:val="0048070E"/>
    <w:rsid w:val="004812D7"/>
    <w:rsid w:val="0048134C"/>
    <w:rsid w:val="0048139A"/>
    <w:rsid w:val="00481DF5"/>
    <w:rsid w:val="00481F75"/>
    <w:rsid w:val="0048201A"/>
    <w:rsid w:val="0048214B"/>
    <w:rsid w:val="00482866"/>
    <w:rsid w:val="004828ED"/>
    <w:rsid w:val="00482AA1"/>
    <w:rsid w:val="004834CD"/>
    <w:rsid w:val="00483610"/>
    <w:rsid w:val="00483D92"/>
    <w:rsid w:val="00483F86"/>
    <w:rsid w:val="00484061"/>
    <w:rsid w:val="00484416"/>
    <w:rsid w:val="00485256"/>
    <w:rsid w:val="00485851"/>
    <w:rsid w:val="00485EA2"/>
    <w:rsid w:val="0048601A"/>
    <w:rsid w:val="004864B7"/>
    <w:rsid w:val="00486E3C"/>
    <w:rsid w:val="004872F1"/>
    <w:rsid w:val="00487379"/>
    <w:rsid w:val="00490280"/>
    <w:rsid w:val="00490941"/>
    <w:rsid w:val="0049140A"/>
    <w:rsid w:val="00491CEC"/>
    <w:rsid w:val="00491F04"/>
    <w:rsid w:val="0049274F"/>
    <w:rsid w:val="0049298D"/>
    <w:rsid w:val="00493A5F"/>
    <w:rsid w:val="00493A78"/>
    <w:rsid w:val="00493CA8"/>
    <w:rsid w:val="00493DC6"/>
    <w:rsid w:val="00493F66"/>
    <w:rsid w:val="00493F6A"/>
    <w:rsid w:val="004946C7"/>
    <w:rsid w:val="004947C1"/>
    <w:rsid w:val="004950AF"/>
    <w:rsid w:val="004957E4"/>
    <w:rsid w:val="00495B0B"/>
    <w:rsid w:val="00495C8A"/>
    <w:rsid w:val="00495D99"/>
    <w:rsid w:val="00496099"/>
    <w:rsid w:val="00496242"/>
    <w:rsid w:val="00496914"/>
    <w:rsid w:val="00496C53"/>
    <w:rsid w:val="00496E58"/>
    <w:rsid w:val="004970DA"/>
    <w:rsid w:val="004971BC"/>
    <w:rsid w:val="004973BC"/>
    <w:rsid w:val="004976B6"/>
    <w:rsid w:val="004976CE"/>
    <w:rsid w:val="00497CF0"/>
    <w:rsid w:val="004A047C"/>
    <w:rsid w:val="004A057B"/>
    <w:rsid w:val="004A0730"/>
    <w:rsid w:val="004A08F2"/>
    <w:rsid w:val="004A11F1"/>
    <w:rsid w:val="004A19D7"/>
    <w:rsid w:val="004A1C6C"/>
    <w:rsid w:val="004A1FDF"/>
    <w:rsid w:val="004A1FF8"/>
    <w:rsid w:val="004A2275"/>
    <w:rsid w:val="004A24B8"/>
    <w:rsid w:val="004A2983"/>
    <w:rsid w:val="004A2BF4"/>
    <w:rsid w:val="004A2E94"/>
    <w:rsid w:val="004A3317"/>
    <w:rsid w:val="004A35F9"/>
    <w:rsid w:val="004A3CA5"/>
    <w:rsid w:val="004A3EB9"/>
    <w:rsid w:val="004A40A1"/>
    <w:rsid w:val="004A46D9"/>
    <w:rsid w:val="004A4706"/>
    <w:rsid w:val="004A4B5A"/>
    <w:rsid w:val="004A4BF7"/>
    <w:rsid w:val="004A4C8E"/>
    <w:rsid w:val="004A4FA5"/>
    <w:rsid w:val="004A5581"/>
    <w:rsid w:val="004A5A16"/>
    <w:rsid w:val="004A606F"/>
    <w:rsid w:val="004A64BA"/>
    <w:rsid w:val="004A65FA"/>
    <w:rsid w:val="004A666B"/>
    <w:rsid w:val="004A6AD8"/>
    <w:rsid w:val="004A6CCF"/>
    <w:rsid w:val="004A7022"/>
    <w:rsid w:val="004A7045"/>
    <w:rsid w:val="004A7299"/>
    <w:rsid w:val="004A7A6C"/>
    <w:rsid w:val="004A7A94"/>
    <w:rsid w:val="004A7F01"/>
    <w:rsid w:val="004A7F09"/>
    <w:rsid w:val="004A7F45"/>
    <w:rsid w:val="004B036B"/>
    <w:rsid w:val="004B037B"/>
    <w:rsid w:val="004B0915"/>
    <w:rsid w:val="004B09DE"/>
    <w:rsid w:val="004B0A8C"/>
    <w:rsid w:val="004B1021"/>
    <w:rsid w:val="004B129E"/>
    <w:rsid w:val="004B1A5B"/>
    <w:rsid w:val="004B1C4F"/>
    <w:rsid w:val="004B1CBF"/>
    <w:rsid w:val="004B2019"/>
    <w:rsid w:val="004B220F"/>
    <w:rsid w:val="004B24F2"/>
    <w:rsid w:val="004B25F8"/>
    <w:rsid w:val="004B2677"/>
    <w:rsid w:val="004B281D"/>
    <w:rsid w:val="004B2827"/>
    <w:rsid w:val="004B2A24"/>
    <w:rsid w:val="004B38B1"/>
    <w:rsid w:val="004B432D"/>
    <w:rsid w:val="004B43C0"/>
    <w:rsid w:val="004B4B14"/>
    <w:rsid w:val="004B52B9"/>
    <w:rsid w:val="004B5458"/>
    <w:rsid w:val="004B57D8"/>
    <w:rsid w:val="004B5F68"/>
    <w:rsid w:val="004B6118"/>
    <w:rsid w:val="004B6159"/>
    <w:rsid w:val="004B617C"/>
    <w:rsid w:val="004B65B2"/>
    <w:rsid w:val="004B6FA7"/>
    <w:rsid w:val="004B780A"/>
    <w:rsid w:val="004B780B"/>
    <w:rsid w:val="004B7BD5"/>
    <w:rsid w:val="004B7E3E"/>
    <w:rsid w:val="004C00C7"/>
    <w:rsid w:val="004C01D7"/>
    <w:rsid w:val="004C084A"/>
    <w:rsid w:val="004C0A84"/>
    <w:rsid w:val="004C0C7A"/>
    <w:rsid w:val="004C0C87"/>
    <w:rsid w:val="004C12F2"/>
    <w:rsid w:val="004C13B5"/>
    <w:rsid w:val="004C18C5"/>
    <w:rsid w:val="004C194D"/>
    <w:rsid w:val="004C1AA2"/>
    <w:rsid w:val="004C1B66"/>
    <w:rsid w:val="004C1CCF"/>
    <w:rsid w:val="004C211C"/>
    <w:rsid w:val="004C2229"/>
    <w:rsid w:val="004C2563"/>
    <w:rsid w:val="004C3271"/>
    <w:rsid w:val="004C3582"/>
    <w:rsid w:val="004C35A0"/>
    <w:rsid w:val="004C38F3"/>
    <w:rsid w:val="004C4038"/>
    <w:rsid w:val="004C403B"/>
    <w:rsid w:val="004C40B2"/>
    <w:rsid w:val="004C4293"/>
    <w:rsid w:val="004C4CBB"/>
    <w:rsid w:val="004C55EA"/>
    <w:rsid w:val="004C562F"/>
    <w:rsid w:val="004C6121"/>
    <w:rsid w:val="004C6448"/>
    <w:rsid w:val="004C747F"/>
    <w:rsid w:val="004C75C4"/>
    <w:rsid w:val="004C773E"/>
    <w:rsid w:val="004C7C5F"/>
    <w:rsid w:val="004C7DE4"/>
    <w:rsid w:val="004D00A0"/>
    <w:rsid w:val="004D0284"/>
    <w:rsid w:val="004D0504"/>
    <w:rsid w:val="004D0551"/>
    <w:rsid w:val="004D057B"/>
    <w:rsid w:val="004D064A"/>
    <w:rsid w:val="004D068E"/>
    <w:rsid w:val="004D0797"/>
    <w:rsid w:val="004D0A69"/>
    <w:rsid w:val="004D0C4B"/>
    <w:rsid w:val="004D12D2"/>
    <w:rsid w:val="004D1640"/>
    <w:rsid w:val="004D2136"/>
    <w:rsid w:val="004D2391"/>
    <w:rsid w:val="004D252B"/>
    <w:rsid w:val="004D2727"/>
    <w:rsid w:val="004D28DD"/>
    <w:rsid w:val="004D2A56"/>
    <w:rsid w:val="004D2C76"/>
    <w:rsid w:val="004D38E7"/>
    <w:rsid w:val="004D3A16"/>
    <w:rsid w:val="004D4871"/>
    <w:rsid w:val="004D5AD7"/>
    <w:rsid w:val="004D5B57"/>
    <w:rsid w:val="004D5D11"/>
    <w:rsid w:val="004D61CC"/>
    <w:rsid w:val="004D62F4"/>
    <w:rsid w:val="004D7277"/>
    <w:rsid w:val="004D74E9"/>
    <w:rsid w:val="004D7A69"/>
    <w:rsid w:val="004D7C26"/>
    <w:rsid w:val="004D7F2C"/>
    <w:rsid w:val="004D7FCF"/>
    <w:rsid w:val="004E0102"/>
    <w:rsid w:val="004E05A3"/>
    <w:rsid w:val="004E05A9"/>
    <w:rsid w:val="004E0B87"/>
    <w:rsid w:val="004E12C1"/>
    <w:rsid w:val="004E1723"/>
    <w:rsid w:val="004E244E"/>
    <w:rsid w:val="004E34D6"/>
    <w:rsid w:val="004E3706"/>
    <w:rsid w:val="004E416B"/>
    <w:rsid w:val="004E4640"/>
    <w:rsid w:val="004E47D3"/>
    <w:rsid w:val="004E5395"/>
    <w:rsid w:val="004E55A6"/>
    <w:rsid w:val="004E55DC"/>
    <w:rsid w:val="004E60DC"/>
    <w:rsid w:val="004E60FE"/>
    <w:rsid w:val="004E651D"/>
    <w:rsid w:val="004E659B"/>
    <w:rsid w:val="004E6805"/>
    <w:rsid w:val="004E696D"/>
    <w:rsid w:val="004E7062"/>
    <w:rsid w:val="004E70A1"/>
    <w:rsid w:val="004E7616"/>
    <w:rsid w:val="004E7C38"/>
    <w:rsid w:val="004F0247"/>
    <w:rsid w:val="004F0B05"/>
    <w:rsid w:val="004F0F75"/>
    <w:rsid w:val="004F1245"/>
    <w:rsid w:val="004F14C2"/>
    <w:rsid w:val="004F1619"/>
    <w:rsid w:val="004F18B9"/>
    <w:rsid w:val="004F1F2E"/>
    <w:rsid w:val="004F230E"/>
    <w:rsid w:val="004F2587"/>
    <w:rsid w:val="004F2771"/>
    <w:rsid w:val="004F2D4A"/>
    <w:rsid w:val="004F2FBF"/>
    <w:rsid w:val="004F30FA"/>
    <w:rsid w:val="004F3B7D"/>
    <w:rsid w:val="004F3D37"/>
    <w:rsid w:val="004F445B"/>
    <w:rsid w:val="004F4704"/>
    <w:rsid w:val="004F4806"/>
    <w:rsid w:val="004F4851"/>
    <w:rsid w:val="004F4994"/>
    <w:rsid w:val="004F51AC"/>
    <w:rsid w:val="004F51AE"/>
    <w:rsid w:val="004F5534"/>
    <w:rsid w:val="004F6108"/>
    <w:rsid w:val="004F653B"/>
    <w:rsid w:val="004F6D17"/>
    <w:rsid w:val="004F7604"/>
    <w:rsid w:val="004F7FB9"/>
    <w:rsid w:val="00500015"/>
    <w:rsid w:val="00500051"/>
    <w:rsid w:val="00500424"/>
    <w:rsid w:val="00500472"/>
    <w:rsid w:val="00500B00"/>
    <w:rsid w:val="005016C8"/>
    <w:rsid w:val="0050173E"/>
    <w:rsid w:val="00501DC5"/>
    <w:rsid w:val="005025EA"/>
    <w:rsid w:val="00502C8A"/>
    <w:rsid w:val="00502F56"/>
    <w:rsid w:val="00503830"/>
    <w:rsid w:val="00503CE1"/>
    <w:rsid w:val="00503E23"/>
    <w:rsid w:val="00504911"/>
    <w:rsid w:val="005049F8"/>
    <w:rsid w:val="00504A8F"/>
    <w:rsid w:val="00504DCF"/>
    <w:rsid w:val="00505176"/>
    <w:rsid w:val="0050559B"/>
    <w:rsid w:val="0050566E"/>
    <w:rsid w:val="00505717"/>
    <w:rsid w:val="00505A00"/>
    <w:rsid w:val="00505F46"/>
    <w:rsid w:val="0050608A"/>
    <w:rsid w:val="00506D25"/>
    <w:rsid w:val="00506E82"/>
    <w:rsid w:val="00507289"/>
    <w:rsid w:val="005075DA"/>
    <w:rsid w:val="00507B1C"/>
    <w:rsid w:val="00510060"/>
    <w:rsid w:val="00510598"/>
    <w:rsid w:val="00510781"/>
    <w:rsid w:val="005109D7"/>
    <w:rsid w:val="005109FE"/>
    <w:rsid w:val="00510F4A"/>
    <w:rsid w:val="005114F9"/>
    <w:rsid w:val="005118F0"/>
    <w:rsid w:val="0051214D"/>
    <w:rsid w:val="00513283"/>
    <w:rsid w:val="005141BB"/>
    <w:rsid w:val="00514293"/>
    <w:rsid w:val="0051433D"/>
    <w:rsid w:val="0051477C"/>
    <w:rsid w:val="00514AA9"/>
    <w:rsid w:val="0051514D"/>
    <w:rsid w:val="005157F7"/>
    <w:rsid w:val="005159FA"/>
    <w:rsid w:val="00515B17"/>
    <w:rsid w:val="00515F3F"/>
    <w:rsid w:val="00516695"/>
    <w:rsid w:val="00516BC5"/>
    <w:rsid w:val="005172E5"/>
    <w:rsid w:val="005175B4"/>
    <w:rsid w:val="005175C3"/>
    <w:rsid w:val="00517AD8"/>
    <w:rsid w:val="00517DF0"/>
    <w:rsid w:val="00517FEC"/>
    <w:rsid w:val="005200EB"/>
    <w:rsid w:val="00520378"/>
    <w:rsid w:val="00520566"/>
    <w:rsid w:val="00520599"/>
    <w:rsid w:val="005205C7"/>
    <w:rsid w:val="005209F4"/>
    <w:rsid w:val="00520FAF"/>
    <w:rsid w:val="005211FB"/>
    <w:rsid w:val="0052123C"/>
    <w:rsid w:val="0052156B"/>
    <w:rsid w:val="00521591"/>
    <w:rsid w:val="0052163E"/>
    <w:rsid w:val="005222D7"/>
    <w:rsid w:val="00522643"/>
    <w:rsid w:val="005236A5"/>
    <w:rsid w:val="0052371B"/>
    <w:rsid w:val="00523AB3"/>
    <w:rsid w:val="00523B85"/>
    <w:rsid w:val="00523E77"/>
    <w:rsid w:val="005251AD"/>
    <w:rsid w:val="005251B4"/>
    <w:rsid w:val="005253EF"/>
    <w:rsid w:val="00525965"/>
    <w:rsid w:val="005259A7"/>
    <w:rsid w:val="00525C5C"/>
    <w:rsid w:val="00525D1B"/>
    <w:rsid w:val="00525D92"/>
    <w:rsid w:val="00525DDE"/>
    <w:rsid w:val="00525EFC"/>
    <w:rsid w:val="00526684"/>
    <w:rsid w:val="00526774"/>
    <w:rsid w:val="005277C4"/>
    <w:rsid w:val="0052793B"/>
    <w:rsid w:val="00527A2A"/>
    <w:rsid w:val="00527CD6"/>
    <w:rsid w:val="00527FD0"/>
    <w:rsid w:val="00530346"/>
    <w:rsid w:val="005304E7"/>
    <w:rsid w:val="0053086A"/>
    <w:rsid w:val="00530A5F"/>
    <w:rsid w:val="0053136D"/>
    <w:rsid w:val="005315D0"/>
    <w:rsid w:val="00531A3B"/>
    <w:rsid w:val="00531CA9"/>
    <w:rsid w:val="00531E3A"/>
    <w:rsid w:val="00531E95"/>
    <w:rsid w:val="00531EB4"/>
    <w:rsid w:val="00531EEE"/>
    <w:rsid w:val="005323EF"/>
    <w:rsid w:val="005327FA"/>
    <w:rsid w:val="00532818"/>
    <w:rsid w:val="005329E4"/>
    <w:rsid w:val="00532CF6"/>
    <w:rsid w:val="00533201"/>
    <w:rsid w:val="00534305"/>
    <w:rsid w:val="00534ADE"/>
    <w:rsid w:val="00534EDF"/>
    <w:rsid w:val="00535178"/>
    <w:rsid w:val="005353F5"/>
    <w:rsid w:val="00535430"/>
    <w:rsid w:val="00535495"/>
    <w:rsid w:val="00535533"/>
    <w:rsid w:val="00535600"/>
    <w:rsid w:val="00535989"/>
    <w:rsid w:val="00535A9F"/>
    <w:rsid w:val="00535FB6"/>
    <w:rsid w:val="00536263"/>
    <w:rsid w:val="00536720"/>
    <w:rsid w:val="00537153"/>
    <w:rsid w:val="00537E71"/>
    <w:rsid w:val="00537F23"/>
    <w:rsid w:val="00537FF9"/>
    <w:rsid w:val="00540001"/>
    <w:rsid w:val="005400A0"/>
    <w:rsid w:val="00540348"/>
    <w:rsid w:val="0054183F"/>
    <w:rsid w:val="00541901"/>
    <w:rsid w:val="00541EC2"/>
    <w:rsid w:val="005421B6"/>
    <w:rsid w:val="0054270D"/>
    <w:rsid w:val="005427A0"/>
    <w:rsid w:val="00542AEA"/>
    <w:rsid w:val="00542B1E"/>
    <w:rsid w:val="00542B32"/>
    <w:rsid w:val="00542F36"/>
    <w:rsid w:val="00543A27"/>
    <w:rsid w:val="00543BE9"/>
    <w:rsid w:val="00543EB6"/>
    <w:rsid w:val="00543F1E"/>
    <w:rsid w:val="00543FF6"/>
    <w:rsid w:val="005443E2"/>
    <w:rsid w:val="005448E1"/>
    <w:rsid w:val="00544D03"/>
    <w:rsid w:val="00544DDB"/>
    <w:rsid w:val="00545305"/>
    <w:rsid w:val="005453FB"/>
    <w:rsid w:val="005457A9"/>
    <w:rsid w:val="00545A64"/>
    <w:rsid w:val="00545CE0"/>
    <w:rsid w:val="00546260"/>
    <w:rsid w:val="0054637E"/>
    <w:rsid w:val="00546779"/>
    <w:rsid w:val="005467EE"/>
    <w:rsid w:val="005468BA"/>
    <w:rsid w:val="005469F2"/>
    <w:rsid w:val="00546A0D"/>
    <w:rsid w:val="00546D1F"/>
    <w:rsid w:val="00546D90"/>
    <w:rsid w:val="0054715F"/>
    <w:rsid w:val="00547387"/>
    <w:rsid w:val="00547849"/>
    <w:rsid w:val="00547AF4"/>
    <w:rsid w:val="00550249"/>
    <w:rsid w:val="00550301"/>
    <w:rsid w:val="0055050E"/>
    <w:rsid w:val="005506B5"/>
    <w:rsid w:val="005506F5"/>
    <w:rsid w:val="00550A16"/>
    <w:rsid w:val="005512EC"/>
    <w:rsid w:val="005516CA"/>
    <w:rsid w:val="005517E5"/>
    <w:rsid w:val="00551A85"/>
    <w:rsid w:val="00551B16"/>
    <w:rsid w:val="00551E5F"/>
    <w:rsid w:val="005526C4"/>
    <w:rsid w:val="00552872"/>
    <w:rsid w:val="00552EB5"/>
    <w:rsid w:val="005531D3"/>
    <w:rsid w:val="00553371"/>
    <w:rsid w:val="005533DD"/>
    <w:rsid w:val="005534A5"/>
    <w:rsid w:val="005539DA"/>
    <w:rsid w:val="00553C88"/>
    <w:rsid w:val="00553F87"/>
    <w:rsid w:val="00553FC8"/>
    <w:rsid w:val="00554E10"/>
    <w:rsid w:val="00554FF6"/>
    <w:rsid w:val="00556A13"/>
    <w:rsid w:val="00557253"/>
    <w:rsid w:val="00557482"/>
    <w:rsid w:val="0056034D"/>
    <w:rsid w:val="005607CC"/>
    <w:rsid w:val="005608C3"/>
    <w:rsid w:val="005613E6"/>
    <w:rsid w:val="005614D2"/>
    <w:rsid w:val="00561DB2"/>
    <w:rsid w:val="00562496"/>
    <w:rsid w:val="005625C3"/>
    <w:rsid w:val="00562EDB"/>
    <w:rsid w:val="00562FA2"/>
    <w:rsid w:val="005630E7"/>
    <w:rsid w:val="00563126"/>
    <w:rsid w:val="0056361D"/>
    <w:rsid w:val="00563961"/>
    <w:rsid w:val="00563FF5"/>
    <w:rsid w:val="005640BE"/>
    <w:rsid w:val="00564476"/>
    <w:rsid w:val="00564640"/>
    <w:rsid w:val="00564815"/>
    <w:rsid w:val="005649F9"/>
    <w:rsid w:val="00564A7A"/>
    <w:rsid w:val="00564A85"/>
    <w:rsid w:val="00564E30"/>
    <w:rsid w:val="00564E8A"/>
    <w:rsid w:val="005650DD"/>
    <w:rsid w:val="00565152"/>
    <w:rsid w:val="005654E9"/>
    <w:rsid w:val="00565B5E"/>
    <w:rsid w:val="00565E71"/>
    <w:rsid w:val="00565FD3"/>
    <w:rsid w:val="0056696D"/>
    <w:rsid w:val="00566F09"/>
    <w:rsid w:val="005670B6"/>
    <w:rsid w:val="0056792F"/>
    <w:rsid w:val="00567F25"/>
    <w:rsid w:val="00570C12"/>
    <w:rsid w:val="00570D30"/>
    <w:rsid w:val="0057157A"/>
    <w:rsid w:val="0057166B"/>
    <w:rsid w:val="00571CED"/>
    <w:rsid w:val="00571DB9"/>
    <w:rsid w:val="00571DE4"/>
    <w:rsid w:val="00572268"/>
    <w:rsid w:val="00573309"/>
    <w:rsid w:val="00573483"/>
    <w:rsid w:val="005740DE"/>
    <w:rsid w:val="00574D85"/>
    <w:rsid w:val="0057509E"/>
    <w:rsid w:val="0057519B"/>
    <w:rsid w:val="00575F2D"/>
    <w:rsid w:val="00576052"/>
    <w:rsid w:val="005764A7"/>
    <w:rsid w:val="005767C3"/>
    <w:rsid w:val="00576999"/>
    <w:rsid w:val="00576C01"/>
    <w:rsid w:val="00576C58"/>
    <w:rsid w:val="00576C99"/>
    <w:rsid w:val="00577379"/>
    <w:rsid w:val="005774C9"/>
    <w:rsid w:val="0057775E"/>
    <w:rsid w:val="005801A0"/>
    <w:rsid w:val="00580D27"/>
    <w:rsid w:val="00580E9F"/>
    <w:rsid w:val="0058110A"/>
    <w:rsid w:val="005813A6"/>
    <w:rsid w:val="005815B7"/>
    <w:rsid w:val="005815B8"/>
    <w:rsid w:val="00581891"/>
    <w:rsid w:val="005823D5"/>
    <w:rsid w:val="00582404"/>
    <w:rsid w:val="005824B3"/>
    <w:rsid w:val="00582D39"/>
    <w:rsid w:val="00582FDD"/>
    <w:rsid w:val="00583CC5"/>
    <w:rsid w:val="00583DC1"/>
    <w:rsid w:val="00584C91"/>
    <w:rsid w:val="005852A3"/>
    <w:rsid w:val="00585632"/>
    <w:rsid w:val="005856EF"/>
    <w:rsid w:val="00585AF1"/>
    <w:rsid w:val="00585B42"/>
    <w:rsid w:val="00585D13"/>
    <w:rsid w:val="00585DAB"/>
    <w:rsid w:val="00585E3E"/>
    <w:rsid w:val="00585FAE"/>
    <w:rsid w:val="005864C2"/>
    <w:rsid w:val="00586718"/>
    <w:rsid w:val="005868BF"/>
    <w:rsid w:val="00586BB0"/>
    <w:rsid w:val="00587201"/>
    <w:rsid w:val="00587265"/>
    <w:rsid w:val="00587396"/>
    <w:rsid w:val="00587FE2"/>
    <w:rsid w:val="0059033B"/>
    <w:rsid w:val="005903A6"/>
    <w:rsid w:val="005909C5"/>
    <w:rsid w:val="00590B95"/>
    <w:rsid w:val="00590C8A"/>
    <w:rsid w:val="00590D0D"/>
    <w:rsid w:val="005914F4"/>
    <w:rsid w:val="0059186B"/>
    <w:rsid w:val="00591D9B"/>
    <w:rsid w:val="005923A1"/>
    <w:rsid w:val="005931F2"/>
    <w:rsid w:val="005932F7"/>
    <w:rsid w:val="00593387"/>
    <w:rsid w:val="00593DD2"/>
    <w:rsid w:val="0059447E"/>
    <w:rsid w:val="0059452D"/>
    <w:rsid w:val="00594668"/>
    <w:rsid w:val="00594866"/>
    <w:rsid w:val="00594879"/>
    <w:rsid w:val="005949C2"/>
    <w:rsid w:val="00594C1B"/>
    <w:rsid w:val="00594C23"/>
    <w:rsid w:val="00594D00"/>
    <w:rsid w:val="00594F6A"/>
    <w:rsid w:val="00594F84"/>
    <w:rsid w:val="00595395"/>
    <w:rsid w:val="00595642"/>
    <w:rsid w:val="005956B4"/>
    <w:rsid w:val="0059576B"/>
    <w:rsid w:val="00595895"/>
    <w:rsid w:val="00595B8A"/>
    <w:rsid w:val="00595E21"/>
    <w:rsid w:val="00596168"/>
    <w:rsid w:val="00596256"/>
    <w:rsid w:val="0059635E"/>
    <w:rsid w:val="005965EA"/>
    <w:rsid w:val="005969A6"/>
    <w:rsid w:val="00596DB0"/>
    <w:rsid w:val="005970F6"/>
    <w:rsid w:val="0059717A"/>
    <w:rsid w:val="0059720F"/>
    <w:rsid w:val="005977A6"/>
    <w:rsid w:val="00597959"/>
    <w:rsid w:val="00597993"/>
    <w:rsid w:val="00597998"/>
    <w:rsid w:val="00597F55"/>
    <w:rsid w:val="005A0025"/>
    <w:rsid w:val="005A02F9"/>
    <w:rsid w:val="005A03EB"/>
    <w:rsid w:val="005A0509"/>
    <w:rsid w:val="005A0524"/>
    <w:rsid w:val="005A0C77"/>
    <w:rsid w:val="005A161D"/>
    <w:rsid w:val="005A1DB2"/>
    <w:rsid w:val="005A1EA5"/>
    <w:rsid w:val="005A1F6A"/>
    <w:rsid w:val="005A22A8"/>
    <w:rsid w:val="005A2371"/>
    <w:rsid w:val="005A2AA0"/>
    <w:rsid w:val="005A2D03"/>
    <w:rsid w:val="005A3179"/>
    <w:rsid w:val="005A37B2"/>
    <w:rsid w:val="005A40A0"/>
    <w:rsid w:val="005A425C"/>
    <w:rsid w:val="005A435E"/>
    <w:rsid w:val="005A477D"/>
    <w:rsid w:val="005A49BA"/>
    <w:rsid w:val="005A4ACF"/>
    <w:rsid w:val="005A4D21"/>
    <w:rsid w:val="005A527E"/>
    <w:rsid w:val="005A5326"/>
    <w:rsid w:val="005A68DF"/>
    <w:rsid w:val="005A6AAC"/>
    <w:rsid w:val="005A6FB7"/>
    <w:rsid w:val="005A72B1"/>
    <w:rsid w:val="005A734D"/>
    <w:rsid w:val="005A7489"/>
    <w:rsid w:val="005A78BC"/>
    <w:rsid w:val="005A7B69"/>
    <w:rsid w:val="005B0398"/>
    <w:rsid w:val="005B08BC"/>
    <w:rsid w:val="005B0A69"/>
    <w:rsid w:val="005B12FB"/>
    <w:rsid w:val="005B19E9"/>
    <w:rsid w:val="005B1C38"/>
    <w:rsid w:val="005B2219"/>
    <w:rsid w:val="005B24E1"/>
    <w:rsid w:val="005B27B9"/>
    <w:rsid w:val="005B2BB7"/>
    <w:rsid w:val="005B2C30"/>
    <w:rsid w:val="005B2EE4"/>
    <w:rsid w:val="005B37C3"/>
    <w:rsid w:val="005B3B6E"/>
    <w:rsid w:val="005B3C0F"/>
    <w:rsid w:val="005B3D5F"/>
    <w:rsid w:val="005B3DEE"/>
    <w:rsid w:val="005B3FBB"/>
    <w:rsid w:val="005B41F1"/>
    <w:rsid w:val="005B4279"/>
    <w:rsid w:val="005B46A2"/>
    <w:rsid w:val="005B46C3"/>
    <w:rsid w:val="005B4ED2"/>
    <w:rsid w:val="005B53B4"/>
    <w:rsid w:val="005B567A"/>
    <w:rsid w:val="005B585D"/>
    <w:rsid w:val="005B5AAD"/>
    <w:rsid w:val="005B5E49"/>
    <w:rsid w:val="005B5E5A"/>
    <w:rsid w:val="005B6699"/>
    <w:rsid w:val="005B6853"/>
    <w:rsid w:val="005B6AC3"/>
    <w:rsid w:val="005B6F15"/>
    <w:rsid w:val="005B6FD5"/>
    <w:rsid w:val="005B717B"/>
    <w:rsid w:val="005B71BE"/>
    <w:rsid w:val="005B7580"/>
    <w:rsid w:val="005B7DB2"/>
    <w:rsid w:val="005C0035"/>
    <w:rsid w:val="005C00D1"/>
    <w:rsid w:val="005C0953"/>
    <w:rsid w:val="005C1279"/>
    <w:rsid w:val="005C131A"/>
    <w:rsid w:val="005C15AA"/>
    <w:rsid w:val="005C1873"/>
    <w:rsid w:val="005C192D"/>
    <w:rsid w:val="005C1964"/>
    <w:rsid w:val="005C26D3"/>
    <w:rsid w:val="005C2E29"/>
    <w:rsid w:val="005C2ED8"/>
    <w:rsid w:val="005C3294"/>
    <w:rsid w:val="005C33EB"/>
    <w:rsid w:val="005C35F9"/>
    <w:rsid w:val="005C3BC6"/>
    <w:rsid w:val="005C4421"/>
    <w:rsid w:val="005C4C8B"/>
    <w:rsid w:val="005C4F96"/>
    <w:rsid w:val="005C5395"/>
    <w:rsid w:val="005C53FD"/>
    <w:rsid w:val="005C5446"/>
    <w:rsid w:val="005C55F0"/>
    <w:rsid w:val="005C5774"/>
    <w:rsid w:val="005C5A5D"/>
    <w:rsid w:val="005C5AE3"/>
    <w:rsid w:val="005C6469"/>
    <w:rsid w:val="005C651F"/>
    <w:rsid w:val="005C65C1"/>
    <w:rsid w:val="005C6975"/>
    <w:rsid w:val="005C7163"/>
    <w:rsid w:val="005C7492"/>
    <w:rsid w:val="005C7822"/>
    <w:rsid w:val="005D0ABD"/>
    <w:rsid w:val="005D0E66"/>
    <w:rsid w:val="005D139B"/>
    <w:rsid w:val="005D1983"/>
    <w:rsid w:val="005D1EDE"/>
    <w:rsid w:val="005D24D2"/>
    <w:rsid w:val="005D25D8"/>
    <w:rsid w:val="005D26EB"/>
    <w:rsid w:val="005D2788"/>
    <w:rsid w:val="005D2AFB"/>
    <w:rsid w:val="005D3405"/>
    <w:rsid w:val="005D34F0"/>
    <w:rsid w:val="005D42FF"/>
    <w:rsid w:val="005D44F1"/>
    <w:rsid w:val="005D4C15"/>
    <w:rsid w:val="005D4DE3"/>
    <w:rsid w:val="005D5150"/>
    <w:rsid w:val="005D5468"/>
    <w:rsid w:val="005D5591"/>
    <w:rsid w:val="005D55C6"/>
    <w:rsid w:val="005D5702"/>
    <w:rsid w:val="005D5DD6"/>
    <w:rsid w:val="005D6064"/>
    <w:rsid w:val="005D62E2"/>
    <w:rsid w:val="005D6624"/>
    <w:rsid w:val="005D6817"/>
    <w:rsid w:val="005D6877"/>
    <w:rsid w:val="005D69E5"/>
    <w:rsid w:val="005D6B10"/>
    <w:rsid w:val="005D6E39"/>
    <w:rsid w:val="005D7520"/>
    <w:rsid w:val="005D7B57"/>
    <w:rsid w:val="005D7B87"/>
    <w:rsid w:val="005D7F5C"/>
    <w:rsid w:val="005E0381"/>
    <w:rsid w:val="005E05CE"/>
    <w:rsid w:val="005E0942"/>
    <w:rsid w:val="005E09A5"/>
    <w:rsid w:val="005E0E85"/>
    <w:rsid w:val="005E1433"/>
    <w:rsid w:val="005E14D4"/>
    <w:rsid w:val="005E16AA"/>
    <w:rsid w:val="005E193A"/>
    <w:rsid w:val="005E1D39"/>
    <w:rsid w:val="005E1E18"/>
    <w:rsid w:val="005E20A2"/>
    <w:rsid w:val="005E2789"/>
    <w:rsid w:val="005E2AF5"/>
    <w:rsid w:val="005E2D18"/>
    <w:rsid w:val="005E309B"/>
    <w:rsid w:val="005E33DB"/>
    <w:rsid w:val="005E34FC"/>
    <w:rsid w:val="005E3C95"/>
    <w:rsid w:val="005E3E88"/>
    <w:rsid w:val="005E4158"/>
    <w:rsid w:val="005E5A66"/>
    <w:rsid w:val="005E5CC0"/>
    <w:rsid w:val="005E6E6B"/>
    <w:rsid w:val="005E7422"/>
    <w:rsid w:val="005E75AA"/>
    <w:rsid w:val="005F0123"/>
    <w:rsid w:val="005F086B"/>
    <w:rsid w:val="005F090A"/>
    <w:rsid w:val="005F12C1"/>
    <w:rsid w:val="005F17F0"/>
    <w:rsid w:val="005F2AD9"/>
    <w:rsid w:val="005F2E79"/>
    <w:rsid w:val="005F2EE4"/>
    <w:rsid w:val="005F310A"/>
    <w:rsid w:val="005F3235"/>
    <w:rsid w:val="005F3407"/>
    <w:rsid w:val="005F3667"/>
    <w:rsid w:val="005F3A06"/>
    <w:rsid w:val="005F3B95"/>
    <w:rsid w:val="005F402C"/>
    <w:rsid w:val="005F4274"/>
    <w:rsid w:val="005F485F"/>
    <w:rsid w:val="005F49A3"/>
    <w:rsid w:val="005F592E"/>
    <w:rsid w:val="005F598F"/>
    <w:rsid w:val="005F61CE"/>
    <w:rsid w:val="005F6CEF"/>
    <w:rsid w:val="005F78A8"/>
    <w:rsid w:val="005F7BAC"/>
    <w:rsid w:val="005F7FA8"/>
    <w:rsid w:val="006008EA"/>
    <w:rsid w:val="00600ADF"/>
    <w:rsid w:val="00600BCE"/>
    <w:rsid w:val="00601010"/>
    <w:rsid w:val="00601222"/>
    <w:rsid w:val="006019C6"/>
    <w:rsid w:val="00601E85"/>
    <w:rsid w:val="00602693"/>
    <w:rsid w:val="00603279"/>
    <w:rsid w:val="006038CE"/>
    <w:rsid w:val="00603F92"/>
    <w:rsid w:val="00603FD4"/>
    <w:rsid w:val="006040EE"/>
    <w:rsid w:val="00604938"/>
    <w:rsid w:val="00604AF3"/>
    <w:rsid w:val="00604BBF"/>
    <w:rsid w:val="00604CB5"/>
    <w:rsid w:val="00604EC4"/>
    <w:rsid w:val="00604FDE"/>
    <w:rsid w:val="00605C73"/>
    <w:rsid w:val="00605E39"/>
    <w:rsid w:val="00605E42"/>
    <w:rsid w:val="00606943"/>
    <w:rsid w:val="00606964"/>
    <w:rsid w:val="00606A2B"/>
    <w:rsid w:val="00606B85"/>
    <w:rsid w:val="00606C45"/>
    <w:rsid w:val="00607071"/>
    <w:rsid w:val="006071FB"/>
    <w:rsid w:val="00607377"/>
    <w:rsid w:val="00607570"/>
    <w:rsid w:val="006078F5"/>
    <w:rsid w:val="0060799D"/>
    <w:rsid w:val="00607AD6"/>
    <w:rsid w:val="00610271"/>
    <w:rsid w:val="00610350"/>
    <w:rsid w:val="00610BAC"/>
    <w:rsid w:val="00610CD8"/>
    <w:rsid w:val="006110E4"/>
    <w:rsid w:val="00611400"/>
    <w:rsid w:val="00611426"/>
    <w:rsid w:val="0061152C"/>
    <w:rsid w:val="00611611"/>
    <w:rsid w:val="00611854"/>
    <w:rsid w:val="00611926"/>
    <w:rsid w:val="00612B98"/>
    <w:rsid w:val="00613256"/>
    <w:rsid w:val="0061370F"/>
    <w:rsid w:val="006139BE"/>
    <w:rsid w:val="00613AB2"/>
    <w:rsid w:val="0061494A"/>
    <w:rsid w:val="00615352"/>
    <w:rsid w:val="0061535E"/>
    <w:rsid w:val="00615A3A"/>
    <w:rsid w:val="00616258"/>
    <w:rsid w:val="006162B6"/>
    <w:rsid w:val="0061651B"/>
    <w:rsid w:val="006166AD"/>
    <w:rsid w:val="00616876"/>
    <w:rsid w:val="00616D2E"/>
    <w:rsid w:val="0061722C"/>
    <w:rsid w:val="00617DB2"/>
    <w:rsid w:val="00620565"/>
    <w:rsid w:val="0062058D"/>
    <w:rsid w:val="00621103"/>
    <w:rsid w:val="00621156"/>
    <w:rsid w:val="006213B6"/>
    <w:rsid w:val="00621463"/>
    <w:rsid w:val="00621D2F"/>
    <w:rsid w:val="00621FD8"/>
    <w:rsid w:val="006220A6"/>
    <w:rsid w:val="00622143"/>
    <w:rsid w:val="006222C1"/>
    <w:rsid w:val="00622489"/>
    <w:rsid w:val="00622E90"/>
    <w:rsid w:val="006230A1"/>
    <w:rsid w:val="00623B87"/>
    <w:rsid w:val="00623E2A"/>
    <w:rsid w:val="00624B06"/>
    <w:rsid w:val="00625885"/>
    <w:rsid w:val="0062591A"/>
    <w:rsid w:val="00625B43"/>
    <w:rsid w:val="00625C20"/>
    <w:rsid w:val="0062612C"/>
    <w:rsid w:val="00626830"/>
    <w:rsid w:val="00626A40"/>
    <w:rsid w:val="00626AC9"/>
    <w:rsid w:val="00626F48"/>
    <w:rsid w:val="00627980"/>
    <w:rsid w:val="00627C21"/>
    <w:rsid w:val="00630452"/>
    <w:rsid w:val="00630628"/>
    <w:rsid w:val="00630BD4"/>
    <w:rsid w:val="0063140B"/>
    <w:rsid w:val="00631AB4"/>
    <w:rsid w:val="0063294D"/>
    <w:rsid w:val="0063303F"/>
    <w:rsid w:val="006332C8"/>
    <w:rsid w:val="00633EE9"/>
    <w:rsid w:val="0063427C"/>
    <w:rsid w:val="00634474"/>
    <w:rsid w:val="00634578"/>
    <w:rsid w:val="0063460C"/>
    <w:rsid w:val="00634696"/>
    <w:rsid w:val="00634929"/>
    <w:rsid w:val="006353E1"/>
    <w:rsid w:val="006355CD"/>
    <w:rsid w:val="006357EC"/>
    <w:rsid w:val="006357FA"/>
    <w:rsid w:val="0063586D"/>
    <w:rsid w:val="0063653F"/>
    <w:rsid w:val="0063661F"/>
    <w:rsid w:val="006366FD"/>
    <w:rsid w:val="006368E4"/>
    <w:rsid w:val="006368F1"/>
    <w:rsid w:val="00636AEA"/>
    <w:rsid w:val="00636E6D"/>
    <w:rsid w:val="0063705F"/>
    <w:rsid w:val="00637859"/>
    <w:rsid w:val="00637B09"/>
    <w:rsid w:val="00640714"/>
    <w:rsid w:val="00640994"/>
    <w:rsid w:val="00640D51"/>
    <w:rsid w:val="0064101A"/>
    <w:rsid w:val="0064147D"/>
    <w:rsid w:val="00641724"/>
    <w:rsid w:val="006417F8"/>
    <w:rsid w:val="00641E27"/>
    <w:rsid w:val="00642514"/>
    <w:rsid w:val="006426B1"/>
    <w:rsid w:val="006427C9"/>
    <w:rsid w:val="006429E4"/>
    <w:rsid w:val="00642DD7"/>
    <w:rsid w:val="00642ED3"/>
    <w:rsid w:val="00643338"/>
    <w:rsid w:val="006436C9"/>
    <w:rsid w:val="006436FE"/>
    <w:rsid w:val="00643A19"/>
    <w:rsid w:val="00643A9C"/>
    <w:rsid w:val="00643F90"/>
    <w:rsid w:val="0064476A"/>
    <w:rsid w:val="00645110"/>
    <w:rsid w:val="00645272"/>
    <w:rsid w:val="006454B3"/>
    <w:rsid w:val="00645AA7"/>
    <w:rsid w:val="00645DD3"/>
    <w:rsid w:val="00645E4F"/>
    <w:rsid w:val="00646869"/>
    <w:rsid w:val="00646D38"/>
    <w:rsid w:val="00646D42"/>
    <w:rsid w:val="00647456"/>
    <w:rsid w:val="0064763F"/>
    <w:rsid w:val="006478E7"/>
    <w:rsid w:val="00647FBC"/>
    <w:rsid w:val="006509F9"/>
    <w:rsid w:val="00651781"/>
    <w:rsid w:val="00651C59"/>
    <w:rsid w:val="00651D61"/>
    <w:rsid w:val="00652413"/>
    <w:rsid w:val="00652BD1"/>
    <w:rsid w:val="00652E03"/>
    <w:rsid w:val="0065306C"/>
    <w:rsid w:val="0065347D"/>
    <w:rsid w:val="00653785"/>
    <w:rsid w:val="00653A5B"/>
    <w:rsid w:val="00653C29"/>
    <w:rsid w:val="00653D3C"/>
    <w:rsid w:val="00654091"/>
    <w:rsid w:val="00654123"/>
    <w:rsid w:val="00654482"/>
    <w:rsid w:val="006544AE"/>
    <w:rsid w:val="00655562"/>
    <w:rsid w:val="00655657"/>
    <w:rsid w:val="00655C7A"/>
    <w:rsid w:val="00655E05"/>
    <w:rsid w:val="00655EFA"/>
    <w:rsid w:val="006561A8"/>
    <w:rsid w:val="00656340"/>
    <w:rsid w:val="006564EC"/>
    <w:rsid w:val="0065671D"/>
    <w:rsid w:val="0065714C"/>
    <w:rsid w:val="00657308"/>
    <w:rsid w:val="006575A3"/>
    <w:rsid w:val="006575B6"/>
    <w:rsid w:val="00657692"/>
    <w:rsid w:val="00660167"/>
    <w:rsid w:val="00660BF2"/>
    <w:rsid w:val="006612D1"/>
    <w:rsid w:val="0066224E"/>
    <w:rsid w:val="00662504"/>
    <w:rsid w:val="0066261E"/>
    <w:rsid w:val="00662647"/>
    <w:rsid w:val="0066308B"/>
    <w:rsid w:val="00663112"/>
    <w:rsid w:val="006633A5"/>
    <w:rsid w:val="006640F5"/>
    <w:rsid w:val="00664A3D"/>
    <w:rsid w:val="00664CCD"/>
    <w:rsid w:val="00664D84"/>
    <w:rsid w:val="00664F4A"/>
    <w:rsid w:val="0066523C"/>
    <w:rsid w:val="0066562C"/>
    <w:rsid w:val="006656EA"/>
    <w:rsid w:val="0066574E"/>
    <w:rsid w:val="00665784"/>
    <w:rsid w:val="0066601D"/>
    <w:rsid w:val="00666165"/>
    <w:rsid w:val="006665B6"/>
    <w:rsid w:val="0066664A"/>
    <w:rsid w:val="00666918"/>
    <w:rsid w:val="00666D99"/>
    <w:rsid w:val="006673FB"/>
    <w:rsid w:val="0066752D"/>
    <w:rsid w:val="006676BB"/>
    <w:rsid w:val="00670686"/>
    <w:rsid w:val="0067106D"/>
    <w:rsid w:val="00671232"/>
    <w:rsid w:val="0067144C"/>
    <w:rsid w:val="006725AA"/>
    <w:rsid w:val="00672DBC"/>
    <w:rsid w:val="00673026"/>
    <w:rsid w:val="006732A6"/>
    <w:rsid w:val="0067360B"/>
    <w:rsid w:val="00673641"/>
    <w:rsid w:val="006736EF"/>
    <w:rsid w:val="00673B8E"/>
    <w:rsid w:val="00673C74"/>
    <w:rsid w:val="00673D08"/>
    <w:rsid w:val="00673FE4"/>
    <w:rsid w:val="00674697"/>
    <w:rsid w:val="006748BC"/>
    <w:rsid w:val="00674FE7"/>
    <w:rsid w:val="006757CA"/>
    <w:rsid w:val="00676454"/>
    <w:rsid w:val="006766F9"/>
    <w:rsid w:val="0067690B"/>
    <w:rsid w:val="00676B09"/>
    <w:rsid w:val="00676D44"/>
    <w:rsid w:val="00677039"/>
    <w:rsid w:val="00677728"/>
    <w:rsid w:val="006777DF"/>
    <w:rsid w:val="006777F6"/>
    <w:rsid w:val="006778C4"/>
    <w:rsid w:val="00680C59"/>
    <w:rsid w:val="00681067"/>
    <w:rsid w:val="006813DB"/>
    <w:rsid w:val="006818A2"/>
    <w:rsid w:val="00681BC9"/>
    <w:rsid w:val="00682469"/>
    <w:rsid w:val="0068247B"/>
    <w:rsid w:val="00682831"/>
    <w:rsid w:val="00682927"/>
    <w:rsid w:val="006829E6"/>
    <w:rsid w:val="00682FA6"/>
    <w:rsid w:val="00683093"/>
    <w:rsid w:val="006832B0"/>
    <w:rsid w:val="0068330C"/>
    <w:rsid w:val="0068360C"/>
    <w:rsid w:val="006836D6"/>
    <w:rsid w:val="00683E8A"/>
    <w:rsid w:val="00684DC3"/>
    <w:rsid w:val="00684FB8"/>
    <w:rsid w:val="006851FF"/>
    <w:rsid w:val="00685246"/>
    <w:rsid w:val="00685AFD"/>
    <w:rsid w:val="00685C7E"/>
    <w:rsid w:val="006864B2"/>
    <w:rsid w:val="00686E5A"/>
    <w:rsid w:val="00686FDE"/>
    <w:rsid w:val="006876E1"/>
    <w:rsid w:val="00687D77"/>
    <w:rsid w:val="00690084"/>
    <w:rsid w:val="00690119"/>
    <w:rsid w:val="00690987"/>
    <w:rsid w:val="00690C50"/>
    <w:rsid w:val="006917CB"/>
    <w:rsid w:val="00691F4A"/>
    <w:rsid w:val="006920C2"/>
    <w:rsid w:val="00692392"/>
    <w:rsid w:val="00692529"/>
    <w:rsid w:val="006929AB"/>
    <w:rsid w:val="0069302A"/>
    <w:rsid w:val="00693030"/>
    <w:rsid w:val="00694CFC"/>
    <w:rsid w:val="00695275"/>
    <w:rsid w:val="00695637"/>
    <w:rsid w:val="00695A93"/>
    <w:rsid w:val="0069643F"/>
    <w:rsid w:val="006964BC"/>
    <w:rsid w:val="006966F4"/>
    <w:rsid w:val="00696A0C"/>
    <w:rsid w:val="00696ADD"/>
    <w:rsid w:val="00696F4B"/>
    <w:rsid w:val="0069770B"/>
    <w:rsid w:val="006977C0"/>
    <w:rsid w:val="00697EA4"/>
    <w:rsid w:val="006A0084"/>
    <w:rsid w:val="006A08CF"/>
    <w:rsid w:val="006A0C3B"/>
    <w:rsid w:val="006A0C90"/>
    <w:rsid w:val="006A0D93"/>
    <w:rsid w:val="006A0DB9"/>
    <w:rsid w:val="006A0DE2"/>
    <w:rsid w:val="006A12A9"/>
    <w:rsid w:val="006A141B"/>
    <w:rsid w:val="006A16C4"/>
    <w:rsid w:val="006A17B5"/>
    <w:rsid w:val="006A1CB4"/>
    <w:rsid w:val="006A20AE"/>
    <w:rsid w:val="006A238D"/>
    <w:rsid w:val="006A3083"/>
    <w:rsid w:val="006A3145"/>
    <w:rsid w:val="006A3AF8"/>
    <w:rsid w:val="006A3F4E"/>
    <w:rsid w:val="006A47E6"/>
    <w:rsid w:val="006A4919"/>
    <w:rsid w:val="006A4A47"/>
    <w:rsid w:val="006A4AE6"/>
    <w:rsid w:val="006A4D2E"/>
    <w:rsid w:val="006A4DE3"/>
    <w:rsid w:val="006A4EA2"/>
    <w:rsid w:val="006A58A6"/>
    <w:rsid w:val="006A58F9"/>
    <w:rsid w:val="006A5AED"/>
    <w:rsid w:val="006A5FBC"/>
    <w:rsid w:val="006A5FE0"/>
    <w:rsid w:val="006A63E0"/>
    <w:rsid w:val="006A6706"/>
    <w:rsid w:val="006A6C23"/>
    <w:rsid w:val="006A6EE3"/>
    <w:rsid w:val="006A6F00"/>
    <w:rsid w:val="006A7455"/>
    <w:rsid w:val="006B01D2"/>
    <w:rsid w:val="006B041D"/>
    <w:rsid w:val="006B0466"/>
    <w:rsid w:val="006B0FE7"/>
    <w:rsid w:val="006B10BA"/>
    <w:rsid w:val="006B135F"/>
    <w:rsid w:val="006B144B"/>
    <w:rsid w:val="006B1595"/>
    <w:rsid w:val="006B1CAD"/>
    <w:rsid w:val="006B234A"/>
    <w:rsid w:val="006B2365"/>
    <w:rsid w:val="006B257A"/>
    <w:rsid w:val="006B29B2"/>
    <w:rsid w:val="006B29D3"/>
    <w:rsid w:val="006B2CA8"/>
    <w:rsid w:val="006B2CCD"/>
    <w:rsid w:val="006B2EDF"/>
    <w:rsid w:val="006B3B16"/>
    <w:rsid w:val="006B46D1"/>
    <w:rsid w:val="006B4D2F"/>
    <w:rsid w:val="006B5359"/>
    <w:rsid w:val="006B56D0"/>
    <w:rsid w:val="006B578F"/>
    <w:rsid w:val="006B5887"/>
    <w:rsid w:val="006B5DC5"/>
    <w:rsid w:val="006B5DEB"/>
    <w:rsid w:val="006B62DB"/>
    <w:rsid w:val="006B6DA9"/>
    <w:rsid w:val="006B6F6C"/>
    <w:rsid w:val="006B79E0"/>
    <w:rsid w:val="006B7DC3"/>
    <w:rsid w:val="006C03DA"/>
    <w:rsid w:val="006C11B7"/>
    <w:rsid w:val="006C122E"/>
    <w:rsid w:val="006C13F8"/>
    <w:rsid w:val="006C1720"/>
    <w:rsid w:val="006C1CFB"/>
    <w:rsid w:val="006C2202"/>
    <w:rsid w:val="006C2304"/>
    <w:rsid w:val="006C2491"/>
    <w:rsid w:val="006C25A9"/>
    <w:rsid w:val="006C27AA"/>
    <w:rsid w:val="006C304F"/>
    <w:rsid w:val="006C30F2"/>
    <w:rsid w:val="006C368D"/>
    <w:rsid w:val="006C48DE"/>
    <w:rsid w:val="006C4A7A"/>
    <w:rsid w:val="006C4F1D"/>
    <w:rsid w:val="006C528F"/>
    <w:rsid w:val="006C530B"/>
    <w:rsid w:val="006C5333"/>
    <w:rsid w:val="006C53A8"/>
    <w:rsid w:val="006C545A"/>
    <w:rsid w:val="006C5475"/>
    <w:rsid w:val="006C5486"/>
    <w:rsid w:val="006C54E5"/>
    <w:rsid w:val="006C551E"/>
    <w:rsid w:val="006C566B"/>
    <w:rsid w:val="006C5899"/>
    <w:rsid w:val="006C5BC7"/>
    <w:rsid w:val="006C5CA9"/>
    <w:rsid w:val="006C6C4A"/>
    <w:rsid w:val="006C70C5"/>
    <w:rsid w:val="006C726F"/>
    <w:rsid w:val="006C7436"/>
    <w:rsid w:val="006C75BE"/>
    <w:rsid w:val="006C77CD"/>
    <w:rsid w:val="006C7D32"/>
    <w:rsid w:val="006C7DE8"/>
    <w:rsid w:val="006D0089"/>
    <w:rsid w:val="006D0559"/>
    <w:rsid w:val="006D06E5"/>
    <w:rsid w:val="006D0F72"/>
    <w:rsid w:val="006D0FFB"/>
    <w:rsid w:val="006D1540"/>
    <w:rsid w:val="006D1853"/>
    <w:rsid w:val="006D1B3B"/>
    <w:rsid w:val="006D1C9A"/>
    <w:rsid w:val="006D1CCF"/>
    <w:rsid w:val="006D1DBC"/>
    <w:rsid w:val="006D1EAC"/>
    <w:rsid w:val="006D2359"/>
    <w:rsid w:val="006D2AEE"/>
    <w:rsid w:val="006D3040"/>
    <w:rsid w:val="006D3CDD"/>
    <w:rsid w:val="006D3FC8"/>
    <w:rsid w:val="006D40C0"/>
    <w:rsid w:val="006D4232"/>
    <w:rsid w:val="006D4388"/>
    <w:rsid w:val="006D4679"/>
    <w:rsid w:val="006D46C6"/>
    <w:rsid w:val="006D46F0"/>
    <w:rsid w:val="006D4852"/>
    <w:rsid w:val="006D4A06"/>
    <w:rsid w:val="006D4E63"/>
    <w:rsid w:val="006D4F8E"/>
    <w:rsid w:val="006D50D6"/>
    <w:rsid w:val="006D5AD7"/>
    <w:rsid w:val="006D5E17"/>
    <w:rsid w:val="006D5FCD"/>
    <w:rsid w:val="006D5FE2"/>
    <w:rsid w:val="006D6366"/>
    <w:rsid w:val="006D6BBD"/>
    <w:rsid w:val="006D6F8B"/>
    <w:rsid w:val="006D718B"/>
    <w:rsid w:val="006D7260"/>
    <w:rsid w:val="006D7D37"/>
    <w:rsid w:val="006E0184"/>
    <w:rsid w:val="006E0785"/>
    <w:rsid w:val="006E07F8"/>
    <w:rsid w:val="006E09F7"/>
    <w:rsid w:val="006E0F77"/>
    <w:rsid w:val="006E192C"/>
    <w:rsid w:val="006E1C00"/>
    <w:rsid w:val="006E21F2"/>
    <w:rsid w:val="006E2252"/>
    <w:rsid w:val="006E22A5"/>
    <w:rsid w:val="006E28C0"/>
    <w:rsid w:val="006E2D39"/>
    <w:rsid w:val="006E2E8D"/>
    <w:rsid w:val="006E32A7"/>
    <w:rsid w:val="006E362B"/>
    <w:rsid w:val="006E3770"/>
    <w:rsid w:val="006E3C61"/>
    <w:rsid w:val="006E3D13"/>
    <w:rsid w:val="006E3F7B"/>
    <w:rsid w:val="006E4229"/>
    <w:rsid w:val="006E4269"/>
    <w:rsid w:val="006E44D2"/>
    <w:rsid w:val="006E479A"/>
    <w:rsid w:val="006E483E"/>
    <w:rsid w:val="006E49B5"/>
    <w:rsid w:val="006E524C"/>
    <w:rsid w:val="006E5376"/>
    <w:rsid w:val="006E5461"/>
    <w:rsid w:val="006E5470"/>
    <w:rsid w:val="006E55BE"/>
    <w:rsid w:val="006E5832"/>
    <w:rsid w:val="006E6648"/>
    <w:rsid w:val="006E6B38"/>
    <w:rsid w:val="006E6EBD"/>
    <w:rsid w:val="006E6F1A"/>
    <w:rsid w:val="006E7424"/>
    <w:rsid w:val="006E7A10"/>
    <w:rsid w:val="006E7C1C"/>
    <w:rsid w:val="006E7D13"/>
    <w:rsid w:val="006F0126"/>
    <w:rsid w:val="006F018C"/>
    <w:rsid w:val="006F0532"/>
    <w:rsid w:val="006F0AF8"/>
    <w:rsid w:val="006F0D90"/>
    <w:rsid w:val="006F140A"/>
    <w:rsid w:val="006F1459"/>
    <w:rsid w:val="006F1BCA"/>
    <w:rsid w:val="006F2455"/>
    <w:rsid w:val="006F2F41"/>
    <w:rsid w:val="006F3198"/>
    <w:rsid w:val="006F3316"/>
    <w:rsid w:val="006F33ED"/>
    <w:rsid w:val="006F3480"/>
    <w:rsid w:val="006F41A8"/>
    <w:rsid w:val="006F4391"/>
    <w:rsid w:val="006F43B2"/>
    <w:rsid w:val="006F44CE"/>
    <w:rsid w:val="006F519E"/>
    <w:rsid w:val="006F53D1"/>
    <w:rsid w:val="006F62B7"/>
    <w:rsid w:val="006F6AFD"/>
    <w:rsid w:val="006F6BBC"/>
    <w:rsid w:val="006F7030"/>
    <w:rsid w:val="00700127"/>
    <w:rsid w:val="007003E3"/>
    <w:rsid w:val="00701025"/>
    <w:rsid w:val="007012F9"/>
    <w:rsid w:val="007014DF"/>
    <w:rsid w:val="007018DB"/>
    <w:rsid w:val="00701EDB"/>
    <w:rsid w:val="00702251"/>
    <w:rsid w:val="0070267B"/>
    <w:rsid w:val="0070269F"/>
    <w:rsid w:val="007028EA"/>
    <w:rsid w:val="00702B89"/>
    <w:rsid w:val="00703468"/>
    <w:rsid w:val="0070355B"/>
    <w:rsid w:val="00703FEB"/>
    <w:rsid w:val="00704339"/>
    <w:rsid w:val="0070442F"/>
    <w:rsid w:val="007046BE"/>
    <w:rsid w:val="007049E2"/>
    <w:rsid w:val="007051AC"/>
    <w:rsid w:val="0070538C"/>
    <w:rsid w:val="00705626"/>
    <w:rsid w:val="007057B6"/>
    <w:rsid w:val="007057D3"/>
    <w:rsid w:val="00705B00"/>
    <w:rsid w:val="00705EA5"/>
    <w:rsid w:val="007061A4"/>
    <w:rsid w:val="007061AD"/>
    <w:rsid w:val="00706BF1"/>
    <w:rsid w:val="0070705C"/>
    <w:rsid w:val="007077DD"/>
    <w:rsid w:val="007077ED"/>
    <w:rsid w:val="00711319"/>
    <w:rsid w:val="0071177E"/>
    <w:rsid w:val="00711EA6"/>
    <w:rsid w:val="00712184"/>
    <w:rsid w:val="0071251A"/>
    <w:rsid w:val="007128EF"/>
    <w:rsid w:val="00712BA1"/>
    <w:rsid w:val="00712DAA"/>
    <w:rsid w:val="00712E92"/>
    <w:rsid w:val="007139CB"/>
    <w:rsid w:val="00713BF9"/>
    <w:rsid w:val="00713C0B"/>
    <w:rsid w:val="00714371"/>
    <w:rsid w:val="0071450D"/>
    <w:rsid w:val="00715EBF"/>
    <w:rsid w:val="007162DF"/>
    <w:rsid w:val="00716636"/>
    <w:rsid w:val="00716D71"/>
    <w:rsid w:val="00716DF2"/>
    <w:rsid w:val="007174AF"/>
    <w:rsid w:val="00717AC3"/>
    <w:rsid w:val="007208FE"/>
    <w:rsid w:val="00720943"/>
    <w:rsid w:val="00720989"/>
    <w:rsid w:val="00720EDA"/>
    <w:rsid w:val="00721433"/>
    <w:rsid w:val="00721465"/>
    <w:rsid w:val="00721616"/>
    <w:rsid w:val="00721951"/>
    <w:rsid w:val="00721EC3"/>
    <w:rsid w:val="00721F9B"/>
    <w:rsid w:val="0072207E"/>
    <w:rsid w:val="00722939"/>
    <w:rsid w:val="0072300D"/>
    <w:rsid w:val="0072324C"/>
    <w:rsid w:val="0072360B"/>
    <w:rsid w:val="00723644"/>
    <w:rsid w:val="00723CDF"/>
    <w:rsid w:val="00723F06"/>
    <w:rsid w:val="007243A6"/>
    <w:rsid w:val="00724ADD"/>
    <w:rsid w:val="00724B29"/>
    <w:rsid w:val="00725F9D"/>
    <w:rsid w:val="007263CD"/>
    <w:rsid w:val="00726586"/>
    <w:rsid w:val="0072663B"/>
    <w:rsid w:val="00726F07"/>
    <w:rsid w:val="00726F56"/>
    <w:rsid w:val="00727100"/>
    <w:rsid w:val="00727D37"/>
    <w:rsid w:val="007302F2"/>
    <w:rsid w:val="00730942"/>
    <w:rsid w:val="00730A35"/>
    <w:rsid w:val="00731055"/>
    <w:rsid w:val="00731708"/>
    <w:rsid w:val="00731CAF"/>
    <w:rsid w:val="0073203D"/>
    <w:rsid w:val="007321ED"/>
    <w:rsid w:val="00732527"/>
    <w:rsid w:val="007325D1"/>
    <w:rsid w:val="00732619"/>
    <w:rsid w:val="007326FB"/>
    <w:rsid w:val="00733D8A"/>
    <w:rsid w:val="00734589"/>
    <w:rsid w:val="007345CF"/>
    <w:rsid w:val="00735181"/>
    <w:rsid w:val="007354C9"/>
    <w:rsid w:val="00735BF8"/>
    <w:rsid w:val="00735C0A"/>
    <w:rsid w:val="0073601F"/>
    <w:rsid w:val="00736333"/>
    <w:rsid w:val="00736414"/>
    <w:rsid w:val="0073649B"/>
    <w:rsid w:val="007364C1"/>
    <w:rsid w:val="00736763"/>
    <w:rsid w:val="007367D9"/>
    <w:rsid w:val="00736AA0"/>
    <w:rsid w:val="00736BB1"/>
    <w:rsid w:val="00736DFC"/>
    <w:rsid w:val="007374AD"/>
    <w:rsid w:val="007374E8"/>
    <w:rsid w:val="00740677"/>
    <w:rsid w:val="007413D9"/>
    <w:rsid w:val="00741576"/>
    <w:rsid w:val="00741A2F"/>
    <w:rsid w:val="00741A3D"/>
    <w:rsid w:val="00741A7E"/>
    <w:rsid w:val="00741C9E"/>
    <w:rsid w:val="00741F5D"/>
    <w:rsid w:val="007426D9"/>
    <w:rsid w:val="00742862"/>
    <w:rsid w:val="00742EA6"/>
    <w:rsid w:val="0074323F"/>
    <w:rsid w:val="007437AA"/>
    <w:rsid w:val="00743B07"/>
    <w:rsid w:val="00743C03"/>
    <w:rsid w:val="00743F9C"/>
    <w:rsid w:val="007440B2"/>
    <w:rsid w:val="007444A1"/>
    <w:rsid w:val="0074462C"/>
    <w:rsid w:val="00744850"/>
    <w:rsid w:val="00744887"/>
    <w:rsid w:val="0074505D"/>
    <w:rsid w:val="007451BC"/>
    <w:rsid w:val="00745B6E"/>
    <w:rsid w:val="00745BF6"/>
    <w:rsid w:val="00745D3B"/>
    <w:rsid w:val="00746B33"/>
    <w:rsid w:val="00747131"/>
    <w:rsid w:val="0074757F"/>
    <w:rsid w:val="0074785E"/>
    <w:rsid w:val="007479F2"/>
    <w:rsid w:val="00747B7A"/>
    <w:rsid w:val="00747CC3"/>
    <w:rsid w:val="00747E1B"/>
    <w:rsid w:val="00750CC4"/>
    <w:rsid w:val="00750FDE"/>
    <w:rsid w:val="00751157"/>
    <w:rsid w:val="0075124D"/>
    <w:rsid w:val="007515D7"/>
    <w:rsid w:val="00751A64"/>
    <w:rsid w:val="00751FDB"/>
    <w:rsid w:val="00752000"/>
    <w:rsid w:val="00752885"/>
    <w:rsid w:val="007531FD"/>
    <w:rsid w:val="00753E0D"/>
    <w:rsid w:val="0075444D"/>
    <w:rsid w:val="007544C3"/>
    <w:rsid w:val="007546B2"/>
    <w:rsid w:val="0075483E"/>
    <w:rsid w:val="00754AF4"/>
    <w:rsid w:val="00755057"/>
    <w:rsid w:val="0075523A"/>
    <w:rsid w:val="007554C5"/>
    <w:rsid w:val="00755AB7"/>
    <w:rsid w:val="00755C91"/>
    <w:rsid w:val="00755DCA"/>
    <w:rsid w:val="0075628A"/>
    <w:rsid w:val="0075661F"/>
    <w:rsid w:val="007567CD"/>
    <w:rsid w:val="007567ED"/>
    <w:rsid w:val="00756B9E"/>
    <w:rsid w:val="00756CC1"/>
    <w:rsid w:val="00757C61"/>
    <w:rsid w:val="00757F8D"/>
    <w:rsid w:val="007604CE"/>
    <w:rsid w:val="0076088E"/>
    <w:rsid w:val="007608DD"/>
    <w:rsid w:val="00760912"/>
    <w:rsid w:val="00760A01"/>
    <w:rsid w:val="00760E29"/>
    <w:rsid w:val="00760FEF"/>
    <w:rsid w:val="007610DB"/>
    <w:rsid w:val="00761400"/>
    <w:rsid w:val="0076171E"/>
    <w:rsid w:val="00761873"/>
    <w:rsid w:val="00761972"/>
    <w:rsid w:val="00761B12"/>
    <w:rsid w:val="00761E34"/>
    <w:rsid w:val="00761F64"/>
    <w:rsid w:val="00762CB9"/>
    <w:rsid w:val="00763135"/>
    <w:rsid w:val="00763245"/>
    <w:rsid w:val="007634CE"/>
    <w:rsid w:val="007636BA"/>
    <w:rsid w:val="00763915"/>
    <w:rsid w:val="00763971"/>
    <w:rsid w:val="00764136"/>
    <w:rsid w:val="007642E5"/>
    <w:rsid w:val="00764349"/>
    <w:rsid w:val="00764C32"/>
    <w:rsid w:val="007653B7"/>
    <w:rsid w:val="0076548D"/>
    <w:rsid w:val="00765A27"/>
    <w:rsid w:val="00765CFF"/>
    <w:rsid w:val="00765EF5"/>
    <w:rsid w:val="00765F48"/>
    <w:rsid w:val="007660DB"/>
    <w:rsid w:val="0076624D"/>
    <w:rsid w:val="00766630"/>
    <w:rsid w:val="00766BCC"/>
    <w:rsid w:val="00766F99"/>
    <w:rsid w:val="00766FA6"/>
    <w:rsid w:val="0076723F"/>
    <w:rsid w:val="00767F07"/>
    <w:rsid w:val="007701D1"/>
    <w:rsid w:val="007706EC"/>
    <w:rsid w:val="007707C0"/>
    <w:rsid w:val="007715A9"/>
    <w:rsid w:val="00771BB0"/>
    <w:rsid w:val="00771CD3"/>
    <w:rsid w:val="00771FB0"/>
    <w:rsid w:val="007722F8"/>
    <w:rsid w:val="0077286D"/>
    <w:rsid w:val="00772BC9"/>
    <w:rsid w:val="00772DB4"/>
    <w:rsid w:val="00773385"/>
    <w:rsid w:val="0077352E"/>
    <w:rsid w:val="00773758"/>
    <w:rsid w:val="00773811"/>
    <w:rsid w:val="00773A03"/>
    <w:rsid w:val="00773DFF"/>
    <w:rsid w:val="0077400A"/>
    <w:rsid w:val="0077417C"/>
    <w:rsid w:val="007743B8"/>
    <w:rsid w:val="007745AE"/>
    <w:rsid w:val="0077530B"/>
    <w:rsid w:val="007758B1"/>
    <w:rsid w:val="007758D8"/>
    <w:rsid w:val="00775C72"/>
    <w:rsid w:val="00775CEF"/>
    <w:rsid w:val="00776EEF"/>
    <w:rsid w:val="00777232"/>
    <w:rsid w:val="00777666"/>
    <w:rsid w:val="007808D8"/>
    <w:rsid w:val="00780B9D"/>
    <w:rsid w:val="00780BE8"/>
    <w:rsid w:val="00780C67"/>
    <w:rsid w:val="00780EB7"/>
    <w:rsid w:val="007813A1"/>
    <w:rsid w:val="00781425"/>
    <w:rsid w:val="00781429"/>
    <w:rsid w:val="00781521"/>
    <w:rsid w:val="00781A39"/>
    <w:rsid w:val="0078243C"/>
    <w:rsid w:val="00782869"/>
    <w:rsid w:val="00782B5E"/>
    <w:rsid w:val="00782E69"/>
    <w:rsid w:val="0078309C"/>
    <w:rsid w:val="00783375"/>
    <w:rsid w:val="007835D5"/>
    <w:rsid w:val="00783640"/>
    <w:rsid w:val="00783706"/>
    <w:rsid w:val="0078370F"/>
    <w:rsid w:val="00783B32"/>
    <w:rsid w:val="00783FAE"/>
    <w:rsid w:val="0078453E"/>
    <w:rsid w:val="007848E4"/>
    <w:rsid w:val="00784DBB"/>
    <w:rsid w:val="00785101"/>
    <w:rsid w:val="0078518D"/>
    <w:rsid w:val="0078578D"/>
    <w:rsid w:val="00785A93"/>
    <w:rsid w:val="00785B79"/>
    <w:rsid w:val="0078651B"/>
    <w:rsid w:val="00786FEE"/>
    <w:rsid w:val="007871B9"/>
    <w:rsid w:val="0078756E"/>
    <w:rsid w:val="00787B9E"/>
    <w:rsid w:val="00787D85"/>
    <w:rsid w:val="00790103"/>
    <w:rsid w:val="00790504"/>
    <w:rsid w:val="00790EEC"/>
    <w:rsid w:val="00790EF0"/>
    <w:rsid w:val="00791314"/>
    <w:rsid w:val="007914A7"/>
    <w:rsid w:val="00791F8A"/>
    <w:rsid w:val="00792245"/>
    <w:rsid w:val="0079236C"/>
    <w:rsid w:val="00793822"/>
    <w:rsid w:val="00793BA6"/>
    <w:rsid w:val="00794187"/>
    <w:rsid w:val="0079434E"/>
    <w:rsid w:val="0079467B"/>
    <w:rsid w:val="00794704"/>
    <w:rsid w:val="00795301"/>
    <w:rsid w:val="007954C6"/>
    <w:rsid w:val="00795506"/>
    <w:rsid w:val="007958AF"/>
    <w:rsid w:val="00795D7E"/>
    <w:rsid w:val="00795E29"/>
    <w:rsid w:val="00796348"/>
    <w:rsid w:val="007965FA"/>
    <w:rsid w:val="0079754F"/>
    <w:rsid w:val="00797B67"/>
    <w:rsid w:val="007A01F9"/>
    <w:rsid w:val="007A0619"/>
    <w:rsid w:val="007A08F6"/>
    <w:rsid w:val="007A0AA8"/>
    <w:rsid w:val="007A0D92"/>
    <w:rsid w:val="007A1186"/>
    <w:rsid w:val="007A121C"/>
    <w:rsid w:val="007A140A"/>
    <w:rsid w:val="007A189D"/>
    <w:rsid w:val="007A191C"/>
    <w:rsid w:val="007A1F5C"/>
    <w:rsid w:val="007A1FC7"/>
    <w:rsid w:val="007A2508"/>
    <w:rsid w:val="007A2EE2"/>
    <w:rsid w:val="007A39A0"/>
    <w:rsid w:val="007A4138"/>
    <w:rsid w:val="007A487E"/>
    <w:rsid w:val="007A4904"/>
    <w:rsid w:val="007A503D"/>
    <w:rsid w:val="007A50C5"/>
    <w:rsid w:val="007A5169"/>
    <w:rsid w:val="007A525D"/>
    <w:rsid w:val="007A559F"/>
    <w:rsid w:val="007A5677"/>
    <w:rsid w:val="007A58EC"/>
    <w:rsid w:val="007A5905"/>
    <w:rsid w:val="007A5AAC"/>
    <w:rsid w:val="007A5E5D"/>
    <w:rsid w:val="007A6294"/>
    <w:rsid w:val="007A6AB9"/>
    <w:rsid w:val="007A6BF1"/>
    <w:rsid w:val="007A6CA2"/>
    <w:rsid w:val="007A728C"/>
    <w:rsid w:val="007A7425"/>
    <w:rsid w:val="007A7466"/>
    <w:rsid w:val="007A7FD6"/>
    <w:rsid w:val="007B0078"/>
    <w:rsid w:val="007B0263"/>
    <w:rsid w:val="007B04C0"/>
    <w:rsid w:val="007B066C"/>
    <w:rsid w:val="007B06FE"/>
    <w:rsid w:val="007B0747"/>
    <w:rsid w:val="007B0A74"/>
    <w:rsid w:val="007B0EF8"/>
    <w:rsid w:val="007B100F"/>
    <w:rsid w:val="007B118D"/>
    <w:rsid w:val="007B140B"/>
    <w:rsid w:val="007B16C7"/>
    <w:rsid w:val="007B16D5"/>
    <w:rsid w:val="007B17C0"/>
    <w:rsid w:val="007B1DE0"/>
    <w:rsid w:val="007B1E84"/>
    <w:rsid w:val="007B2832"/>
    <w:rsid w:val="007B2D3E"/>
    <w:rsid w:val="007B2E34"/>
    <w:rsid w:val="007B3CE3"/>
    <w:rsid w:val="007B43F9"/>
    <w:rsid w:val="007B4D46"/>
    <w:rsid w:val="007B4E1B"/>
    <w:rsid w:val="007B4F2E"/>
    <w:rsid w:val="007B4F50"/>
    <w:rsid w:val="007B5B61"/>
    <w:rsid w:val="007B5D47"/>
    <w:rsid w:val="007B5D79"/>
    <w:rsid w:val="007B7215"/>
    <w:rsid w:val="007B7437"/>
    <w:rsid w:val="007B76ED"/>
    <w:rsid w:val="007C0173"/>
    <w:rsid w:val="007C01E1"/>
    <w:rsid w:val="007C0235"/>
    <w:rsid w:val="007C0C7F"/>
    <w:rsid w:val="007C0FCC"/>
    <w:rsid w:val="007C1556"/>
    <w:rsid w:val="007C1657"/>
    <w:rsid w:val="007C174B"/>
    <w:rsid w:val="007C18EF"/>
    <w:rsid w:val="007C1CBC"/>
    <w:rsid w:val="007C21BE"/>
    <w:rsid w:val="007C22B9"/>
    <w:rsid w:val="007C292C"/>
    <w:rsid w:val="007C29BA"/>
    <w:rsid w:val="007C2A91"/>
    <w:rsid w:val="007C3072"/>
    <w:rsid w:val="007C3333"/>
    <w:rsid w:val="007C3662"/>
    <w:rsid w:val="007C36F1"/>
    <w:rsid w:val="007C3CB2"/>
    <w:rsid w:val="007C4176"/>
    <w:rsid w:val="007C448D"/>
    <w:rsid w:val="007C477B"/>
    <w:rsid w:val="007C497C"/>
    <w:rsid w:val="007C4ADC"/>
    <w:rsid w:val="007C4EF7"/>
    <w:rsid w:val="007C5028"/>
    <w:rsid w:val="007C5277"/>
    <w:rsid w:val="007C53B5"/>
    <w:rsid w:val="007C5C6B"/>
    <w:rsid w:val="007C5D4D"/>
    <w:rsid w:val="007C5F49"/>
    <w:rsid w:val="007C60DA"/>
    <w:rsid w:val="007C6109"/>
    <w:rsid w:val="007C64C0"/>
    <w:rsid w:val="007C6678"/>
    <w:rsid w:val="007C67D4"/>
    <w:rsid w:val="007C702C"/>
    <w:rsid w:val="007C71E7"/>
    <w:rsid w:val="007C73B3"/>
    <w:rsid w:val="007C7460"/>
    <w:rsid w:val="007C74F3"/>
    <w:rsid w:val="007C75D7"/>
    <w:rsid w:val="007C7898"/>
    <w:rsid w:val="007C7A9B"/>
    <w:rsid w:val="007C7AF8"/>
    <w:rsid w:val="007C7E17"/>
    <w:rsid w:val="007D0408"/>
    <w:rsid w:val="007D04FD"/>
    <w:rsid w:val="007D12DA"/>
    <w:rsid w:val="007D1F45"/>
    <w:rsid w:val="007D2691"/>
    <w:rsid w:val="007D26FA"/>
    <w:rsid w:val="007D29F9"/>
    <w:rsid w:val="007D30C4"/>
    <w:rsid w:val="007D3448"/>
    <w:rsid w:val="007D34F0"/>
    <w:rsid w:val="007D3678"/>
    <w:rsid w:val="007D3A3E"/>
    <w:rsid w:val="007D3B91"/>
    <w:rsid w:val="007D3BF5"/>
    <w:rsid w:val="007D3C74"/>
    <w:rsid w:val="007D3E6E"/>
    <w:rsid w:val="007D40DD"/>
    <w:rsid w:val="007D4399"/>
    <w:rsid w:val="007D4480"/>
    <w:rsid w:val="007D45CF"/>
    <w:rsid w:val="007D468E"/>
    <w:rsid w:val="007D509C"/>
    <w:rsid w:val="007D585B"/>
    <w:rsid w:val="007D5E07"/>
    <w:rsid w:val="007D5EAE"/>
    <w:rsid w:val="007D6B83"/>
    <w:rsid w:val="007D6F77"/>
    <w:rsid w:val="007D70A5"/>
    <w:rsid w:val="007D7489"/>
    <w:rsid w:val="007D7815"/>
    <w:rsid w:val="007D784A"/>
    <w:rsid w:val="007D7DED"/>
    <w:rsid w:val="007E052C"/>
    <w:rsid w:val="007E0A6C"/>
    <w:rsid w:val="007E11A5"/>
    <w:rsid w:val="007E19BC"/>
    <w:rsid w:val="007E1E90"/>
    <w:rsid w:val="007E1EBF"/>
    <w:rsid w:val="007E223E"/>
    <w:rsid w:val="007E2285"/>
    <w:rsid w:val="007E2295"/>
    <w:rsid w:val="007E34E0"/>
    <w:rsid w:val="007E40B9"/>
    <w:rsid w:val="007E4101"/>
    <w:rsid w:val="007E4642"/>
    <w:rsid w:val="007E472A"/>
    <w:rsid w:val="007E542B"/>
    <w:rsid w:val="007E58E7"/>
    <w:rsid w:val="007E5CDD"/>
    <w:rsid w:val="007E5F51"/>
    <w:rsid w:val="007E634F"/>
    <w:rsid w:val="007E644C"/>
    <w:rsid w:val="007E67B8"/>
    <w:rsid w:val="007E68F1"/>
    <w:rsid w:val="007E6FF8"/>
    <w:rsid w:val="007E71B1"/>
    <w:rsid w:val="007E7A96"/>
    <w:rsid w:val="007E7B4A"/>
    <w:rsid w:val="007E7B4F"/>
    <w:rsid w:val="007E7C50"/>
    <w:rsid w:val="007F03CA"/>
    <w:rsid w:val="007F082C"/>
    <w:rsid w:val="007F143E"/>
    <w:rsid w:val="007F1BBE"/>
    <w:rsid w:val="007F1CD3"/>
    <w:rsid w:val="007F1FEE"/>
    <w:rsid w:val="007F2248"/>
    <w:rsid w:val="007F2822"/>
    <w:rsid w:val="007F2960"/>
    <w:rsid w:val="007F35D4"/>
    <w:rsid w:val="007F3A4E"/>
    <w:rsid w:val="007F3D04"/>
    <w:rsid w:val="007F3E08"/>
    <w:rsid w:val="007F41D9"/>
    <w:rsid w:val="007F4210"/>
    <w:rsid w:val="007F43D9"/>
    <w:rsid w:val="007F4724"/>
    <w:rsid w:val="007F4801"/>
    <w:rsid w:val="007F4E2B"/>
    <w:rsid w:val="007F5039"/>
    <w:rsid w:val="007F51D7"/>
    <w:rsid w:val="007F5AA6"/>
    <w:rsid w:val="007F61EE"/>
    <w:rsid w:val="007F6411"/>
    <w:rsid w:val="007F72A0"/>
    <w:rsid w:val="007F7527"/>
    <w:rsid w:val="007F7800"/>
    <w:rsid w:val="0080093C"/>
    <w:rsid w:val="00800BDC"/>
    <w:rsid w:val="00801004"/>
    <w:rsid w:val="00801056"/>
    <w:rsid w:val="0080136F"/>
    <w:rsid w:val="0080161F"/>
    <w:rsid w:val="008016C1"/>
    <w:rsid w:val="00801BEA"/>
    <w:rsid w:val="00801C6D"/>
    <w:rsid w:val="008020C0"/>
    <w:rsid w:val="008028EF"/>
    <w:rsid w:val="00802A31"/>
    <w:rsid w:val="00802C99"/>
    <w:rsid w:val="00802CA9"/>
    <w:rsid w:val="00802D33"/>
    <w:rsid w:val="00802F4D"/>
    <w:rsid w:val="00802F5F"/>
    <w:rsid w:val="0080405F"/>
    <w:rsid w:val="008042C1"/>
    <w:rsid w:val="00804976"/>
    <w:rsid w:val="00804ED3"/>
    <w:rsid w:val="0080509F"/>
    <w:rsid w:val="008052A2"/>
    <w:rsid w:val="0080531F"/>
    <w:rsid w:val="0080534E"/>
    <w:rsid w:val="00805847"/>
    <w:rsid w:val="00806054"/>
    <w:rsid w:val="008062DD"/>
    <w:rsid w:val="008064C8"/>
    <w:rsid w:val="008067A0"/>
    <w:rsid w:val="00806AED"/>
    <w:rsid w:val="00806F1B"/>
    <w:rsid w:val="00807030"/>
    <w:rsid w:val="0080714A"/>
    <w:rsid w:val="008072B6"/>
    <w:rsid w:val="0080739A"/>
    <w:rsid w:val="00807666"/>
    <w:rsid w:val="00807B85"/>
    <w:rsid w:val="00807CD2"/>
    <w:rsid w:val="00807E2A"/>
    <w:rsid w:val="00807EB2"/>
    <w:rsid w:val="008101F0"/>
    <w:rsid w:val="00810338"/>
    <w:rsid w:val="008105D2"/>
    <w:rsid w:val="0081120A"/>
    <w:rsid w:val="00811767"/>
    <w:rsid w:val="00811A0D"/>
    <w:rsid w:val="00811B81"/>
    <w:rsid w:val="00812156"/>
    <w:rsid w:val="00812E4C"/>
    <w:rsid w:val="00813458"/>
    <w:rsid w:val="00813695"/>
    <w:rsid w:val="008136B7"/>
    <w:rsid w:val="0081378C"/>
    <w:rsid w:val="00813A99"/>
    <w:rsid w:val="00813AB8"/>
    <w:rsid w:val="00813BFB"/>
    <w:rsid w:val="00813CDC"/>
    <w:rsid w:val="00814421"/>
    <w:rsid w:val="008146DD"/>
    <w:rsid w:val="008146E8"/>
    <w:rsid w:val="0081481D"/>
    <w:rsid w:val="0081483C"/>
    <w:rsid w:val="00814CB4"/>
    <w:rsid w:val="00814FDC"/>
    <w:rsid w:val="00815303"/>
    <w:rsid w:val="008156E3"/>
    <w:rsid w:val="008163A5"/>
    <w:rsid w:val="008166F3"/>
    <w:rsid w:val="0081683F"/>
    <w:rsid w:val="00816C11"/>
    <w:rsid w:val="00816C4D"/>
    <w:rsid w:val="0081717F"/>
    <w:rsid w:val="008174A6"/>
    <w:rsid w:val="008179DD"/>
    <w:rsid w:val="00817F73"/>
    <w:rsid w:val="00820DF3"/>
    <w:rsid w:val="0082135B"/>
    <w:rsid w:val="00821360"/>
    <w:rsid w:val="008214AD"/>
    <w:rsid w:val="008215D0"/>
    <w:rsid w:val="0082168F"/>
    <w:rsid w:val="008216CD"/>
    <w:rsid w:val="0082192F"/>
    <w:rsid w:val="00821AEF"/>
    <w:rsid w:val="00821C98"/>
    <w:rsid w:val="00821D56"/>
    <w:rsid w:val="00822309"/>
    <w:rsid w:val="0082273F"/>
    <w:rsid w:val="00822791"/>
    <w:rsid w:val="008227A3"/>
    <w:rsid w:val="008229E0"/>
    <w:rsid w:val="00823E71"/>
    <w:rsid w:val="008240BE"/>
    <w:rsid w:val="008242CA"/>
    <w:rsid w:val="00824381"/>
    <w:rsid w:val="008245A2"/>
    <w:rsid w:val="008246F7"/>
    <w:rsid w:val="00824CA4"/>
    <w:rsid w:val="00824CD1"/>
    <w:rsid w:val="00825170"/>
    <w:rsid w:val="008253BD"/>
    <w:rsid w:val="00825D0D"/>
    <w:rsid w:val="008261B2"/>
    <w:rsid w:val="00826F45"/>
    <w:rsid w:val="0082712D"/>
    <w:rsid w:val="00827243"/>
    <w:rsid w:val="0082742A"/>
    <w:rsid w:val="00827A01"/>
    <w:rsid w:val="00827ACF"/>
    <w:rsid w:val="0083032E"/>
    <w:rsid w:val="00830CDC"/>
    <w:rsid w:val="00830D66"/>
    <w:rsid w:val="008310D0"/>
    <w:rsid w:val="00831253"/>
    <w:rsid w:val="008317E8"/>
    <w:rsid w:val="00831C3D"/>
    <w:rsid w:val="00831C65"/>
    <w:rsid w:val="00831C98"/>
    <w:rsid w:val="00832436"/>
    <w:rsid w:val="00832925"/>
    <w:rsid w:val="008347F2"/>
    <w:rsid w:val="008350BA"/>
    <w:rsid w:val="008354DF"/>
    <w:rsid w:val="0083566A"/>
    <w:rsid w:val="00835FAC"/>
    <w:rsid w:val="0083624B"/>
    <w:rsid w:val="00836894"/>
    <w:rsid w:val="00836C7D"/>
    <w:rsid w:val="0083705C"/>
    <w:rsid w:val="0083751D"/>
    <w:rsid w:val="00837BCE"/>
    <w:rsid w:val="00837D01"/>
    <w:rsid w:val="0084000E"/>
    <w:rsid w:val="008402D0"/>
    <w:rsid w:val="008402FB"/>
    <w:rsid w:val="008404EE"/>
    <w:rsid w:val="008408D8"/>
    <w:rsid w:val="00840B3C"/>
    <w:rsid w:val="00840B5D"/>
    <w:rsid w:val="00841130"/>
    <w:rsid w:val="008414C8"/>
    <w:rsid w:val="0084192A"/>
    <w:rsid w:val="00841A46"/>
    <w:rsid w:val="00841BBD"/>
    <w:rsid w:val="00841BF3"/>
    <w:rsid w:val="00841C31"/>
    <w:rsid w:val="008420D4"/>
    <w:rsid w:val="00842771"/>
    <w:rsid w:val="00842880"/>
    <w:rsid w:val="00842A6B"/>
    <w:rsid w:val="00842AB1"/>
    <w:rsid w:val="00842D8E"/>
    <w:rsid w:val="00842F5C"/>
    <w:rsid w:val="0084306A"/>
    <w:rsid w:val="0084332C"/>
    <w:rsid w:val="00843484"/>
    <w:rsid w:val="00843D97"/>
    <w:rsid w:val="008441B2"/>
    <w:rsid w:val="00844225"/>
    <w:rsid w:val="00844820"/>
    <w:rsid w:val="00844DC0"/>
    <w:rsid w:val="00844F12"/>
    <w:rsid w:val="008452B4"/>
    <w:rsid w:val="00845370"/>
    <w:rsid w:val="008453EC"/>
    <w:rsid w:val="00845419"/>
    <w:rsid w:val="008458FA"/>
    <w:rsid w:val="00845F80"/>
    <w:rsid w:val="00846089"/>
    <w:rsid w:val="008460D4"/>
    <w:rsid w:val="0084693E"/>
    <w:rsid w:val="00846B6F"/>
    <w:rsid w:val="00846D99"/>
    <w:rsid w:val="00846E1C"/>
    <w:rsid w:val="00846F06"/>
    <w:rsid w:val="00847330"/>
    <w:rsid w:val="008474E4"/>
    <w:rsid w:val="00847A00"/>
    <w:rsid w:val="00847A5D"/>
    <w:rsid w:val="00847C2C"/>
    <w:rsid w:val="008502D3"/>
    <w:rsid w:val="0085038A"/>
    <w:rsid w:val="008503A2"/>
    <w:rsid w:val="0085042A"/>
    <w:rsid w:val="008509B8"/>
    <w:rsid w:val="00850C50"/>
    <w:rsid w:val="00850F82"/>
    <w:rsid w:val="008510EC"/>
    <w:rsid w:val="00851168"/>
    <w:rsid w:val="00851898"/>
    <w:rsid w:val="00851D76"/>
    <w:rsid w:val="008543DF"/>
    <w:rsid w:val="008545B4"/>
    <w:rsid w:val="008545F2"/>
    <w:rsid w:val="00854863"/>
    <w:rsid w:val="0085498C"/>
    <w:rsid w:val="00855470"/>
    <w:rsid w:val="00855B15"/>
    <w:rsid w:val="00856259"/>
    <w:rsid w:val="008566E5"/>
    <w:rsid w:val="00856820"/>
    <w:rsid w:val="00856A28"/>
    <w:rsid w:val="00856A9A"/>
    <w:rsid w:val="00857170"/>
    <w:rsid w:val="00857974"/>
    <w:rsid w:val="00857FDE"/>
    <w:rsid w:val="008602CA"/>
    <w:rsid w:val="008604C2"/>
    <w:rsid w:val="0086084E"/>
    <w:rsid w:val="00860E64"/>
    <w:rsid w:val="008613CA"/>
    <w:rsid w:val="00862572"/>
    <w:rsid w:val="00862B35"/>
    <w:rsid w:val="00862DF8"/>
    <w:rsid w:val="00863311"/>
    <w:rsid w:val="0086352C"/>
    <w:rsid w:val="00863BF9"/>
    <w:rsid w:val="00863CAA"/>
    <w:rsid w:val="00863D02"/>
    <w:rsid w:val="00864249"/>
    <w:rsid w:val="00864936"/>
    <w:rsid w:val="00864C62"/>
    <w:rsid w:val="00864F8E"/>
    <w:rsid w:val="00865077"/>
    <w:rsid w:val="0086561C"/>
    <w:rsid w:val="008656E5"/>
    <w:rsid w:val="008658B8"/>
    <w:rsid w:val="00865CD3"/>
    <w:rsid w:val="0086626C"/>
    <w:rsid w:val="00866733"/>
    <w:rsid w:val="00866C29"/>
    <w:rsid w:val="00866EA6"/>
    <w:rsid w:val="00866F34"/>
    <w:rsid w:val="008671B3"/>
    <w:rsid w:val="008672E1"/>
    <w:rsid w:val="00867600"/>
    <w:rsid w:val="00867A74"/>
    <w:rsid w:val="008708C1"/>
    <w:rsid w:val="00871419"/>
    <w:rsid w:val="008721FA"/>
    <w:rsid w:val="00872B98"/>
    <w:rsid w:val="00872DC4"/>
    <w:rsid w:val="00872E16"/>
    <w:rsid w:val="00873125"/>
    <w:rsid w:val="0087326C"/>
    <w:rsid w:val="00873482"/>
    <w:rsid w:val="00873732"/>
    <w:rsid w:val="00873C21"/>
    <w:rsid w:val="00873CC1"/>
    <w:rsid w:val="008741BE"/>
    <w:rsid w:val="008742E8"/>
    <w:rsid w:val="008743BB"/>
    <w:rsid w:val="00874A85"/>
    <w:rsid w:val="00874C0C"/>
    <w:rsid w:val="00874C66"/>
    <w:rsid w:val="00874F08"/>
    <w:rsid w:val="0087529D"/>
    <w:rsid w:val="00875986"/>
    <w:rsid w:val="00876248"/>
    <w:rsid w:val="008766E9"/>
    <w:rsid w:val="00876D0A"/>
    <w:rsid w:val="008779D9"/>
    <w:rsid w:val="00877BD2"/>
    <w:rsid w:val="00877C1E"/>
    <w:rsid w:val="00880504"/>
    <w:rsid w:val="0088051A"/>
    <w:rsid w:val="00880850"/>
    <w:rsid w:val="00880C5D"/>
    <w:rsid w:val="0088115C"/>
    <w:rsid w:val="008818A4"/>
    <w:rsid w:val="00881FB1"/>
    <w:rsid w:val="008832CD"/>
    <w:rsid w:val="008836FC"/>
    <w:rsid w:val="00883C38"/>
    <w:rsid w:val="00884FFA"/>
    <w:rsid w:val="00885239"/>
    <w:rsid w:val="0088586F"/>
    <w:rsid w:val="008859E3"/>
    <w:rsid w:val="00885ABA"/>
    <w:rsid w:val="00885BEC"/>
    <w:rsid w:val="00885D1E"/>
    <w:rsid w:val="008861A1"/>
    <w:rsid w:val="00886357"/>
    <w:rsid w:val="0088671C"/>
    <w:rsid w:val="00886DC9"/>
    <w:rsid w:val="00886E8F"/>
    <w:rsid w:val="008870EC"/>
    <w:rsid w:val="00887A6E"/>
    <w:rsid w:val="00887BAB"/>
    <w:rsid w:val="00887D70"/>
    <w:rsid w:val="008906AA"/>
    <w:rsid w:val="00890A21"/>
    <w:rsid w:val="00890B53"/>
    <w:rsid w:val="00890FC3"/>
    <w:rsid w:val="00891010"/>
    <w:rsid w:val="008910AB"/>
    <w:rsid w:val="008914D1"/>
    <w:rsid w:val="00891CE9"/>
    <w:rsid w:val="00891CF0"/>
    <w:rsid w:val="00892696"/>
    <w:rsid w:val="00892EFF"/>
    <w:rsid w:val="00893570"/>
    <w:rsid w:val="00893768"/>
    <w:rsid w:val="0089377F"/>
    <w:rsid w:val="00893BDC"/>
    <w:rsid w:val="00893FAE"/>
    <w:rsid w:val="008949F3"/>
    <w:rsid w:val="00894C1A"/>
    <w:rsid w:val="0089512C"/>
    <w:rsid w:val="00895315"/>
    <w:rsid w:val="0089541B"/>
    <w:rsid w:val="0089552F"/>
    <w:rsid w:val="00895711"/>
    <w:rsid w:val="0089594E"/>
    <w:rsid w:val="00896007"/>
    <w:rsid w:val="008963C6"/>
    <w:rsid w:val="0089660B"/>
    <w:rsid w:val="008968B9"/>
    <w:rsid w:val="00896EAB"/>
    <w:rsid w:val="00896F48"/>
    <w:rsid w:val="0089744D"/>
    <w:rsid w:val="008977BB"/>
    <w:rsid w:val="00897B06"/>
    <w:rsid w:val="008A0AC9"/>
    <w:rsid w:val="008A120A"/>
    <w:rsid w:val="008A1BB9"/>
    <w:rsid w:val="008A1D69"/>
    <w:rsid w:val="008A1E58"/>
    <w:rsid w:val="008A2145"/>
    <w:rsid w:val="008A2A91"/>
    <w:rsid w:val="008A2BB4"/>
    <w:rsid w:val="008A2CDB"/>
    <w:rsid w:val="008A2E90"/>
    <w:rsid w:val="008A2FB3"/>
    <w:rsid w:val="008A3017"/>
    <w:rsid w:val="008A31F5"/>
    <w:rsid w:val="008A33B4"/>
    <w:rsid w:val="008A346E"/>
    <w:rsid w:val="008A372A"/>
    <w:rsid w:val="008A3B52"/>
    <w:rsid w:val="008A3C12"/>
    <w:rsid w:val="008A400C"/>
    <w:rsid w:val="008A41B4"/>
    <w:rsid w:val="008A46EB"/>
    <w:rsid w:val="008A48E0"/>
    <w:rsid w:val="008A49C1"/>
    <w:rsid w:val="008A5463"/>
    <w:rsid w:val="008A54DE"/>
    <w:rsid w:val="008A5AD9"/>
    <w:rsid w:val="008A5D58"/>
    <w:rsid w:val="008A5E74"/>
    <w:rsid w:val="008A633A"/>
    <w:rsid w:val="008A6C6B"/>
    <w:rsid w:val="008A71E7"/>
    <w:rsid w:val="008A7DA8"/>
    <w:rsid w:val="008A7F2B"/>
    <w:rsid w:val="008B1200"/>
    <w:rsid w:val="008B13FD"/>
    <w:rsid w:val="008B1C42"/>
    <w:rsid w:val="008B1CCF"/>
    <w:rsid w:val="008B1D75"/>
    <w:rsid w:val="008B1E1A"/>
    <w:rsid w:val="008B1F45"/>
    <w:rsid w:val="008B2C68"/>
    <w:rsid w:val="008B2C80"/>
    <w:rsid w:val="008B326E"/>
    <w:rsid w:val="008B3352"/>
    <w:rsid w:val="008B3C72"/>
    <w:rsid w:val="008B3D73"/>
    <w:rsid w:val="008B3FA0"/>
    <w:rsid w:val="008B4D9B"/>
    <w:rsid w:val="008B503B"/>
    <w:rsid w:val="008B508F"/>
    <w:rsid w:val="008B560D"/>
    <w:rsid w:val="008B575E"/>
    <w:rsid w:val="008B577E"/>
    <w:rsid w:val="008B5800"/>
    <w:rsid w:val="008B5CFF"/>
    <w:rsid w:val="008B5E10"/>
    <w:rsid w:val="008B65D4"/>
    <w:rsid w:val="008B69D8"/>
    <w:rsid w:val="008B6B5D"/>
    <w:rsid w:val="008B6B80"/>
    <w:rsid w:val="008B7074"/>
    <w:rsid w:val="008B72AD"/>
    <w:rsid w:val="008B7409"/>
    <w:rsid w:val="008B7633"/>
    <w:rsid w:val="008B765D"/>
    <w:rsid w:val="008B78B8"/>
    <w:rsid w:val="008B7FB3"/>
    <w:rsid w:val="008C01AE"/>
    <w:rsid w:val="008C08E9"/>
    <w:rsid w:val="008C1307"/>
    <w:rsid w:val="008C1343"/>
    <w:rsid w:val="008C1354"/>
    <w:rsid w:val="008C1801"/>
    <w:rsid w:val="008C1B2B"/>
    <w:rsid w:val="008C200D"/>
    <w:rsid w:val="008C2046"/>
    <w:rsid w:val="008C2106"/>
    <w:rsid w:val="008C29EA"/>
    <w:rsid w:val="008C2A58"/>
    <w:rsid w:val="008C2ADE"/>
    <w:rsid w:val="008C2CAA"/>
    <w:rsid w:val="008C2D8B"/>
    <w:rsid w:val="008C36B5"/>
    <w:rsid w:val="008C41F6"/>
    <w:rsid w:val="008C4371"/>
    <w:rsid w:val="008C43C5"/>
    <w:rsid w:val="008C43EF"/>
    <w:rsid w:val="008C4523"/>
    <w:rsid w:val="008C47B3"/>
    <w:rsid w:val="008C497A"/>
    <w:rsid w:val="008C5168"/>
    <w:rsid w:val="008C51F7"/>
    <w:rsid w:val="008C53A0"/>
    <w:rsid w:val="008C53E9"/>
    <w:rsid w:val="008C6147"/>
    <w:rsid w:val="008C629E"/>
    <w:rsid w:val="008C6EDB"/>
    <w:rsid w:val="008C6FC3"/>
    <w:rsid w:val="008C76F0"/>
    <w:rsid w:val="008C77DE"/>
    <w:rsid w:val="008C7B33"/>
    <w:rsid w:val="008C7CA7"/>
    <w:rsid w:val="008C7E75"/>
    <w:rsid w:val="008D09CB"/>
    <w:rsid w:val="008D0E1E"/>
    <w:rsid w:val="008D1980"/>
    <w:rsid w:val="008D1C83"/>
    <w:rsid w:val="008D1EC1"/>
    <w:rsid w:val="008D1FBB"/>
    <w:rsid w:val="008D1FDA"/>
    <w:rsid w:val="008D2312"/>
    <w:rsid w:val="008D2AFF"/>
    <w:rsid w:val="008D2B2B"/>
    <w:rsid w:val="008D2D04"/>
    <w:rsid w:val="008D2F04"/>
    <w:rsid w:val="008D32E2"/>
    <w:rsid w:val="008D33E8"/>
    <w:rsid w:val="008D384C"/>
    <w:rsid w:val="008D3A64"/>
    <w:rsid w:val="008D3B03"/>
    <w:rsid w:val="008D402B"/>
    <w:rsid w:val="008D4204"/>
    <w:rsid w:val="008D443C"/>
    <w:rsid w:val="008D494D"/>
    <w:rsid w:val="008D4CBA"/>
    <w:rsid w:val="008D5879"/>
    <w:rsid w:val="008D590A"/>
    <w:rsid w:val="008D5CB9"/>
    <w:rsid w:val="008D69F1"/>
    <w:rsid w:val="008D6CAA"/>
    <w:rsid w:val="008D6DBE"/>
    <w:rsid w:val="008D77FF"/>
    <w:rsid w:val="008E002A"/>
    <w:rsid w:val="008E017D"/>
    <w:rsid w:val="008E0226"/>
    <w:rsid w:val="008E07CC"/>
    <w:rsid w:val="008E0DAF"/>
    <w:rsid w:val="008E0ECF"/>
    <w:rsid w:val="008E1112"/>
    <w:rsid w:val="008E1366"/>
    <w:rsid w:val="008E2111"/>
    <w:rsid w:val="008E22AD"/>
    <w:rsid w:val="008E2D37"/>
    <w:rsid w:val="008E2D6C"/>
    <w:rsid w:val="008E2E6C"/>
    <w:rsid w:val="008E3069"/>
    <w:rsid w:val="008E35A7"/>
    <w:rsid w:val="008E4360"/>
    <w:rsid w:val="008E43BB"/>
    <w:rsid w:val="008E4A1F"/>
    <w:rsid w:val="008E5E8F"/>
    <w:rsid w:val="008E61D1"/>
    <w:rsid w:val="008E61FF"/>
    <w:rsid w:val="008E6959"/>
    <w:rsid w:val="008E6983"/>
    <w:rsid w:val="008E6C28"/>
    <w:rsid w:val="008E6C76"/>
    <w:rsid w:val="008E7019"/>
    <w:rsid w:val="008E7290"/>
    <w:rsid w:val="008E7B1A"/>
    <w:rsid w:val="008E7FBC"/>
    <w:rsid w:val="008F008F"/>
    <w:rsid w:val="008F09FE"/>
    <w:rsid w:val="008F1408"/>
    <w:rsid w:val="008F1937"/>
    <w:rsid w:val="008F1C39"/>
    <w:rsid w:val="008F3127"/>
    <w:rsid w:val="008F34A3"/>
    <w:rsid w:val="008F35A6"/>
    <w:rsid w:val="008F3606"/>
    <w:rsid w:val="008F38F3"/>
    <w:rsid w:val="008F3E60"/>
    <w:rsid w:val="008F4086"/>
    <w:rsid w:val="008F43D5"/>
    <w:rsid w:val="008F44DA"/>
    <w:rsid w:val="008F4594"/>
    <w:rsid w:val="008F4817"/>
    <w:rsid w:val="008F4D77"/>
    <w:rsid w:val="008F514D"/>
    <w:rsid w:val="008F53C0"/>
    <w:rsid w:val="008F598D"/>
    <w:rsid w:val="008F59AC"/>
    <w:rsid w:val="008F5A1E"/>
    <w:rsid w:val="008F5D80"/>
    <w:rsid w:val="008F6787"/>
    <w:rsid w:val="008F7409"/>
    <w:rsid w:val="008F7611"/>
    <w:rsid w:val="008F7649"/>
    <w:rsid w:val="008F76C4"/>
    <w:rsid w:val="008F7BF4"/>
    <w:rsid w:val="008F7C88"/>
    <w:rsid w:val="008F7E83"/>
    <w:rsid w:val="009000F2"/>
    <w:rsid w:val="0090050D"/>
    <w:rsid w:val="009009D5"/>
    <w:rsid w:val="009010DF"/>
    <w:rsid w:val="00901AF3"/>
    <w:rsid w:val="00901E74"/>
    <w:rsid w:val="00902121"/>
    <w:rsid w:val="009025E7"/>
    <w:rsid w:val="009028DD"/>
    <w:rsid w:val="00903089"/>
    <w:rsid w:val="00903E4F"/>
    <w:rsid w:val="009044F2"/>
    <w:rsid w:val="00904E98"/>
    <w:rsid w:val="00905419"/>
    <w:rsid w:val="00905776"/>
    <w:rsid w:val="0090577E"/>
    <w:rsid w:val="009057EA"/>
    <w:rsid w:val="0090623E"/>
    <w:rsid w:val="00906465"/>
    <w:rsid w:val="009066DF"/>
    <w:rsid w:val="009067D1"/>
    <w:rsid w:val="009068DF"/>
    <w:rsid w:val="00906904"/>
    <w:rsid w:val="00906EDE"/>
    <w:rsid w:val="0090741D"/>
    <w:rsid w:val="00907960"/>
    <w:rsid w:val="00907C9C"/>
    <w:rsid w:val="00910C52"/>
    <w:rsid w:val="009111FC"/>
    <w:rsid w:val="0091149B"/>
    <w:rsid w:val="009115F4"/>
    <w:rsid w:val="0091165F"/>
    <w:rsid w:val="00911A0F"/>
    <w:rsid w:val="00911EA4"/>
    <w:rsid w:val="009131D3"/>
    <w:rsid w:val="00913412"/>
    <w:rsid w:val="00913576"/>
    <w:rsid w:val="00913CD4"/>
    <w:rsid w:val="00913DE5"/>
    <w:rsid w:val="00913F62"/>
    <w:rsid w:val="00914042"/>
    <w:rsid w:val="00914133"/>
    <w:rsid w:val="00914145"/>
    <w:rsid w:val="0091424A"/>
    <w:rsid w:val="0091499A"/>
    <w:rsid w:val="00914D82"/>
    <w:rsid w:val="009150A9"/>
    <w:rsid w:val="00915263"/>
    <w:rsid w:val="009153DD"/>
    <w:rsid w:val="00915635"/>
    <w:rsid w:val="00915A86"/>
    <w:rsid w:val="00915BDF"/>
    <w:rsid w:val="00915C6B"/>
    <w:rsid w:val="00915EC8"/>
    <w:rsid w:val="00915FF0"/>
    <w:rsid w:val="0091600F"/>
    <w:rsid w:val="009162C9"/>
    <w:rsid w:val="0091642B"/>
    <w:rsid w:val="00916661"/>
    <w:rsid w:val="00916863"/>
    <w:rsid w:val="00916D41"/>
    <w:rsid w:val="00916D58"/>
    <w:rsid w:val="00916ED1"/>
    <w:rsid w:val="0091711B"/>
    <w:rsid w:val="00917388"/>
    <w:rsid w:val="009179B2"/>
    <w:rsid w:val="00917B2A"/>
    <w:rsid w:val="00917D3C"/>
    <w:rsid w:val="0092005F"/>
    <w:rsid w:val="00920139"/>
    <w:rsid w:val="00920A9A"/>
    <w:rsid w:val="00920B7E"/>
    <w:rsid w:val="00920FF5"/>
    <w:rsid w:val="009211FA"/>
    <w:rsid w:val="00921CEE"/>
    <w:rsid w:val="00921CF5"/>
    <w:rsid w:val="00921E64"/>
    <w:rsid w:val="00921F87"/>
    <w:rsid w:val="009222FB"/>
    <w:rsid w:val="0092234E"/>
    <w:rsid w:val="00922B0E"/>
    <w:rsid w:val="00922CC7"/>
    <w:rsid w:val="00922DF0"/>
    <w:rsid w:val="009244D3"/>
    <w:rsid w:val="009248DB"/>
    <w:rsid w:val="00925407"/>
    <w:rsid w:val="0092546D"/>
    <w:rsid w:val="0092565D"/>
    <w:rsid w:val="0092569C"/>
    <w:rsid w:val="00925A9E"/>
    <w:rsid w:val="00925FBE"/>
    <w:rsid w:val="00926098"/>
    <w:rsid w:val="00926636"/>
    <w:rsid w:val="009266E8"/>
    <w:rsid w:val="0092777F"/>
    <w:rsid w:val="00927AE8"/>
    <w:rsid w:val="00930115"/>
    <w:rsid w:val="0093055A"/>
    <w:rsid w:val="00930698"/>
    <w:rsid w:val="009306B2"/>
    <w:rsid w:val="00930799"/>
    <w:rsid w:val="00930CCB"/>
    <w:rsid w:val="00930EA1"/>
    <w:rsid w:val="009310E2"/>
    <w:rsid w:val="0093117A"/>
    <w:rsid w:val="009312D0"/>
    <w:rsid w:val="00931892"/>
    <w:rsid w:val="00931913"/>
    <w:rsid w:val="00931C8F"/>
    <w:rsid w:val="00931EB8"/>
    <w:rsid w:val="00931F44"/>
    <w:rsid w:val="009320D9"/>
    <w:rsid w:val="00932170"/>
    <w:rsid w:val="00932209"/>
    <w:rsid w:val="0093220A"/>
    <w:rsid w:val="009322C2"/>
    <w:rsid w:val="00932A68"/>
    <w:rsid w:val="00933225"/>
    <w:rsid w:val="0093325A"/>
    <w:rsid w:val="009335E4"/>
    <w:rsid w:val="009336B0"/>
    <w:rsid w:val="009338DE"/>
    <w:rsid w:val="0093396D"/>
    <w:rsid w:val="00933DDC"/>
    <w:rsid w:val="00933FC4"/>
    <w:rsid w:val="00934214"/>
    <w:rsid w:val="00934416"/>
    <w:rsid w:val="009344FD"/>
    <w:rsid w:val="00934585"/>
    <w:rsid w:val="0093521F"/>
    <w:rsid w:val="00935600"/>
    <w:rsid w:val="00935E70"/>
    <w:rsid w:val="009368FB"/>
    <w:rsid w:val="00936CF5"/>
    <w:rsid w:val="00936EE3"/>
    <w:rsid w:val="00937028"/>
    <w:rsid w:val="0093713A"/>
    <w:rsid w:val="009375FD"/>
    <w:rsid w:val="0093779C"/>
    <w:rsid w:val="009403BC"/>
    <w:rsid w:val="0094088E"/>
    <w:rsid w:val="00940B6F"/>
    <w:rsid w:val="00940C13"/>
    <w:rsid w:val="009410D0"/>
    <w:rsid w:val="0094122C"/>
    <w:rsid w:val="00941F38"/>
    <w:rsid w:val="00941F7A"/>
    <w:rsid w:val="009420F1"/>
    <w:rsid w:val="009422B2"/>
    <w:rsid w:val="0094252F"/>
    <w:rsid w:val="00943279"/>
    <w:rsid w:val="00944562"/>
    <w:rsid w:val="00944563"/>
    <w:rsid w:val="00944636"/>
    <w:rsid w:val="0094478A"/>
    <w:rsid w:val="00944E0E"/>
    <w:rsid w:val="00944EA6"/>
    <w:rsid w:val="00944EA7"/>
    <w:rsid w:val="00945C59"/>
    <w:rsid w:val="00945E1F"/>
    <w:rsid w:val="00946787"/>
    <w:rsid w:val="00946C47"/>
    <w:rsid w:val="00947255"/>
    <w:rsid w:val="0094725C"/>
    <w:rsid w:val="00947918"/>
    <w:rsid w:val="00947E34"/>
    <w:rsid w:val="00950034"/>
    <w:rsid w:val="0095062A"/>
    <w:rsid w:val="00950DD6"/>
    <w:rsid w:val="0095138F"/>
    <w:rsid w:val="00951916"/>
    <w:rsid w:val="00951B9D"/>
    <w:rsid w:val="00951DA2"/>
    <w:rsid w:val="00951F03"/>
    <w:rsid w:val="00952DE8"/>
    <w:rsid w:val="00953A3B"/>
    <w:rsid w:val="00953C7F"/>
    <w:rsid w:val="00953D25"/>
    <w:rsid w:val="009540B0"/>
    <w:rsid w:val="00954B9A"/>
    <w:rsid w:val="009550DA"/>
    <w:rsid w:val="00955633"/>
    <w:rsid w:val="009556AB"/>
    <w:rsid w:val="00955967"/>
    <w:rsid w:val="00955A32"/>
    <w:rsid w:val="00956556"/>
    <w:rsid w:val="00956CEF"/>
    <w:rsid w:val="009578AF"/>
    <w:rsid w:val="00957E5D"/>
    <w:rsid w:val="00960462"/>
    <w:rsid w:val="00960535"/>
    <w:rsid w:val="00960A1E"/>
    <w:rsid w:val="00960CB0"/>
    <w:rsid w:val="009613BF"/>
    <w:rsid w:val="009613D3"/>
    <w:rsid w:val="0096150D"/>
    <w:rsid w:val="00961A83"/>
    <w:rsid w:val="00961C36"/>
    <w:rsid w:val="00962626"/>
    <w:rsid w:val="009626D1"/>
    <w:rsid w:val="00962C95"/>
    <w:rsid w:val="009637BF"/>
    <w:rsid w:val="00963A84"/>
    <w:rsid w:val="00963C37"/>
    <w:rsid w:val="00963CC3"/>
    <w:rsid w:val="00964035"/>
    <w:rsid w:val="0096478B"/>
    <w:rsid w:val="0096482D"/>
    <w:rsid w:val="009648BA"/>
    <w:rsid w:val="00964D8E"/>
    <w:rsid w:val="009651FF"/>
    <w:rsid w:val="00965CBE"/>
    <w:rsid w:val="009661C0"/>
    <w:rsid w:val="009662AA"/>
    <w:rsid w:val="00966548"/>
    <w:rsid w:val="00966B25"/>
    <w:rsid w:val="00967C45"/>
    <w:rsid w:val="00967FF3"/>
    <w:rsid w:val="00970685"/>
    <w:rsid w:val="00970B75"/>
    <w:rsid w:val="00970F48"/>
    <w:rsid w:val="00971738"/>
    <w:rsid w:val="00971F6E"/>
    <w:rsid w:val="00971F93"/>
    <w:rsid w:val="00972042"/>
    <w:rsid w:val="0097205E"/>
    <w:rsid w:val="00972898"/>
    <w:rsid w:val="00972902"/>
    <w:rsid w:val="00972D0C"/>
    <w:rsid w:val="00972DA1"/>
    <w:rsid w:val="00972E7E"/>
    <w:rsid w:val="00973E50"/>
    <w:rsid w:val="0097432B"/>
    <w:rsid w:val="00974662"/>
    <w:rsid w:val="00974B27"/>
    <w:rsid w:val="00974E3A"/>
    <w:rsid w:val="0097538E"/>
    <w:rsid w:val="00976074"/>
    <w:rsid w:val="009761C4"/>
    <w:rsid w:val="009763BF"/>
    <w:rsid w:val="00976DF3"/>
    <w:rsid w:val="009775ED"/>
    <w:rsid w:val="00977712"/>
    <w:rsid w:val="00977856"/>
    <w:rsid w:val="00977C08"/>
    <w:rsid w:val="00980C18"/>
    <w:rsid w:val="00981135"/>
    <w:rsid w:val="00981231"/>
    <w:rsid w:val="00981554"/>
    <w:rsid w:val="009819DE"/>
    <w:rsid w:val="00981D10"/>
    <w:rsid w:val="00981E08"/>
    <w:rsid w:val="00981F44"/>
    <w:rsid w:val="00982784"/>
    <w:rsid w:val="00982FEB"/>
    <w:rsid w:val="009831E4"/>
    <w:rsid w:val="00983226"/>
    <w:rsid w:val="009832C7"/>
    <w:rsid w:val="009836B0"/>
    <w:rsid w:val="0098374B"/>
    <w:rsid w:val="00983AE6"/>
    <w:rsid w:val="00983CA4"/>
    <w:rsid w:val="009848D4"/>
    <w:rsid w:val="0098496D"/>
    <w:rsid w:val="00984C33"/>
    <w:rsid w:val="009855A3"/>
    <w:rsid w:val="009859B8"/>
    <w:rsid w:val="00985E3D"/>
    <w:rsid w:val="00985EC9"/>
    <w:rsid w:val="00986C27"/>
    <w:rsid w:val="00987276"/>
    <w:rsid w:val="0098747E"/>
    <w:rsid w:val="00987503"/>
    <w:rsid w:val="009878AD"/>
    <w:rsid w:val="009878FA"/>
    <w:rsid w:val="00987B15"/>
    <w:rsid w:val="00987D09"/>
    <w:rsid w:val="00987D28"/>
    <w:rsid w:val="00990235"/>
    <w:rsid w:val="009905EA"/>
    <w:rsid w:val="009906A7"/>
    <w:rsid w:val="00990B6B"/>
    <w:rsid w:val="009914FE"/>
    <w:rsid w:val="009918CB"/>
    <w:rsid w:val="00992414"/>
    <w:rsid w:val="009925CC"/>
    <w:rsid w:val="00992D32"/>
    <w:rsid w:val="00993075"/>
    <w:rsid w:val="00993DA5"/>
    <w:rsid w:val="00994307"/>
    <w:rsid w:val="0099494E"/>
    <w:rsid w:val="009949CB"/>
    <w:rsid w:val="00994B54"/>
    <w:rsid w:val="00994ED0"/>
    <w:rsid w:val="00994F7B"/>
    <w:rsid w:val="00994FB5"/>
    <w:rsid w:val="0099565F"/>
    <w:rsid w:val="00995985"/>
    <w:rsid w:val="009959F9"/>
    <w:rsid w:val="00995EA8"/>
    <w:rsid w:val="00995FEA"/>
    <w:rsid w:val="0099661F"/>
    <w:rsid w:val="009968A0"/>
    <w:rsid w:val="00997123"/>
    <w:rsid w:val="00997243"/>
    <w:rsid w:val="009976FA"/>
    <w:rsid w:val="009A03D0"/>
    <w:rsid w:val="009A08EB"/>
    <w:rsid w:val="009A0C9C"/>
    <w:rsid w:val="009A0CA7"/>
    <w:rsid w:val="009A0E9B"/>
    <w:rsid w:val="009A0EBA"/>
    <w:rsid w:val="009A1013"/>
    <w:rsid w:val="009A14F0"/>
    <w:rsid w:val="009A2194"/>
    <w:rsid w:val="009A2A02"/>
    <w:rsid w:val="009A2FE6"/>
    <w:rsid w:val="009A3494"/>
    <w:rsid w:val="009A3A0C"/>
    <w:rsid w:val="009A3A69"/>
    <w:rsid w:val="009A421F"/>
    <w:rsid w:val="009A4DF1"/>
    <w:rsid w:val="009A4E5F"/>
    <w:rsid w:val="009A4FB8"/>
    <w:rsid w:val="009A51EE"/>
    <w:rsid w:val="009A52C3"/>
    <w:rsid w:val="009A600E"/>
    <w:rsid w:val="009A631C"/>
    <w:rsid w:val="009A6424"/>
    <w:rsid w:val="009A652D"/>
    <w:rsid w:val="009A68C7"/>
    <w:rsid w:val="009A6A42"/>
    <w:rsid w:val="009A6C95"/>
    <w:rsid w:val="009A7251"/>
    <w:rsid w:val="009A72A4"/>
    <w:rsid w:val="009A73E0"/>
    <w:rsid w:val="009A7597"/>
    <w:rsid w:val="009A7907"/>
    <w:rsid w:val="009A7FEE"/>
    <w:rsid w:val="009B0058"/>
    <w:rsid w:val="009B04B0"/>
    <w:rsid w:val="009B0572"/>
    <w:rsid w:val="009B102B"/>
    <w:rsid w:val="009B1210"/>
    <w:rsid w:val="009B141D"/>
    <w:rsid w:val="009B164B"/>
    <w:rsid w:val="009B185A"/>
    <w:rsid w:val="009B186F"/>
    <w:rsid w:val="009B1EEA"/>
    <w:rsid w:val="009B20DC"/>
    <w:rsid w:val="009B2324"/>
    <w:rsid w:val="009B2A1C"/>
    <w:rsid w:val="009B2A57"/>
    <w:rsid w:val="009B2DFD"/>
    <w:rsid w:val="009B30E8"/>
    <w:rsid w:val="009B30F3"/>
    <w:rsid w:val="009B3193"/>
    <w:rsid w:val="009B31E6"/>
    <w:rsid w:val="009B32A5"/>
    <w:rsid w:val="009B3B65"/>
    <w:rsid w:val="009B3CFF"/>
    <w:rsid w:val="009B4C67"/>
    <w:rsid w:val="009B5A3A"/>
    <w:rsid w:val="009B5F3B"/>
    <w:rsid w:val="009B6621"/>
    <w:rsid w:val="009B6E84"/>
    <w:rsid w:val="009B70D0"/>
    <w:rsid w:val="009B7286"/>
    <w:rsid w:val="009B7B14"/>
    <w:rsid w:val="009B7D53"/>
    <w:rsid w:val="009C00CB"/>
    <w:rsid w:val="009C0831"/>
    <w:rsid w:val="009C0849"/>
    <w:rsid w:val="009C0F4C"/>
    <w:rsid w:val="009C1001"/>
    <w:rsid w:val="009C1545"/>
    <w:rsid w:val="009C1B6B"/>
    <w:rsid w:val="009C1C1B"/>
    <w:rsid w:val="009C1EE6"/>
    <w:rsid w:val="009C2246"/>
    <w:rsid w:val="009C2925"/>
    <w:rsid w:val="009C306C"/>
    <w:rsid w:val="009C35A5"/>
    <w:rsid w:val="009C3CFB"/>
    <w:rsid w:val="009C3E96"/>
    <w:rsid w:val="009C4221"/>
    <w:rsid w:val="009C471F"/>
    <w:rsid w:val="009C4D49"/>
    <w:rsid w:val="009C5CEC"/>
    <w:rsid w:val="009C5D4A"/>
    <w:rsid w:val="009C604B"/>
    <w:rsid w:val="009C61A8"/>
    <w:rsid w:val="009C6305"/>
    <w:rsid w:val="009C6417"/>
    <w:rsid w:val="009C66CD"/>
    <w:rsid w:val="009C68E2"/>
    <w:rsid w:val="009C6C08"/>
    <w:rsid w:val="009C6FFA"/>
    <w:rsid w:val="009C73FC"/>
    <w:rsid w:val="009C752B"/>
    <w:rsid w:val="009C7A9C"/>
    <w:rsid w:val="009C7BD6"/>
    <w:rsid w:val="009D00E5"/>
    <w:rsid w:val="009D02C1"/>
    <w:rsid w:val="009D08BB"/>
    <w:rsid w:val="009D1138"/>
    <w:rsid w:val="009D12D1"/>
    <w:rsid w:val="009D162D"/>
    <w:rsid w:val="009D17A7"/>
    <w:rsid w:val="009D1CA7"/>
    <w:rsid w:val="009D1E56"/>
    <w:rsid w:val="009D1ED9"/>
    <w:rsid w:val="009D27FB"/>
    <w:rsid w:val="009D2A9A"/>
    <w:rsid w:val="009D2C12"/>
    <w:rsid w:val="009D30D3"/>
    <w:rsid w:val="009D3276"/>
    <w:rsid w:val="009D3290"/>
    <w:rsid w:val="009D3398"/>
    <w:rsid w:val="009D345A"/>
    <w:rsid w:val="009D347C"/>
    <w:rsid w:val="009D349F"/>
    <w:rsid w:val="009D3749"/>
    <w:rsid w:val="009D3DAB"/>
    <w:rsid w:val="009D4419"/>
    <w:rsid w:val="009D4855"/>
    <w:rsid w:val="009D4A80"/>
    <w:rsid w:val="009D4C85"/>
    <w:rsid w:val="009D56BD"/>
    <w:rsid w:val="009D5864"/>
    <w:rsid w:val="009D6143"/>
    <w:rsid w:val="009D65E8"/>
    <w:rsid w:val="009D6AB4"/>
    <w:rsid w:val="009D6CF4"/>
    <w:rsid w:val="009D6FFE"/>
    <w:rsid w:val="009D72C6"/>
    <w:rsid w:val="009D7570"/>
    <w:rsid w:val="009D7AA1"/>
    <w:rsid w:val="009D7C3E"/>
    <w:rsid w:val="009D7E10"/>
    <w:rsid w:val="009D7FAA"/>
    <w:rsid w:val="009E0CAB"/>
    <w:rsid w:val="009E1014"/>
    <w:rsid w:val="009E1179"/>
    <w:rsid w:val="009E1FB7"/>
    <w:rsid w:val="009E2120"/>
    <w:rsid w:val="009E218B"/>
    <w:rsid w:val="009E2292"/>
    <w:rsid w:val="009E229D"/>
    <w:rsid w:val="009E23DA"/>
    <w:rsid w:val="009E26F3"/>
    <w:rsid w:val="009E28DD"/>
    <w:rsid w:val="009E2FF9"/>
    <w:rsid w:val="009E3572"/>
    <w:rsid w:val="009E35F8"/>
    <w:rsid w:val="009E372F"/>
    <w:rsid w:val="009E3B75"/>
    <w:rsid w:val="009E3E19"/>
    <w:rsid w:val="009E4144"/>
    <w:rsid w:val="009E4886"/>
    <w:rsid w:val="009E4E2A"/>
    <w:rsid w:val="009E5BFB"/>
    <w:rsid w:val="009E628C"/>
    <w:rsid w:val="009E68B7"/>
    <w:rsid w:val="009E68DB"/>
    <w:rsid w:val="009E6D88"/>
    <w:rsid w:val="009E7146"/>
    <w:rsid w:val="009E7439"/>
    <w:rsid w:val="009E7615"/>
    <w:rsid w:val="009E7866"/>
    <w:rsid w:val="009E7881"/>
    <w:rsid w:val="009E7932"/>
    <w:rsid w:val="009E7B0E"/>
    <w:rsid w:val="009E7D18"/>
    <w:rsid w:val="009F01B1"/>
    <w:rsid w:val="009F0251"/>
    <w:rsid w:val="009F0696"/>
    <w:rsid w:val="009F08AF"/>
    <w:rsid w:val="009F0F49"/>
    <w:rsid w:val="009F0F9F"/>
    <w:rsid w:val="009F1017"/>
    <w:rsid w:val="009F1EC2"/>
    <w:rsid w:val="009F2257"/>
    <w:rsid w:val="009F2470"/>
    <w:rsid w:val="009F253D"/>
    <w:rsid w:val="009F260D"/>
    <w:rsid w:val="009F3B6A"/>
    <w:rsid w:val="009F4E3F"/>
    <w:rsid w:val="009F509B"/>
    <w:rsid w:val="009F51D1"/>
    <w:rsid w:val="009F57BC"/>
    <w:rsid w:val="009F5A9E"/>
    <w:rsid w:val="009F5E1A"/>
    <w:rsid w:val="009F6008"/>
    <w:rsid w:val="009F62BC"/>
    <w:rsid w:val="009F648F"/>
    <w:rsid w:val="009F68C2"/>
    <w:rsid w:val="009F6927"/>
    <w:rsid w:val="009F6B68"/>
    <w:rsid w:val="009F78D2"/>
    <w:rsid w:val="00A0014E"/>
    <w:rsid w:val="00A001C1"/>
    <w:rsid w:val="00A00455"/>
    <w:rsid w:val="00A00756"/>
    <w:rsid w:val="00A00AB6"/>
    <w:rsid w:val="00A00B42"/>
    <w:rsid w:val="00A00D54"/>
    <w:rsid w:val="00A01287"/>
    <w:rsid w:val="00A01FA9"/>
    <w:rsid w:val="00A02515"/>
    <w:rsid w:val="00A02A28"/>
    <w:rsid w:val="00A02CD8"/>
    <w:rsid w:val="00A02DAE"/>
    <w:rsid w:val="00A031E2"/>
    <w:rsid w:val="00A033D8"/>
    <w:rsid w:val="00A034D7"/>
    <w:rsid w:val="00A036DE"/>
    <w:rsid w:val="00A03D6A"/>
    <w:rsid w:val="00A05575"/>
    <w:rsid w:val="00A05A79"/>
    <w:rsid w:val="00A05EDC"/>
    <w:rsid w:val="00A05F1C"/>
    <w:rsid w:val="00A05F5D"/>
    <w:rsid w:val="00A06131"/>
    <w:rsid w:val="00A067D4"/>
    <w:rsid w:val="00A069C7"/>
    <w:rsid w:val="00A069E1"/>
    <w:rsid w:val="00A06B39"/>
    <w:rsid w:val="00A070B9"/>
    <w:rsid w:val="00A07262"/>
    <w:rsid w:val="00A07596"/>
    <w:rsid w:val="00A0768C"/>
    <w:rsid w:val="00A07EF1"/>
    <w:rsid w:val="00A10ABE"/>
    <w:rsid w:val="00A11085"/>
    <w:rsid w:val="00A110B7"/>
    <w:rsid w:val="00A1137E"/>
    <w:rsid w:val="00A118A3"/>
    <w:rsid w:val="00A1195A"/>
    <w:rsid w:val="00A1199D"/>
    <w:rsid w:val="00A11A43"/>
    <w:rsid w:val="00A11A95"/>
    <w:rsid w:val="00A11AEF"/>
    <w:rsid w:val="00A11B02"/>
    <w:rsid w:val="00A11C32"/>
    <w:rsid w:val="00A126C4"/>
    <w:rsid w:val="00A12924"/>
    <w:rsid w:val="00A12A72"/>
    <w:rsid w:val="00A12CE2"/>
    <w:rsid w:val="00A12EE9"/>
    <w:rsid w:val="00A13213"/>
    <w:rsid w:val="00A133B5"/>
    <w:rsid w:val="00A1361A"/>
    <w:rsid w:val="00A13874"/>
    <w:rsid w:val="00A13A5F"/>
    <w:rsid w:val="00A13C17"/>
    <w:rsid w:val="00A13C53"/>
    <w:rsid w:val="00A14180"/>
    <w:rsid w:val="00A1418E"/>
    <w:rsid w:val="00A1452B"/>
    <w:rsid w:val="00A14556"/>
    <w:rsid w:val="00A1468D"/>
    <w:rsid w:val="00A14B21"/>
    <w:rsid w:val="00A14E78"/>
    <w:rsid w:val="00A15128"/>
    <w:rsid w:val="00A1585C"/>
    <w:rsid w:val="00A15952"/>
    <w:rsid w:val="00A15DFF"/>
    <w:rsid w:val="00A15F05"/>
    <w:rsid w:val="00A16069"/>
    <w:rsid w:val="00A160B3"/>
    <w:rsid w:val="00A16260"/>
    <w:rsid w:val="00A16459"/>
    <w:rsid w:val="00A1783E"/>
    <w:rsid w:val="00A17B2E"/>
    <w:rsid w:val="00A17B6F"/>
    <w:rsid w:val="00A17CA5"/>
    <w:rsid w:val="00A17F07"/>
    <w:rsid w:val="00A20293"/>
    <w:rsid w:val="00A2040D"/>
    <w:rsid w:val="00A20517"/>
    <w:rsid w:val="00A21547"/>
    <w:rsid w:val="00A219C7"/>
    <w:rsid w:val="00A21C92"/>
    <w:rsid w:val="00A21D84"/>
    <w:rsid w:val="00A221A2"/>
    <w:rsid w:val="00A22266"/>
    <w:rsid w:val="00A2244B"/>
    <w:rsid w:val="00A22753"/>
    <w:rsid w:val="00A229FB"/>
    <w:rsid w:val="00A238F0"/>
    <w:rsid w:val="00A23AE6"/>
    <w:rsid w:val="00A240F4"/>
    <w:rsid w:val="00A242C3"/>
    <w:rsid w:val="00A24375"/>
    <w:rsid w:val="00A24423"/>
    <w:rsid w:val="00A24980"/>
    <w:rsid w:val="00A250AD"/>
    <w:rsid w:val="00A2517A"/>
    <w:rsid w:val="00A254C2"/>
    <w:rsid w:val="00A25561"/>
    <w:rsid w:val="00A25574"/>
    <w:rsid w:val="00A25602"/>
    <w:rsid w:val="00A25799"/>
    <w:rsid w:val="00A25A52"/>
    <w:rsid w:val="00A25B06"/>
    <w:rsid w:val="00A2638B"/>
    <w:rsid w:val="00A26488"/>
    <w:rsid w:val="00A26705"/>
    <w:rsid w:val="00A268A6"/>
    <w:rsid w:val="00A268DC"/>
    <w:rsid w:val="00A26AC4"/>
    <w:rsid w:val="00A27572"/>
    <w:rsid w:val="00A279D5"/>
    <w:rsid w:val="00A27AF0"/>
    <w:rsid w:val="00A3035E"/>
    <w:rsid w:val="00A305EE"/>
    <w:rsid w:val="00A30995"/>
    <w:rsid w:val="00A30DD6"/>
    <w:rsid w:val="00A315F1"/>
    <w:rsid w:val="00A31861"/>
    <w:rsid w:val="00A31E95"/>
    <w:rsid w:val="00A31E9B"/>
    <w:rsid w:val="00A32764"/>
    <w:rsid w:val="00A3291B"/>
    <w:rsid w:val="00A32AA2"/>
    <w:rsid w:val="00A32D69"/>
    <w:rsid w:val="00A331CF"/>
    <w:rsid w:val="00A337E1"/>
    <w:rsid w:val="00A33E06"/>
    <w:rsid w:val="00A33E97"/>
    <w:rsid w:val="00A33F12"/>
    <w:rsid w:val="00A34071"/>
    <w:rsid w:val="00A345DE"/>
    <w:rsid w:val="00A34D96"/>
    <w:rsid w:val="00A3561F"/>
    <w:rsid w:val="00A35635"/>
    <w:rsid w:val="00A356AF"/>
    <w:rsid w:val="00A3604B"/>
    <w:rsid w:val="00A3656A"/>
    <w:rsid w:val="00A366EB"/>
    <w:rsid w:val="00A36DDE"/>
    <w:rsid w:val="00A379A2"/>
    <w:rsid w:val="00A37ED9"/>
    <w:rsid w:val="00A4014C"/>
    <w:rsid w:val="00A409E0"/>
    <w:rsid w:val="00A40B58"/>
    <w:rsid w:val="00A41225"/>
    <w:rsid w:val="00A41956"/>
    <w:rsid w:val="00A41D92"/>
    <w:rsid w:val="00A4205E"/>
    <w:rsid w:val="00A42636"/>
    <w:rsid w:val="00A42FB6"/>
    <w:rsid w:val="00A4370E"/>
    <w:rsid w:val="00A4375E"/>
    <w:rsid w:val="00A44068"/>
    <w:rsid w:val="00A44200"/>
    <w:rsid w:val="00A448BC"/>
    <w:rsid w:val="00A44ADA"/>
    <w:rsid w:val="00A44C9E"/>
    <w:rsid w:val="00A4524D"/>
    <w:rsid w:val="00A452FE"/>
    <w:rsid w:val="00A45A7D"/>
    <w:rsid w:val="00A45C02"/>
    <w:rsid w:val="00A45DF6"/>
    <w:rsid w:val="00A4652B"/>
    <w:rsid w:val="00A4704A"/>
    <w:rsid w:val="00A470FA"/>
    <w:rsid w:val="00A47103"/>
    <w:rsid w:val="00A4789B"/>
    <w:rsid w:val="00A4791E"/>
    <w:rsid w:val="00A47954"/>
    <w:rsid w:val="00A47AA4"/>
    <w:rsid w:val="00A47DAE"/>
    <w:rsid w:val="00A505AF"/>
    <w:rsid w:val="00A505B8"/>
    <w:rsid w:val="00A50A3A"/>
    <w:rsid w:val="00A50B09"/>
    <w:rsid w:val="00A50C9A"/>
    <w:rsid w:val="00A50EF7"/>
    <w:rsid w:val="00A50EFB"/>
    <w:rsid w:val="00A50F65"/>
    <w:rsid w:val="00A50FAA"/>
    <w:rsid w:val="00A5199D"/>
    <w:rsid w:val="00A51FD6"/>
    <w:rsid w:val="00A52566"/>
    <w:rsid w:val="00A529DB"/>
    <w:rsid w:val="00A52CF8"/>
    <w:rsid w:val="00A52DFB"/>
    <w:rsid w:val="00A5307A"/>
    <w:rsid w:val="00A53138"/>
    <w:rsid w:val="00A5331F"/>
    <w:rsid w:val="00A53335"/>
    <w:rsid w:val="00A534D0"/>
    <w:rsid w:val="00A53716"/>
    <w:rsid w:val="00A539F7"/>
    <w:rsid w:val="00A53D7C"/>
    <w:rsid w:val="00A540B0"/>
    <w:rsid w:val="00A549A1"/>
    <w:rsid w:val="00A55368"/>
    <w:rsid w:val="00A55D50"/>
    <w:rsid w:val="00A56E6B"/>
    <w:rsid w:val="00A57468"/>
    <w:rsid w:val="00A57685"/>
    <w:rsid w:val="00A57C53"/>
    <w:rsid w:val="00A57F0C"/>
    <w:rsid w:val="00A605B6"/>
    <w:rsid w:val="00A6082B"/>
    <w:rsid w:val="00A61164"/>
    <w:rsid w:val="00A6135C"/>
    <w:rsid w:val="00A618AB"/>
    <w:rsid w:val="00A61BB0"/>
    <w:rsid w:val="00A61BC2"/>
    <w:rsid w:val="00A61BD4"/>
    <w:rsid w:val="00A62165"/>
    <w:rsid w:val="00A6280C"/>
    <w:rsid w:val="00A62BBF"/>
    <w:rsid w:val="00A62BD8"/>
    <w:rsid w:val="00A62C6C"/>
    <w:rsid w:val="00A6358D"/>
    <w:rsid w:val="00A636BA"/>
    <w:rsid w:val="00A641A6"/>
    <w:rsid w:val="00A64680"/>
    <w:rsid w:val="00A64948"/>
    <w:rsid w:val="00A64B15"/>
    <w:rsid w:val="00A64DBA"/>
    <w:rsid w:val="00A65030"/>
    <w:rsid w:val="00A650D5"/>
    <w:rsid w:val="00A65341"/>
    <w:rsid w:val="00A6558A"/>
    <w:rsid w:val="00A65C36"/>
    <w:rsid w:val="00A65E68"/>
    <w:rsid w:val="00A65EF3"/>
    <w:rsid w:val="00A6667B"/>
    <w:rsid w:val="00A66A32"/>
    <w:rsid w:val="00A66C8E"/>
    <w:rsid w:val="00A673E4"/>
    <w:rsid w:val="00A6766E"/>
    <w:rsid w:val="00A67850"/>
    <w:rsid w:val="00A67C88"/>
    <w:rsid w:val="00A67D36"/>
    <w:rsid w:val="00A704EF"/>
    <w:rsid w:val="00A71491"/>
    <w:rsid w:val="00A71821"/>
    <w:rsid w:val="00A718BC"/>
    <w:rsid w:val="00A71B1D"/>
    <w:rsid w:val="00A71D1E"/>
    <w:rsid w:val="00A72185"/>
    <w:rsid w:val="00A72244"/>
    <w:rsid w:val="00A728DB"/>
    <w:rsid w:val="00A72A5A"/>
    <w:rsid w:val="00A73A69"/>
    <w:rsid w:val="00A73C11"/>
    <w:rsid w:val="00A7447E"/>
    <w:rsid w:val="00A74616"/>
    <w:rsid w:val="00A7483F"/>
    <w:rsid w:val="00A74AB0"/>
    <w:rsid w:val="00A74B2F"/>
    <w:rsid w:val="00A74FA4"/>
    <w:rsid w:val="00A7505C"/>
    <w:rsid w:val="00A754AF"/>
    <w:rsid w:val="00A75C17"/>
    <w:rsid w:val="00A75E97"/>
    <w:rsid w:val="00A7605B"/>
    <w:rsid w:val="00A76095"/>
    <w:rsid w:val="00A76127"/>
    <w:rsid w:val="00A761D5"/>
    <w:rsid w:val="00A76400"/>
    <w:rsid w:val="00A76453"/>
    <w:rsid w:val="00A76936"/>
    <w:rsid w:val="00A76C36"/>
    <w:rsid w:val="00A76EB9"/>
    <w:rsid w:val="00A770A3"/>
    <w:rsid w:val="00A772A3"/>
    <w:rsid w:val="00A772E3"/>
    <w:rsid w:val="00A7750A"/>
    <w:rsid w:val="00A7785A"/>
    <w:rsid w:val="00A77B6F"/>
    <w:rsid w:val="00A80232"/>
    <w:rsid w:val="00A80BDE"/>
    <w:rsid w:val="00A80D3B"/>
    <w:rsid w:val="00A8104D"/>
    <w:rsid w:val="00A812C1"/>
    <w:rsid w:val="00A816F0"/>
    <w:rsid w:val="00A817DB"/>
    <w:rsid w:val="00A81BA8"/>
    <w:rsid w:val="00A81C1C"/>
    <w:rsid w:val="00A81F74"/>
    <w:rsid w:val="00A81F92"/>
    <w:rsid w:val="00A82553"/>
    <w:rsid w:val="00A827B6"/>
    <w:rsid w:val="00A827EB"/>
    <w:rsid w:val="00A82BC1"/>
    <w:rsid w:val="00A830A6"/>
    <w:rsid w:val="00A83AC4"/>
    <w:rsid w:val="00A846D0"/>
    <w:rsid w:val="00A84CDB"/>
    <w:rsid w:val="00A84E26"/>
    <w:rsid w:val="00A85745"/>
    <w:rsid w:val="00A85C27"/>
    <w:rsid w:val="00A86758"/>
    <w:rsid w:val="00A86A21"/>
    <w:rsid w:val="00A870B4"/>
    <w:rsid w:val="00A9005B"/>
    <w:rsid w:val="00A909DB"/>
    <w:rsid w:val="00A90C4E"/>
    <w:rsid w:val="00A90D26"/>
    <w:rsid w:val="00A90DAD"/>
    <w:rsid w:val="00A90F5B"/>
    <w:rsid w:val="00A91300"/>
    <w:rsid w:val="00A91324"/>
    <w:rsid w:val="00A9152D"/>
    <w:rsid w:val="00A915C7"/>
    <w:rsid w:val="00A91BE2"/>
    <w:rsid w:val="00A929D2"/>
    <w:rsid w:val="00A92C08"/>
    <w:rsid w:val="00A93970"/>
    <w:rsid w:val="00A93B5F"/>
    <w:rsid w:val="00A94453"/>
    <w:rsid w:val="00A94739"/>
    <w:rsid w:val="00A94825"/>
    <w:rsid w:val="00A94D21"/>
    <w:rsid w:val="00A94E52"/>
    <w:rsid w:val="00A95057"/>
    <w:rsid w:val="00A953FD"/>
    <w:rsid w:val="00A95501"/>
    <w:rsid w:val="00A9567F"/>
    <w:rsid w:val="00A9589E"/>
    <w:rsid w:val="00A95B9E"/>
    <w:rsid w:val="00A95CB9"/>
    <w:rsid w:val="00A95F4A"/>
    <w:rsid w:val="00A967C1"/>
    <w:rsid w:val="00A967D8"/>
    <w:rsid w:val="00A97165"/>
    <w:rsid w:val="00A972BF"/>
    <w:rsid w:val="00AA02BD"/>
    <w:rsid w:val="00AA0AD7"/>
    <w:rsid w:val="00AA10FE"/>
    <w:rsid w:val="00AA1224"/>
    <w:rsid w:val="00AA1893"/>
    <w:rsid w:val="00AA1FBE"/>
    <w:rsid w:val="00AA23DF"/>
    <w:rsid w:val="00AA24B6"/>
    <w:rsid w:val="00AA2517"/>
    <w:rsid w:val="00AA2DBA"/>
    <w:rsid w:val="00AA2E99"/>
    <w:rsid w:val="00AA3493"/>
    <w:rsid w:val="00AA37A3"/>
    <w:rsid w:val="00AA3EAC"/>
    <w:rsid w:val="00AA3EB4"/>
    <w:rsid w:val="00AA4676"/>
    <w:rsid w:val="00AA4B12"/>
    <w:rsid w:val="00AA4D54"/>
    <w:rsid w:val="00AA51C5"/>
    <w:rsid w:val="00AA5CEA"/>
    <w:rsid w:val="00AA5D25"/>
    <w:rsid w:val="00AA6005"/>
    <w:rsid w:val="00AA64F3"/>
    <w:rsid w:val="00AA6D61"/>
    <w:rsid w:val="00AA705F"/>
    <w:rsid w:val="00AA74D4"/>
    <w:rsid w:val="00AA78F3"/>
    <w:rsid w:val="00AA7A3F"/>
    <w:rsid w:val="00AB0134"/>
    <w:rsid w:val="00AB0A04"/>
    <w:rsid w:val="00AB0B2B"/>
    <w:rsid w:val="00AB1156"/>
    <w:rsid w:val="00AB13D7"/>
    <w:rsid w:val="00AB18D7"/>
    <w:rsid w:val="00AB1B8F"/>
    <w:rsid w:val="00AB1C93"/>
    <w:rsid w:val="00AB2150"/>
    <w:rsid w:val="00AB244A"/>
    <w:rsid w:val="00AB2484"/>
    <w:rsid w:val="00AB2D99"/>
    <w:rsid w:val="00AB2F1B"/>
    <w:rsid w:val="00AB413D"/>
    <w:rsid w:val="00AB441F"/>
    <w:rsid w:val="00AB4FFD"/>
    <w:rsid w:val="00AB5047"/>
    <w:rsid w:val="00AB5262"/>
    <w:rsid w:val="00AB5700"/>
    <w:rsid w:val="00AB5738"/>
    <w:rsid w:val="00AB590F"/>
    <w:rsid w:val="00AB5F28"/>
    <w:rsid w:val="00AB6719"/>
    <w:rsid w:val="00AB7ADF"/>
    <w:rsid w:val="00AC066A"/>
    <w:rsid w:val="00AC0813"/>
    <w:rsid w:val="00AC0AFB"/>
    <w:rsid w:val="00AC0FB9"/>
    <w:rsid w:val="00AC11DD"/>
    <w:rsid w:val="00AC1385"/>
    <w:rsid w:val="00AC16E6"/>
    <w:rsid w:val="00AC237D"/>
    <w:rsid w:val="00AC2565"/>
    <w:rsid w:val="00AC2CEB"/>
    <w:rsid w:val="00AC2F64"/>
    <w:rsid w:val="00AC2FB8"/>
    <w:rsid w:val="00AC308C"/>
    <w:rsid w:val="00AC37B8"/>
    <w:rsid w:val="00AC3BAB"/>
    <w:rsid w:val="00AC3E91"/>
    <w:rsid w:val="00AC3FF6"/>
    <w:rsid w:val="00AC41CE"/>
    <w:rsid w:val="00AC41CF"/>
    <w:rsid w:val="00AC42FB"/>
    <w:rsid w:val="00AC453F"/>
    <w:rsid w:val="00AC45DF"/>
    <w:rsid w:val="00AC516F"/>
    <w:rsid w:val="00AC52E9"/>
    <w:rsid w:val="00AC591D"/>
    <w:rsid w:val="00AC654F"/>
    <w:rsid w:val="00AC6A3A"/>
    <w:rsid w:val="00AC6E19"/>
    <w:rsid w:val="00AC74A9"/>
    <w:rsid w:val="00AC799D"/>
    <w:rsid w:val="00AC7F3E"/>
    <w:rsid w:val="00AD0207"/>
    <w:rsid w:val="00AD02C5"/>
    <w:rsid w:val="00AD03B7"/>
    <w:rsid w:val="00AD05E7"/>
    <w:rsid w:val="00AD0BCA"/>
    <w:rsid w:val="00AD134C"/>
    <w:rsid w:val="00AD140F"/>
    <w:rsid w:val="00AD147C"/>
    <w:rsid w:val="00AD1611"/>
    <w:rsid w:val="00AD1799"/>
    <w:rsid w:val="00AD1999"/>
    <w:rsid w:val="00AD21D3"/>
    <w:rsid w:val="00AD246F"/>
    <w:rsid w:val="00AD2536"/>
    <w:rsid w:val="00AD2598"/>
    <w:rsid w:val="00AD3D7F"/>
    <w:rsid w:val="00AD3E9B"/>
    <w:rsid w:val="00AD3FEE"/>
    <w:rsid w:val="00AD41F8"/>
    <w:rsid w:val="00AD4892"/>
    <w:rsid w:val="00AD4F90"/>
    <w:rsid w:val="00AD4FB2"/>
    <w:rsid w:val="00AD5769"/>
    <w:rsid w:val="00AD5E86"/>
    <w:rsid w:val="00AD6095"/>
    <w:rsid w:val="00AD6320"/>
    <w:rsid w:val="00AD63D5"/>
    <w:rsid w:val="00AD68AE"/>
    <w:rsid w:val="00AD6DC7"/>
    <w:rsid w:val="00AD73D3"/>
    <w:rsid w:val="00AD7767"/>
    <w:rsid w:val="00AD7D18"/>
    <w:rsid w:val="00AD7EBD"/>
    <w:rsid w:val="00AD7EF2"/>
    <w:rsid w:val="00AD7F36"/>
    <w:rsid w:val="00AE00E4"/>
    <w:rsid w:val="00AE016A"/>
    <w:rsid w:val="00AE0A1A"/>
    <w:rsid w:val="00AE0A64"/>
    <w:rsid w:val="00AE0DD1"/>
    <w:rsid w:val="00AE0FB0"/>
    <w:rsid w:val="00AE0FF1"/>
    <w:rsid w:val="00AE1235"/>
    <w:rsid w:val="00AE18FE"/>
    <w:rsid w:val="00AE1ABA"/>
    <w:rsid w:val="00AE1C41"/>
    <w:rsid w:val="00AE2533"/>
    <w:rsid w:val="00AE25F8"/>
    <w:rsid w:val="00AE2843"/>
    <w:rsid w:val="00AE2B18"/>
    <w:rsid w:val="00AE2C8B"/>
    <w:rsid w:val="00AE2FAC"/>
    <w:rsid w:val="00AE3000"/>
    <w:rsid w:val="00AE3136"/>
    <w:rsid w:val="00AE3E60"/>
    <w:rsid w:val="00AE3FB9"/>
    <w:rsid w:val="00AE40C7"/>
    <w:rsid w:val="00AE41B8"/>
    <w:rsid w:val="00AE42A6"/>
    <w:rsid w:val="00AE4C37"/>
    <w:rsid w:val="00AE51A5"/>
    <w:rsid w:val="00AE5280"/>
    <w:rsid w:val="00AE541C"/>
    <w:rsid w:val="00AE560E"/>
    <w:rsid w:val="00AE5857"/>
    <w:rsid w:val="00AE5C4F"/>
    <w:rsid w:val="00AE5DFF"/>
    <w:rsid w:val="00AE61CC"/>
    <w:rsid w:val="00AE6AD4"/>
    <w:rsid w:val="00AE6F31"/>
    <w:rsid w:val="00AE72AD"/>
    <w:rsid w:val="00AE746C"/>
    <w:rsid w:val="00AE7544"/>
    <w:rsid w:val="00AE75AF"/>
    <w:rsid w:val="00AE77D9"/>
    <w:rsid w:val="00AE7F6E"/>
    <w:rsid w:val="00AF0668"/>
    <w:rsid w:val="00AF0D18"/>
    <w:rsid w:val="00AF0DB3"/>
    <w:rsid w:val="00AF0E1F"/>
    <w:rsid w:val="00AF1089"/>
    <w:rsid w:val="00AF12FA"/>
    <w:rsid w:val="00AF1438"/>
    <w:rsid w:val="00AF185A"/>
    <w:rsid w:val="00AF191C"/>
    <w:rsid w:val="00AF19F7"/>
    <w:rsid w:val="00AF208E"/>
    <w:rsid w:val="00AF28EA"/>
    <w:rsid w:val="00AF29ED"/>
    <w:rsid w:val="00AF30E4"/>
    <w:rsid w:val="00AF3417"/>
    <w:rsid w:val="00AF34D1"/>
    <w:rsid w:val="00AF3E5F"/>
    <w:rsid w:val="00AF40B2"/>
    <w:rsid w:val="00AF42BF"/>
    <w:rsid w:val="00AF44C2"/>
    <w:rsid w:val="00AF4C79"/>
    <w:rsid w:val="00AF4D26"/>
    <w:rsid w:val="00AF4E0F"/>
    <w:rsid w:val="00AF4EE3"/>
    <w:rsid w:val="00AF5778"/>
    <w:rsid w:val="00AF5977"/>
    <w:rsid w:val="00AF6067"/>
    <w:rsid w:val="00AF614F"/>
    <w:rsid w:val="00AF6A0D"/>
    <w:rsid w:val="00AF6BC7"/>
    <w:rsid w:val="00AF7204"/>
    <w:rsid w:val="00AF7222"/>
    <w:rsid w:val="00AF7595"/>
    <w:rsid w:val="00AF7829"/>
    <w:rsid w:val="00AF7D16"/>
    <w:rsid w:val="00AF7E25"/>
    <w:rsid w:val="00B00224"/>
    <w:rsid w:val="00B0045B"/>
    <w:rsid w:val="00B00B81"/>
    <w:rsid w:val="00B011B6"/>
    <w:rsid w:val="00B01222"/>
    <w:rsid w:val="00B0146F"/>
    <w:rsid w:val="00B01D35"/>
    <w:rsid w:val="00B01F2D"/>
    <w:rsid w:val="00B02B5A"/>
    <w:rsid w:val="00B02D85"/>
    <w:rsid w:val="00B0368A"/>
    <w:rsid w:val="00B0380F"/>
    <w:rsid w:val="00B03B3A"/>
    <w:rsid w:val="00B03C24"/>
    <w:rsid w:val="00B0420E"/>
    <w:rsid w:val="00B0425D"/>
    <w:rsid w:val="00B0426F"/>
    <w:rsid w:val="00B04411"/>
    <w:rsid w:val="00B044B9"/>
    <w:rsid w:val="00B0482D"/>
    <w:rsid w:val="00B04942"/>
    <w:rsid w:val="00B050C7"/>
    <w:rsid w:val="00B05851"/>
    <w:rsid w:val="00B06018"/>
    <w:rsid w:val="00B06297"/>
    <w:rsid w:val="00B0669E"/>
    <w:rsid w:val="00B073A7"/>
    <w:rsid w:val="00B07706"/>
    <w:rsid w:val="00B07A49"/>
    <w:rsid w:val="00B07DA3"/>
    <w:rsid w:val="00B10110"/>
    <w:rsid w:val="00B1016F"/>
    <w:rsid w:val="00B101F5"/>
    <w:rsid w:val="00B10403"/>
    <w:rsid w:val="00B10B41"/>
    <w:rsid w:val="00B11185"/>
    <w:rsid w:val="00B11676"/>
    <w:rsid w:val="00B1168F"/>
    <w:rsid w:val="00B11C03"/>
    <w:rsid w:val="00B11E6B"/>
    <w:rsid w:val="00B1218C"/>
    <w:rsid w:val="00B12C57"/>
    <w:rsid w:val="00B13226"/>
    <w:rsid w:val="00B13A8E"/>
    <w:rsid w:val="00B14685"/>
    <w:rsid w:val="00B151CA"/>
    <w:rsid w:val="00B1521C"/>
    <w:rsid w:val="00B1579B"/>
    <w:rsid w:val="00B158EE"/>
    <w:rsid w:val="00B15D3F"/>
    <w:rsid w:val="00B1642D"/>
    <w:rsid w:val="00B17093"/>
    <w:rsid w:val="00B17759"/>
    <w:rsid w:val="00B178DC"/>
    <w:rsid w:val="00B17CB2"/>
    <w:rsid w:val="00B17F47"/>
    <w:rsid w:val="00B17F66"/>
    <w:rsid w:val="00B20F9B"/>
    <w:rsid w:val="00B21445"/>
    <w:rsid w:val="00B21B10"/>
    <w:rsid w:val="00B21E95"/>
    <w:rsid w:val="00B22015"/>
    <w:rsid w:val="00B2213D"/>
    <w:rsid w:val="00B227DB"/>
    <w:rsid w:val="00B22D77"/>
    <w:rsid w:val="00B232E8"/>
    <w:rsid w:val="00B2330A"/>
    <w:rsid w:val="00B23402"/>
    <w:rsid w:val="00B2351E"/>
    <w:rsid w:val="00B23A16"/>
    <w:rsid w:val="00B23AF5"/>
    <w:rsid w:val="00B23BBD"/>
    <w:rsid w:val="00B240DA"/>
    <w:rsid w:val="00B24771"/>
    <w:rsid w:val="00B24D97"/>
    <w:rsid w:val="00B24EB5"/>
    <w:rsid w:val="00B253D8"/>
    <w:rsid w:val="00B255A1"/>
    <w:rsid w:val="00B255A2"/>
    <w:rsid w:val="00B255FE"/>
    <w:rsid w:val="00B25E98"/>
    <w:rsid w:val="00B26286"/>
    <w:rsid w:val="00B262DD"/>
    <w:rsid w:val="00B26CD2"/>
    <w:rsid w:val="00B270FB"/>
    <w:rsid w:val="00B27D09"/>
    <w:rsid w:val="00B27D59"/>
    <w:rsid w:val="00B27D90"/>
    <w:rsid w:val="00B307FE"/>
    <w:rsid w:val="00B30F39"/>
    <w:rsid w:val="00B31010"/>
    <w:rsid w:val="00B31BEF"/>
    <w:rsid w:val="00B31F88"/>
    <w:rsid w:val="00B33255"/>
    <w:rsid w:val="00B33487"/>
    <w:rsid w:val="00B338AD"/>
    <w:rsid w:val="00B33A10"/>
    <w:rsid w:val="00B33C76"/>
    <w:rsid w:val="00B33DDB"/>
    <w:rsid w:val="00B33F01"/>
    <w:rsid w:val="00B3441C"/>
    <w:rsid w:val="00B34AE6"/>
    <w:rsid w:val="00B34B2D"/>
    <w:rsid w:val="00B34D5E"/>
    <w:rsid w:val="00B34DB5"/>
    <w:rsid w:val="00B35015"/>
    <w:rsid w:val="00B350AF"/>
    <w:rsid w:val="00B352D0"/>
    <w:rsid w:val="00B3532D"/>
    <w:rsid w:val="00B354B6"/>
    <w:rsid w:val="00B3551C"/>
    <w:rsid w:val="00B35523"/>
    <w:rsid w:val="00B356BE"/>
    <w:rsid w:val="00B35DD1"/>
    <w:rsid w:val="00B3655A"/>
    <w:rsid w:val="00B368CE"/>
    <w:rsid w:val="00B40403"/>
    <w:rsid w:val="00B408F6"/>
    <w:rsid w:val="00B415C2"/>
    <w:rsid w:val="00B41CEE"/>
    <w:rsid w:val="00B421F0"/>
    <w:rsid w:val="00B42200"/>
    <w:rsid w:val="00B42BB7"/>
    <w:rsid w:val="00B42CA3"/>
    <w:rsid w:val="00B42D9D"/>
    <w:rsid w:val="00B437DD"/>
    <w:rsid w:val="00B439A1"/>
    <w:rsid w:val="00B43A71"/>
    <w:rsid w:val="00B43BDF"/>
    <w:rsid w:val="00B43E1E"/>
    <w:rsid w:val="00B43E70"/>
    <w:rsid w:val="00B43FA7"/>
    <w:rsid w:val="00B43FB8"/>
    <w:rsid w:val="00B444CE"/>
    <w:rsid w:val="00B44705"/>
    <w:rsid w:val="00B44F09"/>
    <w:rsid w:val="00B45086"/>
    <w:rsid w:val="00B45113"/>
    <w:rsid w:val="00B451D1"/>
    <w:rsid w:val="00B452F9"/>
    <w:rsid w:val="00B45454"/>
    <w:rsid w:val="00B45873"/>
    <w:rsid w:val="00B45AF9"/>
    <w:rsid w:val="00B4650D"/>
    <w:rsid w:val="00B467B4"/>
    <w:rsid w:val="00B46F5D"/>
    <w:rsid w:val="00B474CA"/>
    <w:rsid w:val="00B47A03"/>
    <w:rsid w:val="00B5009A"/>
    <w:rsid w:val="00B500BF"/>
    <w:rsid w:val="00B5041A"/>
    <w:rsid w:val="00B5077D"/>
    <w:rsid w:val="00B50FE0"/>
    <w:rsid w:val="00B51316"/>
    <w:rsid w:val="00B513B3"/>
    <w:rsid w:val="00B516D4"/>
    <w:rsid w:val="00B51775"/>
    <w:rsid w:val="00B51C4C"/>
    <w:rsid w:val="00B51F57"/>
    <w:rsid w:val="00B52111"/>
    <w:rsid w:val="00B5230D"/>
    <w:rsid w:val="00B529A6"/>
    <w:rsid w:val="00B52A44"/>
    <w:rsid w:val="00B53294"/>
    <w:rsid w:val="00B53E55"/>
    <w:rsid w:val="00B541CC"/>
    <w:rsid w:val="00B54907"/>
    <w:rsid w:val="00B54E15"/>
    <w:rsid w:val="00B54F2D"/>
    <w:rsid w:val="00B5565A"/>
    <w:rsid w:val="00B556F0"/>
    <w:rsid w:val="00B55AD1"/>
    <w:rsid w:val="00B55C3C"/>
    <w:rsid w:val="00B55CFD"/>
    <w:rsid w:val="00B55D52"/>
    <w:rsid w:val="00B55F48"/>
    <w:rsid w:val="00B566CB"/>
    <w:rsid w:val="00B567FE"/>
    <w:rsid w:val="00B56C6D"/>
    <w:rsid w:val="00B576D3"/>
    <w:rsid w:val="00B60279"/>
    <w:rsid w:val="00B602FF"/>
    <w:rsid w:val="00B60648"/>
    <w:rsid w:val="00B613AA"/>
    <w:rsid w:val="00B6174C"/>
    <w:rsid w:val="00B61800"/>
    <w:rsid w:val="00B61904"/>
    <w:rsid w:val="00B62845"/>
    <w:rsid w:val="00B62C3C"/>
    <w:rsid w:val="00B63127"/>
    <w:rsid w:val="00B631AF"/>
    <w:rsid w:val="00B63B75"/>
    <w:rsid w:val="00B63BD4"/>
    <w:rsid w:val="00B63E85"/>
    <w:rsid w:val="00B64359"/>
    <w:rsid w:val="00B645C4"/>
    <w:rsid w:val="00B64716"/>
    <w:rsid w:val="00B650C5"/>
    <w:rsid w:val="00B651F4"/>
    <w:rsid w:val="00B653A0"/>
    <w:rsid w:val="00B6541E"/>
    <w:rsid w:val="00B65B56"/>
    <w:rsid w:val="00B65B5F"/>
    <w:rsid w:val="00B65DD7"/>
    <w:rsid w:val="00B65F08"/>
    <w:rsid w:val="00B662E5"/>
    <w:rsid w:val="00B66405"/>
    <w:rsid w:val="00B66690"/>
    <w:rsid w:val="00B66E14"/>
    <w:rsid w:val="00B67034"/>
    <w:rsid w:val="00B673AF"/>
    <w:rsid w:val="00B67B1E"/>
    <w:rsid w:val="00B67B75"/>
    <w:rsid w:val="00B67F4C"/>
    <w:rsid w:val="00B7045E"/>
    <w:rsid w:val="00B70DFB"/>
    <w:rsid w:val="00B70E4C"/>
    <w:rsid w:val="00B71197"/>
    <w:rsid w:val="00B7149B"/>
    <w:rsid w:val="00B719FA"/>
    <w:rsid w:val="00B71A61"/>
    <w:rsid w:val="00B72394"/>
    <w:rsid w:val="00B725E2"/>
    <w:rsid w:val="00B72ABE"/>
    <w:rsid w:val="00B72BD7"/>
    <w:rsid w:val="00B73C0C"/>
    <w:rsid w:val="00B7417A"/>
    <w:rsid w:val="00B746A0"/>
    <w:rsid w:val="00B746AE"/>
    <w:rsid w:val="00B74CED"/>
    <w:rsid w:val="00B7540D"/>
    <w:rsid w:val="00B755D3"/>
    <w:rsid w:val="00B75AD6"/>
    <w:rsid w:val="00B760DE"/>
    <w:rsid w:val="00B7632A"/>
    <w:rsid w:val="00B76371"/>
    <w:rsid w:val="00B76779"/>
    <w:rsid w:val="00B76C63"/>
    <w:rsid w:val="00B76E02"/>
    <w:rsid w:val="00B76FAF"/>
    <w:rsid w:val="00B771EF"/>
    <w:rsid w:val="00B77396"/>
    <w:rsid w:val="00B77B4D"/>
    <w:rsid w:val="00B8006D"/>
    <w:rsid w:val="00B8091C"/>
    <w:rsid w:val="00B80DD2"/>
    <w:rsid w:val="00B819E6"/>
    <w:rsid w:val="00B8228C"/>
    <w:rsid w:val="00B82C7C"/>
    <w:rsid w:val="00B830AD"/>
    <w:rsid w:val="00B83A71"/>
    <w:rsid w:val="00B84026"/>
    <w:rsid w:val="00B840C0"/>
    <w:rsid w:val="00B843F4"/>
    <w:rsid w:val="00B84EEC"/>
    <w:rsid w:val="00B85302"/>
    <w:rsid w:val="00B85E13"/>
    <w:rsid w:val="00B8620A"/>
    <w:rsid w:val="00B8637F"/>
    <w:rsid w:val="00B864F6"/>
    <w:rsid w:val="00B864FF"/>
    <w:rsid w:val="00B86E86"/>
    <w:rsid w:val="00B86EC8"/>
    <w:rsid w:val="00B873EA"/>
    <w:rsid w:val="00B8787F"/>
    <w:rsid w:val="00B879D3"/>
    <w:rsid w:val="00B908FC"/>
    <w:rsid w:val="00B90A98"/>
    <w:rsid w:val="00B90B11"/>
    <w:rsid w:val="00B90C40"/>
    <w:rsid w:val="00B91163"/>
    <w:rsid w:val="00B911B4"/>
    <w:rsid w:val="00B916A3"/>
    <w:rsid w:val="00B916DE"/>
    <w:rsid w:val="00B919C5"/>
    <w:rsid w:val="00B919D1"/>
    <w:rsid w:val="00B91C0E"/>
    <w:rsid w:val="00B926F1"/>
    <w:rsid w:val="00B9378E"/>
    <w:rsid w:val="00B937E1"/>
    <w:rsid w:val="00B93810"/>
    <w:rsid w:val="00B9399E"/>
    <w:rsid w:val="00B940C9"/>
    <w:rsid w:val="00B94312"/>
    <w:rsid w:val="00B94642"/>
    <w:rsid w:val="00B946E0"/>
    <w:rsid w:val="00B9486F"/>
    <w:rsid w:val="00B94A68"/>
    <w:rsid w:val="00B952DC"/>
    <w:rsid w:val="00B957D0"/>
    <w:rsid w:val="00B969F4"/>
    <w:rsid w:val="00B96AB7"/>
    <w:rsid w:val="00B96AC8"/>
    <w:rsid w:val="00B97066"/>
    <w:rsid w:val="00B973EE"/>
    <w:rsid w:val="00B974B7"/>
    <w:rsid w:val="00BA0F49"/>
    <w:rsid w:val="00BA129E"/>
    <w:rsid w:val="00BA18FD"/>
    <w:rsid w:val="00BA1A99"/>
    <w:rsid w:val="00BA1DBB"/>
    <w:rsid w:val="00BA2026"/>
    <w:rsid w:val="00BA23C5"/>
    <w:rsid w:val="00BA25A6"/>
    <w:rsid w:val="00BA2707"/>
    <w:rsid w:val="00BA2A04"/>
    <w:rsid w:val="00BA2C6C"/>
    <w:rsid w:val="00BA2CDF"/>
    <w:rsid w:val="00BA2CFE"/>
    <w:rsid w:val="00BA2E40"/>
    <w:rsid w:val="00BA35F1"/>
    <w:rsid w:val="00BA3606"/>
    <w:rsid w:val="00BA39EE"/>
    <w:rsid w:val="00BA3AF2"/>
    <w:rsid w:val="00BA40FA"/>
    <w:rsid w:val="00BA4347"/>
    <w:rsid w:val="00BA46B6"/>
    <w:rsid w:val="00BA4B88"/>
    <w:rsid w:val="00BA4C89"/>
    <w:rsid w:val="00BA4CAB"/>
    <w:rsid w:val="00BA529A"/>
    <w:rsid w:val="00BA583C"/>
    <w:rsid w:val="00BA59AC"/>
    <w:rsid w:val="00BA59EE"/>
    <w:rsid w:val="00BA5E84"/>
    <w:rsid w:val="00BA6006"/>
    <w:rsid w:val="00BA6419"/>
    <w:rsid w:val="00BA641C"/>
    <w:rsid w:val="00BA6556"/>
    <w:rsid w:val="00BA669F"/>
    <w:rsid w:val="00BA6793"/>
    <w:rsid w:val="00BA688A"/>
    <w:rsid w:val="00BA6C02"/>
    <w:rsid w:val="00BA6C7F"/>
    <w:rsid w:val="00BA6D94"/>
    <w:rsid w:val="00BA7506"/>
    <w:rsid w:val="00BA7645"/>
    <w:rsid w:val="00BA7856"/>
    <w:rsid w:val="00BA79CD"/>
    <w:rsid w:val="00BB0726"/>
    <w:rsid w:val="00BB12DA"/>
    <w:rsid w:val="00BB1B16"/>
    <w:rsid w:val="00BB1B31"/>
    <w:rsid w:val="00BB216C"/>
    <w:rsid w:val="00BB2261"/>
    <w:rsid w:val="00BB2DC2"/>
    <w:rsid w:val="00BB341A"/>
    <w:rsid w:val="00BB3450"/>
    <w:rsid w:val="00BB3567"/>
    <w:rsid w:val="00BB3778"/>
    <w:rsid w:val="00BB3FEA"/>
    <w:rsid w:val="00BB440A"/>
    <w:rsid w:val="00BB4454"/>
    <w:rsid w:val="00BB448D"/>
    <w:rsid w:val="00BB481D"/>
    <w:rsid w:val="00BB4CB8"/>
    <w:rsid w:val="00BB4E5E"/>
    <w:rsid w:val="00BB4E6C"/>
    <w:rsid w:val="00BB5572"/>
    <w:rsid w:val="00BB5BF6"/>
    <w:rsid w:val="00BB6881"/>
    <w:rsid w:val="00BB689D"/>
    <w:rsid w:val="00BB6D03"/>
    <w:rsid w:val="00BB6E0A"/>
    <w:rsid w:val="00BB6EC3"/>
    <w:rsid w:val="00BB6F23"/>
    <w:rsid w:val="00BB75AD"/>
    <w:rsid w:val="00BB7778"/>
    <w:rsid w:val="00BB7998"/>
    <w:rsid w:val="00BB7CA8"/>
    <w:rsid w:val="00BB7EF6"/>
    <w:rsid w:val="00BC0102"/>
    <w:rsid w:val="00BC095A"/>
    <w:rsid w:val="00BC0AF1"/>
    <w:rsid w:val="00BC0CA0"/>
    <w:rsid w:val="00BC1975"/>
    <w:rsid w:val="00BC2036"/>
    <w:rsid w:val="00BC235E"/>
    <w:rsid w:val="00BC23FF"/>
    <w:rsid w:val="00BC25FA"/>
    <w:rsid w:val="00BC36C9"/>
    <w:rsid w:val="00BC3A1B"/>
    <w:rsid w:val="00BC3B33"/>
    <w:rsid w:val="00BC3FE9"/>
    <w:rsid w:val="00BC43AA"/>
    <w:rsid w:val="00BC44B8"/>
    <w:rsid w:val="00BC4631"/>
    <w:rsid w:val="00BC4756"/>
    <w:rsid w:val="00BC4CD0"/>
    <w:rsid w:val="00BC52B6"/>
    <w:rsid w:val="00BC5683"/>
    <w:rsid w:val="00BC5E75"/>
    <w:rsid w:val="00BC633F"/>
    <w:rsid w:val="00BC66BB"/>
    <w:rsid w:val="00BC6BBD"/>
    <w:rsid w:val="00BC77A8"/>
    <w:rsid w:val="00BC78C9"/>
    <w:rsid w:val="00BC7990"/>
    <w:rsid w:val="00BC7AF7"/>
    <w:rsid w:val="00BC7CE0"/>
    <w:rsid w:val="00BC7D82"/>
    <w:rsid w:val="00BC7DE5"/>
    <w:rsid w:val="00BC7DEA"/>
    <w:rsid w:val="00BC7EB2"/>
    <w:rsid w:val="00BD0091"/>
    <w:rsid w:val="00BD00BA"/>
    <w:rsid w:val="00BD027C"/>
    <w:rsid w:val="00BD0523"/>
    <w:rsid w:val="00BD0596"/>
    <w:rsid w:val="00BD0CFC"/>
    <w:rsid w:val="00BD1270"/>
    <w:rsid w:val="00BD132E"/>
    <w:rsid w:val="00BD190E"/>
    <w:rsid w:val="00BD1CE5"/>
    <w:rsid w:val="00BD2813"/>
    <w:rsid w:val="00BD2AE1"/>
    <w:rsid w:val="00BD2CC4"/>
    <w:rsid w:val="00BD2DDF"/>
    <w:rsid w:val="00BD38F7"/>
    <w:rsid w:val="00BD3BD6"/>
    <w:rsid w:val="00BD3DB9"/>
    <w:rsid w:val="00BD3F14"/>
    <w:rsid w:val="00BD3F4A"/>
    <w:rsid w:val="00BD3FC0"/>
    <w:rsid w:val="00BD4155"/>
    <w:rsid w:val="00BD42FE"/>
    <w:rsid w:val="00BD442D"/>
    <w:rsid w:val="00BD4AAA"/>
    <w:rsid w:val="00BD4B58"/>
    <w:rsid w:val="00BD4C1F"/>
    <w:rsid w:val="00BD4F4A"/>
    <w:rsid w:val="00BD6416"/>
    <w:rsid w:val="00BD68FD"/>
    <w:rsid w:val="00BD6AFA"/>
    <w:rsid w:val="00BD6DA6"/>
    <w:rsid w:val="00BD6F05"/>
    <w:rsid w:val="00BD7967"/>
    <w:rsid w:val="00BD7E7B"/>
    <w:rsid w:val="00BE0487"/>
    <w:rsid w:val="00BE0A04"/>
    <w:rsid w:val="00BE0C14"/>
    <w:rsid w:val="00BE0D0C"/>
    <w:rsid w:val="00BE1528"/>
    <w:rsid w:val="00BE16AB"/>
    <w:rsid w:val="00BE1728"/>
    <w:rsid w:val="00BE1EFA"/>
    <w:rsid w:val="00BE2146"/>
    <w:rsid w:val="00BE2265"/>
    <w:rsid w:val="00BE22D8"/>
    <w:rsid w:val="00BE27EE"/>
    <w:rsid w:val="00BE2BC4"/>
    <w:rsid w:val="00BE2FC6"/>
    <w:rsid w:val="00BE359F"/>
    <w:rsid w:val="00BE3988"/>
    <w:rsid w:val="00BE39F9"/>
    <w:rsid w:val="00BE3F80"/>
    <w:rsid w:val="00BE45D5"/>
    <w:rsid w:val="00BE4B5E"/>
    <w:rsid w:val="00BE4E61"/>
    <w:rsid w:val="00BE4E9D"/>
    <w:rsid w:val="00BE510B"/>
    <w:rsid w:val="00BE574F"/>
    <w:rsid w:val="00BE5DAF"/>
    <w:rsid w:val="00BE6CBA"/>
    <w:rsid w:val="00BE7073"/>
    <w:rsid w:val="00BE716D"/>
    <w:rsid w:val="00BE7377"/>
    <w:rsid w:val="00BE7712"/>
    <w:rsid w:val="00BE7983"/>
    <w:rsid w:val="00BF023E"/>
    <w:rsid w:val="00BF050C"/>
    <w:rsid w:val="00BF0750"/>
    <w:rsid w:val="00BF08BF"/>
    <w:rsid w:val="00BF15DB"/>
    <w:rsid w:val="00BF18CC"/>
    <w:rsid w:val="00BF2694"/>
    <w:rsid w:val="00BF26A7"/>
    <w:rsid w:val="00BF2731"/>
    <w:rsid w:val="00BF2EB1"/>
    <w:rsid w:val="00BF2F4C"/>
    <w:rsid w:val="00BF308F"/>
    <w:rsid w:val="00BF32BE"/>
    <w:rsid w:val="00BF3722"/>
    <w:rsid w:val="00BF3C29"/>
    <w:rsid w:val="00BF3FA3"/>
    <w:rsid w:val="00BF451D"/>
    <w:rsid w:val="00BF458D"/>
    <w:rsid w:val="00BF4E01"/>
    <w:rsid w:val="00BF4EDE"/>
    <w:rsid w:val="00BF5945"/>
    <w:rsid w:val="00BF626A"/>
    <w:rsid w:val="00BF64CB"/>
    <w:rsid w:val="00BF6745"/>
    <w:rsid w:val="00BF6850"/>
    <w:rsid w:val="00BF69CF"/>
    <w:rsid w:val="00BF6C3E"/>
    <w:rsid w:val="00BF6F1A"/>
    <w:rsid w:val="00BF73D3"/>
    <w:rsid w:val="00BF7909"/>
    <w:rsid w:val="00BF7A82"/>
    <w:rsid w:val="00BF7B4F"/>
    <w:rsid w:val="00BF7B8A"/>
    <w:rsid w:val="00BF7DFC"/>
    <w:rsid w:val="00C00133"/>
    <w:rsid w:val="00C004CB"/>
    <w:rsid w:val="00C00581"/>
    <w:rsid w:val="00C007F9"/>
    <w:rsid w:val="00C008A6"/>
    <w:rsid w:val="00C00BDB"/>
    <w:rsid w:val="00C00E77"/>
    <w:rsid w:val="00C017FA"/>
    <w:rsid w:val="00C01883"/>
    <w:rsid w:val="00C018BB"/>
    <w:rsid w:val="00C01C2C"/>
    <w:rsid w:val="00C01DEF"/>
    <w:rsid w:val="00C01F05"/>
    <w:rsid w:val="00C02BB9"/>
    <w:rsid w:val="00C02CA3"/>
    <w:rsid w:val="00C02F95"/>
    <w:rsid w:val="00C032CB"/>
    <w:rsid w:val="00C034C1"/>
    <w:rsid w:val="00C03A7F"/>
    <w:rsid w:val="00C03C9A"/>
    <w:rsid w:val="00C046C0"/>
    <w:rsid w:val="00C04715"/>
    <w:rsid w:val="00C049AF"/>
    <w:rsid w:val="00C04D4F"/>
    <w:rsid w:val="00C052A9"/>
    <w:rsid w:val="00C056DF"/>
    <w:rsid w:val="00C06113"/>
    <w:rsid w:val="00C061A2"/>
    <w:rsid w:val="00C061B7"/>
    <w:rsid w:val="00C064B5"/>
    <w:rsid w:val="00C06529"/>
    <w:rsid w:val="00C065D7"/>
    <w:rsid w:val="00C067FF"/>
    <w:rsid w:val="00C0691E"/>
    <w:rsid w:val="00C06A7C"/>
    <w:rsid w:val="00C06E74"/>
    <w:rsid w:val="00C07695"/>
    <w:rsid w:val="00C07842"/>
    <w:rsid w:val="00C0789E"/>
    <w:rsid w:val="00C101E4"/>
    <w:rsid w:val="00C10884"/>
    <w:rsid w:val="00C10C53"/>
    <w:rsid w:val="00C10EB1"/>
    <w:rsid w:val="00C10F69"/>
    <w:rsid w:val="00C11132"/>
    <w:rsid w:val="00C1165F"/>
    <w:rsid w:val="00C11741"/>
    <w:rsid w:val="00C11B26"/>
    <w:rsid w:val="00C11F55"/>
    <w:rsid w:val="00C11FA8"/>
    <w:rsid w:val="00C12089"/>
    <w:rsid w:val="00C121C8"/>
    <w:rsid w:val="00C12528"/>
    <w:rsid w:val="00C12ED6"/>
    <w:rsid w:val="00C12F71"/>
    <w:rsid w:val="00C13126"/>
    <w:rsid w:val="00C13410"/>
    <w:rsid w:val="00C13DDA"/>
    <w:rsid w:val="00C1408F"/>
    <w:rsid w:val="00C14511"/>
    <w:rsid w:val="00C14711"/>
    <w:rsid w:val="00C149FA"/>
    <w:rsid w:val="00C14B28"/>
    <w:rsid w:val="00C15139"/>
    <w:rsid w:val="00C158F1"/>
    <w:rsid w:val="00C15ABC"/>
    <w:rsid w:val="00C15D78"/>
    <w:rsid w:val="00C15E01"/>
    <w:rsid w:val="00C16014"/>
    <w:rsid w:val="00C16233"/>
    <w:rsid w:val="00C16526"/>
    <w:rsid w:val="00C17B78"/>
    <w:rsid w:val="00C17CA5"/>
    <w:rsid w:val="00C17FCA"/>
    <w:rsid w:val="00C20B23"/>
    <w:rsid w:val="00C21066"/>
    <w:rsid w:val="00C210DF"/>
    <w:rsid w:val="00C21659"/>
    <w:rsid w:val="00C217DB"/>
    <w:rsid w:val="00C21A87"/>
    <w:rsid w:val="00C21E4D"/>
    <w:rsid w:val="00C21F7F"/>
    <w:rsid w:val="00C21FA6"/>
    <w:rsid w:val="00C22139"/>
    <w:rsid w:val="00C22C22"/>
    <w:rsid w:val="00C22D80"/>
    <w:rsid w:val="00C2328D"/>
    <w:rsid w:val="00C232EB"/>
    <w:rsid w:val="00C235E0"/>
    <w:rsid w:val="00C23881"/>
    <w:rsid w:val="00C23B03"/>
    <w:rsid w:val="00C24525"/>
    <w:rsid w:val="00C24DB6"/>
    <w:rsid w:val="00C24ECF"/>
    <w:rsid w:val="00C24FFD"/>
    <w:rsid w:val="00C250F6"/>
    <w:rsid w:val="00C2522C"/>
    <w:rsid w:val="00C255FD"/>
    <w:rsid w:val="00C2585C"/>
    <w:rsid w:val="00C2587B"/>
    <w:rsid w:val="00C25A40"/>
    <w:rsid w:val="00C261E4"/>
    <w:rsid w:val="00C2648E"/>
    <w:rsid w:val="00C264CF"/>
    <w:rsid w:val="00C26708"/>
    <w:rsid w:val="00C2688D"/>
    <w:rsid w:val="00C26C68"/>
    <w:rsid w:val="00C26E7E"/>
    <w:rsid w:val="00C2706A"/>
    <w:rsid w:val="00C27071"/>
    <w:rsid w:val="00C274F2"/>
    <w:rsid w:val="00C27DB1"/>
    <w:rsid w:val="00C27F5F"/>
    <w:rsid w:val="00C30447"/>
    <w:rsid w:val="00C306BC"/>
    <w:rsid w:val="00C3104D"/>
    <w:rsid w:val="00C31237"/>
    <w:rsid w:val="00C31263"/>
    <w:rsid w:val="00C3172A"/>
    <w:rsid w:val="00C320C8"/>
    <w:rsid w:val="00C3241C"/>
    <w:rsid w:val="00C3284B"/>
    <w:rsid w:val="00C328AE"/>
    <w:rsid w:val="00C328C2"/>
    <w:rsid w:val="00C32B98"/>
    <w:rsid w:val="00C32BD7"/>
    <w:rsid w:val="00C32EB7"/>
    <w:rsid w:val="00C337D1"/>
    <w:rsid w:val="00C339E4"/>
    <w:rsid w:val="00C33C62"/>
    <w:rsid w:val="00C33E68"/>
    <w:rsid w:val="00C33F35"/>
    <w:rsid w:val="00C34264"/>
    <w:rsid w:val="00C3431D"/>
    <w:rsid w:val="00C343B5"/>
    <w:rsid w:val="00C3448C"/>
    <w:rsid w:val="00C34493"/>
    <w:rsid w:val="00C34AAB"/>
    <w:rsid w:val="00C34B1B"/>
    <w:rsid w:val="00C3509A"/>
    <w:rsid w:val="00C355E8"/>
    <w:rsid w:val="00C356A2"/>
    <w:rsid w:val="00C359B6"/>
    <w:rsid w:val="00C369D8"/>
    <w:rsid w:val="00C374FD"/>
    <w:rsid w:val="00C37BB4"/>
    <w:rsid w:val="00C40088"/>
    <w:rsid w:val="00C40596"/>
    <w:rsid w:val="00C408F2"/>
    <w:rsid w:val="00C40F7A"/>
    <w:rsid w:val="00C40FF2"/>
    <w:rsid w:val="00C41529"/>
    <w:rsid w:val="00C416B0"/>
    <w:rsid w:val="00C41A75"/>
    <w:rsid w:val="00C41ABB"/>
    <w:rsid w:val="00C41B75"/>
    <w:rsid w:val="00C421A4"/>
    <w:rsid w:val="00C422E5"/>
    <w:rsid w:val="00C42800"/>
    <w:rsid w:val="00C43204"/>
    <w:rsid w:val="00C43D12"/>
    <w:rsid w:val="00C4402B"/>
    <w:rsid w:val="00C445BD"/>
    <w:rsid w:val="00C448B8"/>
    <w:rsid w:val="00C44AEF"/>
    <w:rsid w:val="00C45847"/>
    <w:rsid w:val="00C458E4"/>
    <w:rsid w:val="00C45E4D"/>
    <w:rsid w:val="00C463DA"/>
    <w:rsid w:val="00C467C2"/>
    <w:rsid w:val="00C469BA"/>
    <w:rsid w:val="00C46A06"/>
    <w:rsid w:val="00C46BB3"/>
    <w:rsid w:val="00C47258"/>
    <w:rsid w:val="00C4729F"/>
    <w:rsid w:val="00C47384"/>
    <w:rsid w:val="00C478C1"/>
    <w:rsid w:val="00C47C39"/>
    <w:rsid w:val="00C505A8"/>
    <w:rsid w:val="00C50A9A"/>
    <w:rsid w:val="00C50AA1"/>
    <w:rsid w:val="00C50B58"/>
    <w:rsid w:val="00C50BDA"/>
    <w:rsid w:val="00C51232"/>
    <w:rsid w:val="00C5173B"/>
    <w:rsid w:val="00C52221"/>
    <w:rsid w:val="00C52701"/>
    <w:rsid w:val="00C528BD"/>
    <w:rsid w:val="00C52B3C"/>
    <w:rsid w:val="00C52D5B"/>
    <w:rsid w:val="00C53454"/>
    <w:rsid w:val="00C53607"/>
    <w:rsid w:val="00C5387D"/>
    <w:rsid w:val="00C53A69"/>
    <w:rsid w:val="00C53FA6"/>
    <w:rsid w:val="00C54149"/>
    <w:rsid w:val="00C542BF"/>
    <w:rsid w:val="00C545AF"/>
    <w:rsid w:val="00C547F7"/>
    <w:rsid w:val="00C54B99"/>
    <w:rsid w:val="00C55204"/>
    <w:rsid w:val="00C5539A"/>
    <w:rsid w:val="00C55773"/>
    <w:rsid w:val="00C559DE"/>
    <w:rsid w:val="00C55ADD"/>
    <w:rsid w:val="00C55DEF"/>
    <w:rsid w:val="00C564EA"/>
    <w:rsid w:val="00C5671B"/>
    <w:rsid w:val="00C56A61"/>
    <w:rsid w:val="00C56AB0"/>
    <w:rsid w:val="00C5737C"/>
    <w:rsid w:val="00C5771E"/>
    <w:rsid w:val="00C57B01"/>
    <w:rsid w:val="00C6034C"/>
    <w:rsid w:val="00C60834"/>
    <w:rsid w:val="00C60B3E"/>
    <w:rsid w:val="00C60F97"/>
    <w:rsid w:val="00C612BF"/>
    <w:rsid w:val="00C61372"/>
    <w:rsid w:val="00C61DF3"/>
    <w:rsid w:val="00C61E16"/>
    <w:rsid w:val="00C620F4"/>
    <w:rsid w:val="00C6216C"/>
    <w:rsid w:val="00C62176"/>
    <w:rsid w:val="00C621EE"/>
    <w:rsid w:val="00C628EE"/>
    <w:rsid w:val="00C6290D"/>
    <w:rsid w:val="00C62BA0"/>
    <w:rsid w:val="00C62C28"/>
    <w:rsid w:val="00C6304A"/>
    <w:rsid w:val="00C631E6"/>
    <w:rsid w:val="00C64627"/>
    <w:rsid w:val="00C6479A"/>
    <w:rsid w:val="00C65626"/>
    <w:rsid w:val="00C65BA4"/>
    <w:rsid w:val="00C66CB8"/>
    <w:rsid w:val="00C675FA"/>
    <w:rsid w:val="00C67604"/>
    <w:rsid w:val="00C67803"/>
    <w:rsid w:val="00C6799B"/>
    <w:rsid w:val="00C67B51"/>
    <w:rsid w:val="00C700AD"/>
    <w:rsid w:val="00C70193"/>
    <w:rsid w:val="00C702D7"/>
    <w:rsid w:val="00C704C4"/>
    <w:rsid w:val="00C70780"/>
    <w:rsid w:val="00C70AB2"/>
    <w:rsid w:val="00C70BDD"/>
    <w:rsid w:val="00C70DD0"/>
    <w:rsid w:val="00C70E14"/>
    <w:rsid w:val="00C716EF"/>
    <w:rsid w:val="00C718E3"/>
    <w:rsid w:val="00C71C75"/>
    <w:rsid w:val="00C720B0"/>
    <w:rsid w:val="00C72122"/>
    <w:rsid w:val="00C722D9"/>
    <w:rsid w:val="00C7242A"/>
    <w:rsid w:val="00C72CFE"/>
    <w:rsid w:val="00C7316C"/>
    <w:rsid w:val="00C732D9"/>
    <w:rsid w:val="00C7346E"/>
    <w:rsid w:val="00C738A9"/>
    <w:rsid w:val="00C73912"/>
    <w:rsid w:val="00C73BBE"/>
    <w:rsid w:val="00C73F5E"/>
    <w:rsid w:val="00C74095"/>
    <w:rsid w:val="00C74AD7"/>
    <w:rsid w:val="00C74F7D"/>
    <w:rsid w:val="00C75241"/>
    <w:rsid w:val="00C7528B"/>
    <w:rsid w:val="00C75A0B"/>
    <w:rsid w:val="00C75CAA"/>
    <w:rsid w:val="00C75F49"/>
    <w:rsid w:val="00C75FE1"/>
    <w:rsid w:val="00C7689A"/>
    <w:rsid w:val="00C76C67"/>
    <w:rsid w:val="00C76EAA"/>
    <w:rsid w:val="00C77174"/>
    <w:rsid w:val="00C771F5"/>
    <w:rsid w:val="00C774C4"/>
    <w:rsid w:val="00C77517"/>
    <w:rsid w:val="00C7775A"/>
    <w:rsid w:val="00C77B53"/>
    <w:rsid w:val="00C77D83"/>
    <w:rsid w:val="00C81179"/>
    <w:rsid w:val="00C81CDE"/>
    <w:rsid w:val="00C81D9B"/>
    <w:rsid w:val="00C822CE"/>
    <w:rsid w:val="00C826DA"/>
    <w:rsid w:val="00C82714"/>
    <w:rsid w:val="00C829D6"/>
    <w:rsid w:val="00C82CE9"/>
    <w:rsid w:val="00C82F2A"/>
    <w:rsid w:val="00C83263"/>
    <w:rsid w:val="00C83E84"/>
    <w:rsid w:val="00C846A5"/>
    <w:rsid w:val="00C84991"/>
    <w:rsid w:val="00C84D0C"/>
    <w:rsid w:val="00C851B6"/>
    <w:rsid w:val="00C85531"/>
    <w:rsid w:val="00C8566B"/>
    <w:rsid w:val="00C858FD"/>
    <w:rsid w:val="00C85999"/>
    <w:rsid w:val="00C860F4"/>
    <w:rsid w:val="00C8677E"/>
    <w:rsid w:val="00C86A4A"/>
    <w:rsid w:val="00C87153"/>
    <w:rsid w:val="00C8730C"/>
    <w:rsid w:val="00C87500"/>
    <w:rsid w:val="00C90438"/>
    <w:rsid w:val="00C91938"/>
    <w:rsid w:val="00C91B78"/>
    <w:rsid w:val="00C92B1D"/>
    <w:rsid w:val="00C930D3"/>
    <w:rsid w:val="00C932BC"/>
    <w:rsid w:val="00C93A11"/>
    <w:rsid w:val="00C941C4"/>
    <w:rsid w:val="00C94701"/>
    <w:rsid w:val="00C948C0"/>
    <w:rsid w:val="00C949A5"/>
    <w:rsid w:val="00C94C7F"/>
    <w:rsid w:val="00C94CA9"/>
    <w:rsid w:val="00C94CB7"/>
    <w:rsid w:val="00C95B4D"/>
    <w:rsid w:val="00C95B50"/>
    <w:rsid w:val="00C95C94"/>
    <w:rsid w:val="00C96571"/>
    <w:rsid w:val="00C97610"/>
    <w:rsid w:val="00C978F9"/>
    <w:rsid w:val="00C97B6B"/>
    <w:rsid w:val="00CA0AFC"/>
    <w:rsid w:val="00CA10DD"/>
    <w:rsid w:val="00CA1615"/>
    <w:rsid w:val="00CA1F69"/>
    <w:rsid w:val="00CA23FC"/>
    <w:rsid w:val="00CA2561"/>
    <w:rsid w:val="00CA25A5"/>
    <w:rsid w:val="00CA26E4"/>
    <w:rsid w:val="00CA2BB2"/>
    <w:rsid w:val="00CA2E1F"/>
    <w:rsid w:val="00CA302D"/>
    <w:rsid w:val="00CA34CD"/>
    <w:rsid w:val="00CA34E9"/>
    <w:rsid w:val="00CA3572"/>
    <w:rsid w:val="00CA35A3"/>
    <w:rsid w:val="00CA3778"/>
    <w:rsid w:val="00CA3C41"/>
    <w:rsid w:val="00CA4737"/>
    <w:rsid w:val="00CA4FAD"/>
    <w:rsid w:val="00CA581D"/>
    <w:rsid w:val="00CA5DEF"/>
    <w:rsid w:val="00CA5E99"/>
    <w:rsid w:val="00CA6119"/>
    <w:rsid w:val="00CA6365"/>
    <w:rsid w:val="00CA6755"/>
    <w:rsid w:val="00CA67DA"/>
    <w:rsid w:val="00CA69A8"/>
    <w:rsid w:val="00CA711E"/>
    <w:rsid w:val="00CA718E"/>
    <w:rsid w:val="00CA7382"/>
    <w:rsid w:val="00CA7819"/>
    <w:rsid w:val="00CA7A8F"/>
    <w:rsid w:val="00CA7F23"/>
    <w:rsid w:val="00CA7F54"/>
    <w:rsid w:val="00CB0467"/>
    <w:rsid w:val="00CB08E6"/>
    <w:rsid w:val="00CB0938"/>
    <w:rsid w:val="00CB15CA"/>
    <w:rsid w:val="00CB19FA"/>
    <w:rsid w:val="00CB24D7"/>
    <w:rsid w:val="00CB2746"/>
    <w:rsid w:val="00CB326B"/>
    <w:rsid w:val="00CB3AF2"/>
    <w:rsid w:val="00CB3CBC"/>
    <w:rsid w:val="00CB3FCE"/>
    <w:rsid w:val="00CB40E8"/>
    <w:rsid w:val="00CB49A0"/>
    <w:rsid w:val="00CB4C35"/>
    <w:rsid w:val="00CB5273"/>
    <w:rsid w:val="00CB5730"/>
    <w:rsid w:val="00CB5C46"/>
    <w:rsid w:val="00CB6478"/>
    <w:rsid w:val="00CB6932"/>
    <w:rsid w:val="00CB69DF"/>
    <w:rsid w:val="00CB6C94"/>
    <w:rsid w:val="00CB75E4"/>
    <w:rsid w:val="00CB7DE4"/>
    <w:rsid w:val="00CC0BEB"/>
    <w:rsid w:val="00CC0E04"/>
    <w:rsid w:val="00CC10DC"/>
    <w:rsid w:val="00CC118B"/>
    <w:rsid w:val="00CC1289"/>
    <w:rsid w:val="00CC1883"/>
    <w:rsid w:val="00CC19B8"/>
    <w:rsid w:val="00CC1D59"/>
    <w:rsid w:val="00CC2318"/>
    <w:rsid w:val="00CC2522"/>
    <w:rsid w:val="00CC262A"/>
    <w:rsid w:val="00CC2BF4"/>
    <w:rsid w:val="00CC2E46"/>
    <w:rsid w:val="00CC30A2"/>
    <w:rsid w:val="00CC3133"/>
    <w:rsid w:val="00CC34B0"/>
    <w:rsid w:val="00CC34DB"/>
    <w:rsid w:val="00CC3780"/>
    <w:rsid w:val="00CC37F2"/>
    <w:rsid w:val="00CC3E16"/>
    <w:rsid w:val="00CC3FA4"/>
    <w:rsid w:val="00CC40C8"/>
    <w:rsid w:val="00CC420B"/>
    <w:rsid w:val="00CC4256"/>
    <w:rsid w:val="00CC47B2"/>
    <w:rsid w:val="00CC4826"/>
    <w:rsid w:val="00CC4E04"/>
    <w:rsid w:val="00CC552F"/>
    <w:rsid w:val="00CC598C"/>
    <w:rsid w:val="00CC59C3"/>
    <w:rsid w:val="00CC5F7D"/>
    <w:rsid w:val="00CC6207"/>
    <w:rsid w:val="00CC6469"/>
    <w:rsid w:val="00CC661B"/>
    <w:rsid w:val="00CC6922"/>
    <w:rsid w:val="00CC6DC4"/>
    <w:rsid w:val="00CC6FBF"/>
    <w:rsid w:val="00CC734F"/>
    <w:rsid w:val="00CC7546"/>
    <w:rsid w:val="00CD00A6"/>
    <w:rsid w:val="00CD07FB"/>
    <w:rsid w:val="00CD08F6"/>
    <w:rsid w:val="00CD0CF6"/>
    <w:rsid w:val="00CD0F48"/>
    <w:rsid w:val="00CD164F"/>
    <w:rsid w:val="00CD18BB"/>
    <w:rsid w:val="00CD1F0A"/>
    <w:rsid w:val="00CD2084"/>
    <w:rsid w:val="00CD2552"/>
    <w:rsid w:val="00CD25CD"/>
    <w:rsid w:val="00CD2708"/>
    <w:rsid w:val="00CD29B0"/>
    <w:rsid w:val="00CD2BAA"/>
    <w:rsid w:val="00CD2C34"/>
    <w:rsid w:val="00CD367E"/>
    <w:rsid w:val="00CD3A52"/>
    <w:rsid w:val="00CD3D9A"/>
    <w:rsid w:val="00CD4626"/>
    <w:rsid w:val="00CD4908"/>
    <w:rsid w:val="00CD5143"/>
    <w:rsid w:val="00CD5950"/>
    <w:rsid w:val="00CD5999"/>
    <w:rsid w:val="00CD5A40"/>
    <w:rsid w:val="00CD6CDE"/>
    <w:rsid w:val="00CD75B8"/>
    <w:rsid w:val="00CD76A4"/>
    <w:rsid w:val="00CD7767"/>
    <w:rsid w:val="00CD793A"/>
    <w:rsid w:val="00CD7986"/>
    <w:rsid w:val="00CD7B90"/>
    <w:rsid w:val="00CD7C47"/>
    <w:rsid w:val="00CD7CB8"/>
    <w:rsid w:val="00CE0C86"/>
    <w:rsid w:val="00CE10ED"/>
    <w:rsid w:val="00CE13AE"/>
    <w:rsid w:val="00CE1457"/>
    <w:rsid w:val="00CE14AF"/>
    <w:rsid w:val="00CE169C"/>
    <w:rsid w:val="00CE16B5"/>
    <w:rsid w:val="00CE19F5"/>
    <w:rsid w:val="00CE1BA6"/>
    <w:rsid w:val="00CE2733"/>
    <w:rsid w:val="00CE2980"/>
    <w:rsid w:val="00CE315F"/>
    <w:rsid w:val="00CE33BD"/>
    <w:rsid w:val="00CE3612"/>
    <w:rsid w:val="00CE37FF"/>
    <w:rsid w:val="00CE3D5E"/>
    <w:rsid w:val="00CE4558"/>
    <w:rsid w:val="00CE5162"/>
    <w:rsid w:val="00CE53F4"/>
    <w:rsid w:val="00CE5475"/>
    <w:rsid w:val="00CE59DE"/>
    <w:rsid w:val="00CE5B95"/>
    <w:rsid w:val="00CE5CF2"/>
    <w:rsid w:val="00CE6322"/>
    <w:rsid w:val="00CE6509"/>
    <w:rsid w:val="00CE6840"/>
    <w:rsid w:val="00CE7092"/>
    <w:rsid w:val="00CE720E"/>
    <w:rsid w:val="00CE74E3"/>
    <w:rsid w:val="00CE75C6"/>
    <w:rsid w:val="00CE77D2"/>
    <w:rsid w:val="00CE7F23"/>
    <w:rsid w:val="00CF0BCD"/>
    <w:rsid w:val="00CF0CB3"/>
    <w:rsid w:val="00CF19A5"/>
    <w:rsid w:val="00CF1C69"/>
    <w:rsid w:val="00CF1FFB"/>
    <w:rsid w:val="00CF207E"/>
    <w:rsid w:val="00CF220E"/>
    <w:rsid w:val="00CF2333"/>
    <w:rsid w:val="00CF246B"/>
    <w:rsid w:val="00CF2841"/>
    <w:rsid w:val="00CF2A06"/>
    <w:rsid w:val="00CF3112"/>
    <w:rsid w:val="00CF3F8C"/>
    <w:rsid w:val="00CF4201"/>
    <w:rsid w:val="00CF42FA"/>
    <w:rsid w:val="00CF4514"/>
    <w:rsid w:val="00CF4519"/>
    <w:rsid w:val="00CF45A1"/>
    <w:rsid w:val="00CF470A"/>
    <w:rsid w:val="00CF4F5B"/>
    <w:rsid w:val="00CF52EE"/>
    <w:rsid w:val="00CF5437"/>
    <w:rsid w:val="00CF556B"/>
    <w:rsid w:val="00CF58DE"/>
    <w:rsid w:val="00CF5BD7"/>
    <w:rsid w:val="00CF5D7A"/>
    <w:rsid w:val="00CF605D"/>
    <w:rsid w:val="00CF66FE"/>
    <w:rsid w:val="00CF6797"/>
    <w:rsid w:val="00CF6B12"/>
    <w:rsid w:val="00CF6D53"/>
    <w:rsid w:val="00CF70D8"/>
    <w:rsid w:val="00CF715D"/>
    <w:rsid w:val="00CF7467"/>
    <w:rsid w:val="00CF772D"/>
    <w:rsid w:val="00CF7AA5"/>
    <w:rsid w:val="00CF7DF7"/>
    <w:rsid w:val="00D000E4"/>
    <w:rsid w:val="00D000E6"/>
    <w:rsid w:val="00D00479"/>
    <w:rsid w:val="00D00763"/>
    <w:rsid w:val="00D00856"/>
    <w:rsid w:val="00D0098C"/>
    <w:rsid w:val="00D00AF8"/>
    <w:rsid w:val="00D00CB9"/>
    <w:rsid w:val="00D015AD"/>
    <w:rsid w:val="00D01AEF"/>
    <w:rsid w:val="00D01D38"/>
    <w:rsid w:val="00D01E37"/>
    <w:rsid w:val="00D0232F"/>
    <w:rsid w:val="00D02B42"/>
    <w:rsid w:val="00D02EE9"/>
    <w:rsid w:val="00D033D8"/>
    <w:rsid w:val="00D03B81"/>
    <w:rsid w:val="00D03CB4"/>
    <w:rsid w:val="00D04A7E"/>
    <w:rsid w:val="00D05635"/>
    <w:rsid w:val="00D058EE"/>
    <w:rsid w:val="00D05A2F"/>
    <w:rsid w:val="00D05B77"/>
    <w:rsid w:val="00D05BB2"/>
    <w:rsid w:val="00D05E2B"/>
    <w:rsid w:val="00D06608"/>
    <w:rsid w:val="00D06613"/>
    <w:rsid w:val="00D06AD8"/>
    <w:rsid w:val="00D06D30"/>
    <w:rsid w:val="00D073AC"/>
    <w:rsid w:val="00D07742"/>
    <w:rsid w:val="00D07BF9"/>
    <w:rsid w:val="00D07C36"/>
    <w:rsid w:val="00D100FE"/>
    <w:rsid w:val="00D101F1"/>
    <w:rsid w:val="00D10CB3"/>
    <w:rsid w:val="00D10E3E"/>
    <w:rsid w:val="00D1149B"/>
    <w:rsid w:val="00D1174D"/>
    <w:rsid w:val="00D11B5A"/>
    <w:rsid w:val="00D11BE2"/>
    <w:rsid w:val="00D11CCA"/>
    <w:rsid w:val="00D11ED1"/>
    <w:rsid w:val="00D11F49"/>
    <w:rsid w:val="00D121C9"/>
    <w:rsid w:val="00D1252B"/>
    <w:rsid w:val="00D12808"/>
    <w:rsid w:val="00D12BC8"/>
    <w:rsid w:val="00D12DC1"/>
    <w:rsid w:val="00D1339F"/>
    <w:rsid w:val="00D133FA"/>
    <w:rsid w:val="00D13A03"/>
    <w:rsid w:val="00D13C67"/>
    <w:rsid w:val="00D1450D"/>
    <w:rsid w:val="00D152E3"/>
    <w:rsid w:val="00D15625"/>
    <w:rsid w:val="00D15C8E"/>
    <w:rsid w:val="00D1625C"/>
    <w:rsid w:val="00D1638E"/>
    <w:rsid w:val="00D16524"/>
    <w:rsid w:val="00D16DAF"/>
    <w:rsid w:val="00D170FE"/>
    <w:rsid w:val="00D1730B"/>
    <w:rsid w:val="00D17E8C"/>
    <w:rsid w:val="00D20679"/>
    <w:rsid w:val="00D20729"/>
    <w:rsid w:val="00D208E4"/>
    <w:rsid w:val="00D2104C"/>
    <w:rsid w:val="00D21265"/>
    <w:rsid w:val="00D21426"/>
    <w:rsid w:val="00D21560"/>
    <w:rsid w:val="00D215CB"/>
    <w:rsid w:val="00D21DB1"/>
    <w:rsid w:val="00D21E2F"/>
    <w:rsid w:val="00D22035"/>
    <w:rsid w:val="00D223C8"/>
    <w:rsid w:val="00D224D8"/>
    <w:rsid w:val="00D224E2"/>
    <w:rsid w:val="00D226BB"/>
    <w:rsid w:val="00D2279A"/>
    <w:rsid w:val="00D2285F"/>
    <w:rsid w:val="00D23599"/>
    <w:rsid w:val="00D23798"/>
    <w:rsid w:val="00D23B27"/>
    <w:rsid w:val="00D23F86"/>
    <w:rsid w:val="00D23FE0"/>
    <w:rsid w:val="00D24025"/>
    <w:rsid w:val="00D242DC"/>
    <w:rsid w:val="00D244E1"/>
    <w:rsid w:val="00D252E1"/>
    <w:rsid w:val="00D262D7"/>
    <w:rsid w:val="00D26463"/>
    <w:rsid w:val="00D2658C"/>
    <w:rsid w:val="00D2704D"/>
    <w:rsid w:val="00D272B1"/>
    <w:rsid w:val="00D27319"/>
    <w:rsid w:val="00D2744F"/>
    <w:rsid w:val="00D2747F"/>
    <w:rsid w:val="00D27556"/>
    <w:rsid w:val="00D27655"/>
    <w:rsid w:val="00D27AA2"/>
    <w:rsid w:val="00D27C8B"/>
    <w:rsid w:val="00D27E00"/>
    <w:rsid w:val="00D27F09"/>
    <w:rsid w:val="00D3031D"/>
    <w:rsid w:val="00D30A0B"/>
    <w:rsid w:val="00D30BFF"/>
    <w:rsid w:val="00D30EB9"/>
    <w:rsid w:val="00D31084"/>
    <w:rsid w:val="00D31414"/>
    <w:rsid w:val="00D3154B"/>
    <w:rsid w:val="00D31602"/>
    <w:rsid w:val="00D318C5"/>
    <w:rsid w:val="00D3216C"/>
    <w:rsid w:val="00D32632"/>
    <w:rsid w:val="00D33098"/>
    <w:rsid w:val="00D33110"/>
    <w:rsid w:val="00D332D9"/>
    <w:rsid w:val="00D33393"/>
    <w:rsid w:val="00D3377A"/>
    <w:rsid w:val="00D33A41"/>
    <w:rsid w:val="00D342AD"/>
    <w:rsid w:val="00D34308"/>
    <w:rsid w:val="00D34E75"/>
    <w:rsid w:val="00D34E9D"/>
    <w:rsid w:val="00D357D1"/>
    <w:rsid w:val="00D36CF8"/>
    <w:rsid w:val="00D36DE5"/>
    <w:rsid w:val="00D36FF6"/>
    <w:rsid w:val="00D370D7"/>
    <w:rsid w:val="00D37419"/>
    <w:rsid w:val="00D37A34"/>
    <w:rsid w:val="00D37A72"/>
    <w:rsid w:val="00D402EF"/>
    <w:rsid w:val="00D408EF"/>
    <w:rsid w:val="00D40EC8"/>
    <w:rsid w:val="00D421AB"/>
    <w:rsid w:val="00D42E04"/>
    <w:rsid w:val="00D4305F"/>
    <w:rsid w:val="00D436D2"/>
    <w:rsid w:val="00D43711"/>
    <w:rsid w:val="00D43E0E"/>
    <w:rsid w:val="00D44081"/>
    <w:rsid w:val="00D441CE"/>
    <w:rsid w:val="00D44E6F"/>
    <w:rsid w:val="00D45243"/>
    <w:rsid w:val="00D45382"/>
    <w:rsid w:val="00D455DB"/>
    <w:rsid w:val="00D4609F"/>
    <w:rsid w:val="00D46A94"/>
    <w:rsid w:val="00D46B35"/>
    <w:rsid w:val="00D47193"/>
    <w:rsid w:val="00D47C93"/>
    <w:rsid w:val="00D47FB0"/>
    <w:rsid w:val="00D50678"/>
    <w:rsid w:val="00D5194B"/>
    <w:rsid w:val="00D51B2E"/>
    <w:rsid w:val="00D52109"/>
    <w:rsid w:val="00D5290A"/>
    <w:rsid w:val="00D52ED0"/>
    <w:rsid w:val="00D53122"/>
    <w:rsid w:val="00D5347F"/>
    <w:rsid w:val="00D5361F"/>
    <w:rsid w:val="00D53640"/>
    <w:rsid w:val="00D5388D"/>
    <w:rsid w:val="00D53CFE"/>
    <w:rsid w:val="00D545BB"/>
    <w:rsid w:val="00D545DC"/>
    <w:rsid w:val="00D54FE4"/>
    <w:rsid w:val="00D55032"/>
    <w:rsid w:val="00D55096"/>
    <w:rsid w:val="00D55331"/>
    <w:rsid w:val="00D5578B"/>
    <w:rsid w:val="00D55B68"/>
    <w:rsid w:val="00D55E82"/>
    <w:rsid w:val="00D55EDA"/>
    <w:rsid w:val="00D5640B"/>
    <w:rsid w:val="00D56898"/>
    <w:rsid w:val="00D568FD"/>
    <w:rsid w:val="00D56CDF"/>
    <w:rsid w:val="00D56EE5"/>
    <w:rsid w:val="00D5778F"/>
    <w:rsid w:val="00D57A3F"/>
    <w:rsid w:val="00D6040D"/>
    <w:rsid w:val="00D60862"/>
    <w:rsid w:val="00D61172"/>
    <w:rsid w:val="00D611AF"/>
    <w:rsid w:val="00D61439"/>
    <w:rsid w:val="00D6146E"/>
    <w:rsid w:val="00D6197A"/>
    <w:rsid w:val="00D61989"/>
    <w:rsid w:val="00D622E0"/>
    <w:rsid w:val="00D62937"/>
    <w:rsid w:val="00D62A27"/>
    <w:rsid w:val="00D62B4E"/>
    <w:rsid w:val="00D631A9"/>
    <w:rsid w:val="00D6376A"/>
    <w:rsid w:val="00D645BF"/>
    <w:rsid w:val="00D64633"/>
    <w:rsid w:val="00D64C19"/>
    <w:rsid w:val="00D6518F"/>
    <w:rsid w:val="00D65247"/>
    <w:rsid w:val="00D65717"/>
    <w:rsid w:val="00D65F01"/>
    <w:rsid w:val="00D661B1"/>
    <w:rsid w:val="00D667B8"/>
    <w:rsid w:val="00D66B4C"/>
    <w:rsid w:val="00D66CA5"/>
    <w:rsid w:val="00D6766F"/>
    <w:rsid w:val="00D67826"/>
    <w:rsid w:val="00D679C3"/>
    <w:rsid w:val="00D67DE8"/>
    <w:rsid w:val="00D67FF8"/>
    <w:rsid w:val="00D70283"/>
    <w:rsid w:val="00D70470"/>
    <w:rsid w:val="00D705D3"/>
    <w:rsid w:val="00D70630"/>
    <w:rsid w:val="00D707A8"/>
    <w:rsid w:val="00D7094E"/>
    <w:rsid w:val="00D70C6B"/>
    <w:rsid w:val="00D7112F"/>
    <w:rsid w:val="00D714BF"/>
    <w:rsid w:val="00D71F69"/>
    <w:rsid w:val="00D721A8"/>
    <w:rsid w:val="00D7224E"/>
    <w:rsid w:val="00D725C7"/>
    <w:rsid w:val="00D729AB"/>
    <w:rsid w:val="00D72FCA"/>
    <w:rsid w:val="00D73104"/>
    <w:rsid w:val="00D73311"/>
    <w:rsid w:val="00D735C4"/>
    <w:rsid w:val="00D73846"/>
    <w:rsid w:val="00D73DAA"/>
    <w:rsid w:val="00D73F80"/>
    <w:rsid w:val="00D740EC"/>
    <w:rsid w:val="00D74556"/>
    <w:rsid w:val="00D7479C"/>
    <w:rsid w:val="00D74997"/>
    <w:rsid w:val="00D749A4"/>
    <w:rsid w:val="00D74A68"/>
    <w:rsid w:val="00D7543E"/>
    <w:rsid w:val="00D762C6"/>
    <w:rsid w:val="00D76514"/>
    <w:rsid w:val="00D767FC"/>
    <w:rsid w:val="00D76800"/>
    <w:rsid w:val="00D76B4B"/>
    <w:rsid w:val="00D76CE2"/>
    <w:rsid w:val="00D76E43"/>
    <w:rsid w:val="00D76E56"/>
    <w:rsid w:val="00D77BA0"/>
    <w:rsid w:val="00D802E6"/>
    <w:rsid w:val="00D80609"/>
    <w:rsid w:val="00D81517"/>
    <w:rsid w:val="00D82141"/>
    <w:rsid w:val="00D82AE4"/>
    <w:rsid w:val="00D82B0A"/>
    <w:rsid w:val="00D82B5C"/>
    <w:rsid w:val="00D82C15"/>
    <w:rsid w:val="00D82CF1"/>
    <w:rsid w:val="00D83113"/>
    <w:rsid w:val="00D83233"/>
    <w:rsid w:val="00D8356D"/>
    <w:rsid w:val="00D8388D"/>
    <w:rsid w:val="00D83FC7"/>
    <w:rsid w:val="00D84291"/>
    <w:rsid w:val="00D84D93"/>
    <w:rsid w:val="00D84E84"/>
    <w:rsid w:val="00D8598C"/>
    <w:rsid w:val="00D85D44"/>
    <w:rsid w:val="00D85F06"/>
    <w:rsid w:val="00D865BF"/>
    <w:rsid w:val="00D8695C"/>
    <w:rsid w:val="00D86E18"/>
    <w:rsid w:val="00D8758A"/>
    <w:rsid w:val="00D876DB"/>
    <w:rsid w:val="00D87A5C"/>
    <w:rsid w:val="00D87D01"/>
    <w:rsid w:val="00D87EA6"/>
    <w:rsid w:val="00D87FE5"/>
    <w:rsid w:val="00D904B1"/>
    <w:rsid w:val="00D906E8"/>
    <w:rsid w:val="00D9072A"/>
    <w:rsid w:val="00D91018"/>
    <w:rsid w:val="00D916B9"/>
    <w:rsid w:val="00D919C8"/>
    <w:rsid w:val="00D91A16"/>
    <w:rsid w:val="00D91B58"/>
    <w:rsid w:val="00D91BBC"/>
    <w:rsid w:val="00D91DB1"/>
    <w:rsid w:val="00D924AB"/>
    <w:rsid w:val="00D92715"/>
    <w:rsid w:val="00D92DE4"/>
    <w:rsid w:val="00D92DF4"/>
    <w:rsid w:val="00D92E2A"/>
    <w:rsid w:val="00D931AA"/>
    <w:rsid w:val="00D931CC"/>
    <w:rsid w:val="00D931FC"/>
    <w:rsid w:val="00D93B21"/>
    <w:rsid w:val="00D93E21"/>
    <w:rsid w:val="00D93E97"/>
    <w:rsid w:val="00D93F9C"/>
    <w:rsid w:val="00D94334"/>
    <w:rsid w:val="00D94405"/>
    <w:rsid w:val="00D94FB9"/>
    <w:rsid w:val="00D951D0"/>
    <w:rsid w:val="00D9562D"/>
    <w:rsid w:val="00D957B1"/>
    <w:rsid w:val="00D9654D"/>
    <w:rsid w:val="00D968A5"/>
    <w:rsid w:val="00D96B60"/>
    <w:rsid w:val="00D97B45"/>
    <w:rsid w:val="00DA01D1"/>
    <w:rsid w:val="00DA044F"/>
    <w:rsid w:val="00DA045C"/>
    <w:rsid w:val="00DA071F"/>
    <w:rsid w:val="00DA0742"/>
    <w:rsid w:val="00DA09D6"/>
    <w:rsid w:val="00DA0A8C"/>
    <w:rsid w:val="00DA0BBF"/>
    <w:rsid w:val="00DA0CA9"/>
    <w:rsid w:val="00DA0F2D"/>
    <w:rsid w:val="00DA10DF"/>
    <w:rsid w:val="00DA193B"/>
    <w:rsid w:val="00DA1C19"/>
    <w:rsid w:val="00DA1D85"/>
    <w:rsid w:val="00DA1FFF"/>
    <w:rsid w:val="00DA24A7"/>
    <w:rsid w:val="00DA275A"/>
    <w:rsid w:val="00DA2BE6"/>
    <w:rsid w:val="00DA3087"/>
    <w:rsid w:val="00DA30AA"/>
    <w:rsid w:val="00DA314D"/>
    <w:rsid w:val="00DA34CE"/>
    <w:rsid w:val="00DA3921"/>
    <w:rsid w:val="00DA3AD9"/>
    <w:rsid w:val="00DA3C57"/>
    <w:rsid w:val="00DA3EC4"/>
    <w:rsid w:val="00DA40B6"/>
    <w:rsid w:val="00DA435A"/>
    <w:rsid w:val="00DA479D"/>
    <w:rsid w:val="00DA4BEE"/>
    <w:rsid w:val="00DA4C05"/>
    <w:rsid w:val="00DA5425"/>
    <w:rsid w:val="00DA5A40"/>
    <w:rsid w:val="00DA614E"/>
    <w:rsid w:val="00DA6A6F"/>
    <w:rsid w:val="00DA6E7B"/>
    <w:rsid w:val="00DA6F4C"/>
    <w:rsid w:val="00DA736B"/>
    <w:rsid w:val="00DA7971"/>
    <w:rsid w:val="00DA7986"/>
    <w:rsid w:val="00DA7B93"/>
    <w:rsid w:val="00DA7D7F"/>
    <w:rsid w:val="00DB0278"/>
    <w:rsid w:val="00DB0B35"/>
    <w:rsid w:val="00DB0F0C"/>
    <w:rsid w:val="00DB1036"/>
    <w:rsid w:val="00DB118A"/>
    <w:rsid w:val="00DB15D4"/>
    <w:rsid w:val="00DB173D"/>
    <w:rsid w:val="00DB18B9"/>
    <w:rsid w:val="00DB1FB1"/>
    <w:rsid w:val="00DB204A"/>
    <w:rsid w:val="00DB21AC"/>
    <w:rsid w:val="00DB2309"/>
    <w:rsid w:val="00DB2536"/>
    <w:rsid w:val="00DB283B"/>
    <w:rsid w:val="00DB351C"/>
    <w:rsid w:val="00DB39D2"/>
    <w:rsid w:val="00DB3AB1"/>
    <w:rsid w:val="00DB3B81"/>
    <w:rsid w:val="00DB3BE2"/>
    <w:rsid w:val="00DB3CFF"/>
    <w:rsid w:val="00DB3E74"/>
    <w:rsid w:val="00DB3F43"/>
    <w:rsid w:val="00DB4433"/>
    <w:rsid w:val="00DB446A"/>
    <w:rsid w:val="00DB44BF"/>
    <w:rsid w:val="00DB4666"/>
    <w:rsid w:val="00DB4D62"/>
    <w:rsid w:val="00DB4D88"/>
    <w:rsid w:val="00DB4F58"/>
    <w:rsid w:val="00DB5AC7"/>
    <w:rsid w:val="00DB5CF1"/>
    <w:rsid w:val="00DB6163"/>
    <w:rsid w:val="00DB6363"/>
    <w:rsid w:val="00DB6697"/>
    <w:rsid w:val="00DB748A"/>
    <w:rsid w:val="00DB754F"/>
    <w:rsid w:val="00DB7903"/>
    <w:rsid w:val="00DB7A70"/>
    <w:rsid w:val="00DB7C4D"/>
    <w:rsid w:val="00DB7F03"/>
    <w:rsid w:val="00DC0279"/>
    <w:rsid w:val="00DC05CC"/>
    <w:rsid w:val="00DC0919"/>
    <w:rsid w:val="00DC0BF1"/>
    <w:rsid w:val="00DC0CA5"/>
    <w:rsid w:val="00DC1560"/>
    <w:rsid w:val="00DC16E9"/>
    <w:rsid w:val="00DC1B0D"/>
    <w:rsid w:val="00DC1D28"/>
    <w:rsid w:val="00DC210A"/>
    <w:rsid w:val="00DC210D"/>
    <w:rsid w:val="00DC249C"/>
    <w:rsid w:val="00DC27D3"/>
    <w:rsid w:val="00DC33D2"/>
    <w:rsid w:val="00DC3825"/>
    <w:rsid w:val="00DC3DF1"/>
    <w:rsid w:val="00DC3F63"/>
    <w:rsid w:val="00DC41A1"/>
    <w:rsid w:val="00DC443C"/>
    <w:rsid w:val="00DC4975"/>
    <w:rsid w:val="00DC4B82"/>
    <w:rsid w:val="00DC51DF"/>
    <w:rsid w:val="00DC53D8"/>
    <w:rsid w:val="00DC644D"/>
    <w:rsid w:val="00DC652B"/>
    <w:rsid w:val="00DC665C"/>
    <w:rsid w:val="00DC66B6"/>
    <w:rsid w:val="00DC6AEB"/>
    <w:rsid w:val="00DC6B54"/>
    <w:rsid w:val="00DC6C1B"/>
    <w:rsid w:val="00DC6E39"/>
    <w:rsid w:val="00DC705F"/>
    <w:rsid w:val="00DC776D"/>
    <w:rsid w:val="00DD066E"/>
    <w:rsid w:val="00DD0779"/>
    <w:rsid w:val="00DD0C46"/>
    <w:rsid w:val="00DD0CA3"/>
    <w:rsid w:val="00DD1559"/>
    <w:rsid w:val="00DD1724"/>
    <w:rsid w:val="00DD19CD"/>
    <w:rsid w:val="00DD22C6"/>
    <w:rsid w:val="00DD242B"/>
    <w:rsid w:val="00DD28F8"/>
    <w:rsid w:val="00DD2DBB"/>
    <w:rsid w:val="00DD2F0E"/>
    <w:rsid w:val="00DD34A6"/>
    <w:rsid w:val="00DD44D0"/>
    <w:rsid w:val="00DD4B70"/>
    <w:rsid w:val="00DD5108"/>
    <w:rsid w:val="00DD5B43"/>
    <w:rsid w:val="00DD60DE"/>
    <w:rsid w:val="00DD649E"/>
    <w:rsid w:val="00DD6CEF"/>
    <w:rsid w:val="00DD6D80"/>
    <w:rsid w:val="00DD702F"/>
    <w:rsid w:val="00DD7EF3"/>
    <w:rsid w:val="00DD7F95"/>
    <w:rsid w:val="00DE02A5"/>
    <w:rsid w:val="00DE08AA"/>
    <w:rsid w:val="00DE0987"/>
    <w:rsid w:val="00DE0A62"/>
    <w:rsid w:val="00DE0F24"/>
    <w:rsid w:val="00DE0F7A"/>
    <w:rsid w:val="00DE101D"/>
    <w:rsid w:val="00DE185B"/>
    <w:rsid w:val="00DE1F30"/>
    <w:rsid w:val="00DE1F4E"/>
    <w:rsid w:val="00DE1FE0"/>
    <w:rsid w:val="00DE239F"/>
    <w:rsid w:val="00DE29CC"/>
    <w:rsid w:val="00DE357D"/>
    <w:rsid w:val="00DE36E4"/>
    <w:rsid w:val="00DE371A"/>
    <w:rsid w:val="00DE37C7"/>
    <w:rsid w:val="00DE4159"/>
    <w:rsid w:val="00DE42E0"/>
    <w:rsid w:val="00DE46A6"/>
    <w:rsid w:val="00DE48EF"/>
    <w:rsid w:val="00DE4954"/>
    <w:rsid w:val="00DE49DF"/>
    <w:rsid w:val="00DE4C36"/>
    <w:rsid w:val="00DE4F8D"/>
    <w:rsid w:val="00DE4FDC"/>
    <w:rsid w:val="00DE528E"/>
    <w:rsid w:val="00DE5749"/>
    <w:rsid w:val="00DE5A3E"/>
    <w:rsid w:val="00DE62D9"/>
    <w:rsid w:val="00DE6B34"/>
    <w:rsid w:val="00DE701E"/>
    <w:rsid w:val="00DE70BF"/>
    <w:rsid w:val="00DF015E"/>
    <w:rsid w:val="00DF0463"/>
    <w:rsid w:val="00DF08B7"/>
    <w:rsid w:val="00DF090C"/>
    <w:rsid w:val="00DF099E"/>
    <w:rsid w:val="00DF0B7B"/>
    <w:rsid w:val="00DF0DE1"/>
    <w:rsid w:val="00DF0EFD"/>
    <w:rsid w:val="00DF1B0E"/>
    <w:rsid w:val="00DF1F1E"/>
    <w:rsid w:val="00DF2195"/>
    <w:rsid w:val="00DF2A8B"/>
    <w:rsid w:val="00DF2BC3"/>
    <w:rsid w:val="00DF2CC6"/>
    <w:rsid w:val="00DF38C2"/>
    <w:rsid w:val="00DF3FDA"/>
    <w:rsid w:val="00DF4D37"/>
    <w:rsid w:val="00DF4D43"/>
    <w:rsid w:val="00DF4F51"/>
    <w:rsid w:val="00DF52F5"/>
    <w:rsid w:val="00DF551F"/>
    <w:rsid w:val="00DF560D"/>
    <w:rsid w:val="00DF58F2"/>
    <w:rsid w:val="00DF5978"/>
    <w:rsid w:val="00DF5B1D"/>
    <w:rsid w:val="00DF5D73"/>
    <w:rsid w:val="00DF61C6"/>
    <w:rsid w:val="00DF62F7"/>
    <w:rsid w:val="00DF6A87"/>
    <w:rsid w:val="00DF6AAA"/>
    <w:rsid w:val="00DF7616"/>
    <w:rsid w:val="00DF7791"/>
    <w:rsid w:val="00DF7F1F"/>
    <w:rsid w:val="00DF7FBE"/>
    <w:rsid w:val="00E0018A"/>
    <w:rsid w:val="00E00B0C"/>
    <w:rsid w:val="00E00DFD"/>
    <w:rsid w:val="00E0191A"/>
    <w:rsid w:val="00E01EC4"/>
    <w:rsid w:val="00E02504"/>
    <w:rsid w:val="00E025E8"/>
    <w:rsid w:val="00E02C55"/>
    <w:rsid w:val="00E02D61"/>
    <w:rsid w:val="00E03446"/>
    <w:rsid w:val="00E03583"/>
    <w:rsid w:val="00E0483A"/>
    <w:rsid w:val="00E04966"/>
    <w:rsid w:val="00E05063"/>
    <w:rsid w:val="00E0566D"/>
    <w:rsid w:val="00E05C23"/>
    <w:rsid w:val="00E05DF2"/>
    <w:rsid w:val="00E06272"/>
    <w:rsid w:val="00E06582"/>
    <w:rsid w:val="00E066D6"/>
    <w:rsid w:val="00E06A3D"/>
    <w:rsid w:val="00E06B16"/>
    <w:rsid w:val="00E06C72"/>
    <w:rsid w:val="00E07604"/>
    <w:rsid w:val="00E076E7"/>
    <w:rsid w:val="00E07B1F"/>
    <w:rsid w:val="00E10082"/>
    <w:rsid w:val="00E1021F"/>
    <w:rsid w:val="00E105BB"/>
    <w:rsid w:val="00E10D1E"/>
    <w:rsid w:val="00E10D26"/>
    <w:rsid w:val="00E10FA2"/>
    <w:rsid w:val="00E111BD"/>
    <w:rsid w:val="00E11426"/>
    <w:rsid w:val="00E11492"/>
    <w:rsid w:val="00E12376"/>
    <w:rsid w:val="00E12A9F"/>
    <w:rsid w:val="00E12BD4"/>
    <w:rsid w:val="00E12D14"/>
    <w:rsid w:val="00E12D77"/>
    <w:rsid w:val="00E12E62"/>
    <w:rsid w:val="00E13788"/>
    <w:rsid w:val="00E13D3A"/>
    <w:rsid w:val="00E13DAD"/>
    <w:rsid w:val="00E1419D"/>
    <w:rsid w:val="00E1496D"/>
    <w:rsid w:val="00E14B96"/>
    <w:rsid w:val="00E14BB4"/>
    <w:rsid w:val="00E14DC2"/>
    <w:rsid w:val="00E1525D"/>
    <w:rsid w:val="00E15472"/>
    <w:rsid w:val="00E15966"/>
    <w:rsid w:val="00E15BC2"/>
    <w:rsid w:val="00E16902"/>
    <w:rsid w:val="00E16A26"/>
    <w:rsid w:val="00E16B13"/>
    <w:rsid w:val="00E16C78"/>
    <w:rsid w:val="00E1744B"/>
    <w:rsid w:val="00E1749A"/>
    <w:rsid w:val="00E178DE"/>
    <w:rsid w:val="00E17F54"/>
    <w:rsid w:val="00E204EB"/>
    <w:rsid w:val="00E20541"/>
    <w:rsid w:val="00E20EB2"/>
    <w:rsid w:val="00E210F1"/>
    <w:rsid w:val="00E21370"/>
    <w:rsid w:val="00E216BC"/>
    <w:rsid w:val="00E21A29"/>
    <w:rsid w:val="00E21DD0"/>
    <w:rsid w:val="00E22883"/>
    <w:rsid w:val="00E22AB9"/>
    <w:rsid w:val="00E22E7B"/>
    <w:rsid w:val="00E23061"/>
    <w:rsid w:val="00E235FC"/>
    <w:rsid w:val="00E239AE"/>
    <w:rsid w:val="00E23CCD"/>
    <w:rsid w:val="00E2403A"/>
    <w:rsid w:val="00E24338"/>
    <w:rsid w:val="00E243B3"/>
    <w:rsid w:val="00E2486A"/>
    <w:rsid w:val="00E24D05"/>
    <w:rsid w:val="00E252E9"/>
    <w:rsid w:val="00E254A6"/>
    <w:rsid w:val="00E256CA"/>
    <w:rsid w:val="00E25C53"/>
    <w:rsid w:val="00E2626D"/>
    <w:rsid w:val="00E2667A"/>
    <w:rsid w:val="00E2676E"/>
    <w:rsid w:val="00E2678E"/>
    <w:rsid w:val="00E26B52"/>
    <w:rsid w:val="00E26FB4"/>
    <w:rsid w:val="00E27138"/>
    <w:rsid w:val="00E27151"/>
    <w:rsid w:val="00E271A0"/>
    <w:rsid w:val="00E27A49"/>
    <w:rsid w:val="00E27E9A"/>
    <w:rsid w:val="00E3138A"/>
    <w:rsid w:val="00E313D4"/>
    <w:rsid w:val="00E3152A"/>
    <w:rsid w:val="00E316E8"/>
    <w:rsid w:val="00E317F4"/>
    <w:rsid w:val="00E31A1A"/>
    <w:rsid w:val="00E31A7A"/>
    <w:rsid w:val="00E32053"/>
    <w:rsid w:val="00E32224"/>
    <w:rsid w:val="00E32F2F"/>
    <w:rsid w:val="00E333EE"/>
    <w:rsid w:val="00E3345C"/>
    <w:rsid w:val="00E33DEF"/>
    <w:rsid w:val="00E33E37"/>
    <w:rsid w:val="00E34217"/>
    <w:rsid w:val="00E34265"/>
    <w:rsid w:val="00E345D6"/>
    <w:rsid w:val="00E353F1"/>
    <w:rsid w:val="00E3588C"/>
    <w:rsid w:val="00E358EF"/>
    <w:rsid w:val="00E36A20"/>
    <w:rsid w:val="00E36C08"/>
    <w:rsid w:val="00E36DC0"/>
    <w:rsid w:val="00E3745D"/>
    <w:rsid w:val="00E37471"/>
    <w:rsid w:val="00E3765B"/>
    <w:rsid w:val="00E3777C"/>
    <w:rsid w:val="00E37A78"/>
    <w:rsid w:val="00E402DD"/>
    <w:rsid w:val="00E40FFF"/>
    <w:rsid w:val="00E41048"/>
    <w:rsid w:val="00E4127B"/>
    <w:rsid w:val="00E41585"/>
    <w:rsid w:val="00E41AF8"/>
    <w:rsid w:val="00E41B93"/>
    <w:rsid w:val="00E41D75"/>
    <w:rsid w:val="00E42031"/>
    <w:rsid w:val="00E42910"/>
    <w:rsid w:val="00E42B9E"/>
    <w:rsid w:val="00E43595"/>
    <w:rsid w:val="00E435F2"/>
    <w:rsid w:val="00E437FD"/>
    <w:rsid w:val="00E43C9B"/>
    <w:rsid w:val="00E448BA"/>
    <w:rsid w:val="00E44921"/>
    <w:rsid w:val="00E44CE4"/>
    <w:rsid w:val="00E458DC"/>
    <w:rsid w:val="00E460F5"/>
    <w:rsid w:val="00E461FD"/>
    <w:rsid w:val="00E46298"/>
    <w:rsid w:val="00E467CA"/>
    <w:rsid w:val="00E468BE"/>
    <w:rsid w:val="00E46A44"/>
    <w:rsid w:val="00E46AC7"/>
    <w:rsid w:val="00E46B79"/>
    <w:rsid w:val="00E46C43"/>
    <w:rsid w:val="00E46FB1"/>
    <w:rsid w:val="00E47092"/>
    <w:rsid w:val="00E4753B"/>
    <w:rsid w:val="00E47A89"/>
    <w:rsid w:val="00E47BBE"/>
    <w:rsid w:val="00E47F62"/>
    <w:rsid w:val="00E47F84"/>
    <w:rsid w:val="00E47FDE"/>
    <w:rsid w:val="00E50218"/>
    <w:rsid w:val="00E50802"/>
    <w:rsid w:val="00E50864"/>
    <w:rsid w:val="00E5093B"/>
    <w:rsid w:val="00E509E9"/>
    <w:rsid w:val="00E50FB9"/>
    <w:rsid w:val="00E51675"/>
    <w:rsid w:val="00E524B1"/>
    <w:rsid w:val="00E524EB"/>
    <w:rsid w:val="00E528AB"/>
    <w:rsid w:val="00E5299E"/>
    <w:rsid w:val="00E54177"/>
    <w:rsid w:val="00E54ACA"/>
    <w:rsid w:val="00E55C79"/>
    <w:rsid w:val="00E5648E"/>
    <w:rsid w:val="00E5654D"/>
    <w:rsid w:val="00E5669D"/>
    <w:rsid w:val="00E56768"/>
    <w:rsid w:val="00E56FDE"/>
    <w:rsid w:val="00E5703D"/>
    <w:rsid w:val="00E5710E"/>
    <w:rsid w:val="00E576FA"/>
    <w:rsid w:val="00E57A5A"/>
    <w:rsid w:val="00E57BD0"/>
    <w:rsid w:val="00E57C65"/>
    <w:rsid w:val="00E57E81"/>
    <w:rsid w:val="00E57ECC"/>
    <w:rsid w:val="00E600F7"/>
    <w:rsid w:val="00E602BD"/>
    <w:rsid w:val="00E602E1"/>
    <w:rsid w:val="00E60A45"/>
    <w:rsid w:val="00E60A4E"/>
    <w:rsid w:val="00E60BBD"/>
    <w:rsid w:val="00E61135"/>
    <w:rsid w:val="00E6126A"/>
    <w:rsid w:val="00E61502"/>
    <w:rsid w:val="00E615FC"/>
    <w:rsid w:val="00E618C2"/>
    <w:rsid w:val="00E618D8"/>
    <w:rsid w:val="00E61916"/>
    <w:rsid w:val="00E61973"/>
    <w:rsid w:val="00E61974"/>
    <w:rsid w:val="00E61D91"/>
    <w:rsid w:val="00E6215D"/>
    <w:rsid w:val="00E624DB"/>
    <w:rsid w:val="00E62718"/>
    <w:rsid w:val="00E62A07"/>
    <w:rsid w:val="00E62BB2"/>
    <w:rsid w:val="00E6350C"/>
    <w:rsid w:val="00E63881"/>
    <w:rsid w:val="00E638A8"/>
    <w:rsid w:val="00E639D8"/>
    <w:rsid w:val="00E63F40"/>
    <w:rsid w:val="00E640C6"/>
    <w:rsid w:val="00E64EF3"/>
    <w:rsid w:val="00E6502E"/>
    <w:rsid w:val="00E65E76"/>
    <w:rsid w:val="00E65F91"/>
    <w:rsid w:val="00E66044"/>
    <w:rsid w:val="00E6667D"/>
    <w:rsid w:val="00E66BB0"/>
    <w:rsid w:val="00E66EF1"/>
    <w:rsid w:val="00E66F19"/>
    <w:rsid w:val="00E671A7"/>
    <w:rsid w:val="00E672AE"/>
    <w:rsid w:val="00E673DF"/>
    <w:rsid w:val="00E6748F"/>
    <w:rsid w:val="00E6793C"/>
    <w:rsid w:val="00E67A7C"/>
    <w:rsid w:val="00E7097A"/>
    <w:rsid w:val="00E70D3E"/>
    <w:rsid w:val="00E70DBF"/>
    <w:rsid w:val="00E70EF9"/>
    <w:rsid w:val="00E70FF2"/>
    <w:rsid w:val="00E712E1"/>
    <w:rsid w:val="00E71582"/>
    <w:rsid w:val="00E7170E"/>
    <w:rsid w:val="00E7171A"/>
    <w:rsid w:val="00E718AC"/>
    <w:rsid w:val="00E719AE"/>
    <w:rsid w:val="00E71BA2"/>
    <w:rsid w:val="00E726F4"/>
    <w:rsid w:val="00E727CB"/>
    <w:rsid w:val="00E72953"/>
    <w:rsid w:val="00E72EF9"/>
    <w:rsid w:val="00E73C9A"/>
    <w:rsid w:val="00E73D01"/>
    <w:rsid w:val="00E740B2"/>
    <w:rsid w:val="00E74583"/>
    <w:rsid w:val="00E745D9"/>
    <w:rsid w:val="00E75217"/>
    <w:rsid w:val="00E75295"/>
    <w:rsid w:val="00E7662E"/>
    <w:rsid w:val="00E76A35"/>
    <w:rsid w:val="00E76D06"/>
    <w:rsid w:val="00E76D31"/>
    <w:rsid w:val="00E77037"/>
    <w:rsid w:val="00E774DF"/>
    <w:rsid w:val="00E778AA"/>
    <w:rsid w:val="00E77B41"/>
    <w:rsid w:val="00E80966"/>
    <w:rsid w:val="00E809A2"/>
    <w:rsid w:val="00E80A1F"/>
    <w:rsid w:val="00E80B86"/>
    <w:rsid w:val="00E8118E"/>
    <w:rsid w:val="00E8129C"/>
    <w:rsid w:val="00E81777"/>
    <w:rsid w:val="00E8187E"/>
    <w:rsid w:val="00E8197E"/>
    <w:rsid w:val="00E81A03"/>
    <w:rsid w:val="00E81D62"/>
    <w:rsid w:val="00E823E2"/>
    <w:rsid w:val="00E8254C"/>
    <w:rsid w:val="00E8326F"/>
    <w:rsid w:val="00E839FA"/>
    <w:rsid w:val="00E84197"/>
    <w:rsid w:val="00E845ED"/>
    <w:rsid w:val="00E84609"/>
    <w:rsid w:val="00E85402"/>
    <w:rsid w:val="00E85920"/>
    <w:rsid w:val="00E85ABC"/>
    <w:rsid w:val="00E86592"/>
    <w:rsid w:val="00E86A66"/>
    <w:rsid w:val="00E86A7B"/>
    <w:rsid w:val="00E86B4C"/>
    <w:rsid w:val="00E86BB7"/>
    <w:rsid w:val="00E86C88"/>
    <w:rsid w:val="00E86D0F"/>
    <w:rsid w:val="00E86D8F"/>
    <w:rsid w:val="00E86E26"/>
    <w:rsid w:val="00E86ED8"/>
    <w:rsid w:val="00E86EDE"/>
    <w:rsid w:val="00E87D4C"/>
    <w:rsid w:val="00E9000D"/>
    <w:rsid w:val="00E905D4"/>
    <w:rsid w:val="00E9106F"/>
    <w:rsid w:val="00E9142B"/>
    <w:rsid w:val="00E918D5"/>
    <w:rsid w:val="00E91954"/>
    <w:rsid w:val="00E9197C"/>
    <w:rsid w:val="00E91BC9"/>
    <w:rsid w:val="00E91BEF"/>
    <w:rsid w:val="00E93104"/>
    <w:rsid w:val="00E9314B"/>
    <w:rsid w:val="00E93230"/>
    <w:rsid w:val="00E936B5"/>
    <w:rsid w:val="00E93B00"/>
    <w:rsid w:val="00E93F88"/>
    <w:rsid w:val="00E940F4"/>
    <w:rsid w:val="00E94105"/>
    <w:rsid w:val="00E942C2"/>
    <w:rsid w:val="00E942D6"/>
    <w:rsid w:val="00E94301"/>
    <w:rsid w:val="00E94347"/>
    <w:rsid w:val="00E94607"/>
    <w:rsid w:val="00E949DE"/>
    <w:rsid w:val="00E94BEB"/>
    <w:rsid w:val="00E95628"/>
    <w:rsid w:val="00E956D8"/>
    <w:rsid w:val="00E958F9"/>
    <w:rsid w:val="00E95DC7"/>
    <w:rsid w:val="00E95EBD"/>
    <w:rsid w:val="00E96024"/>
    <w:rsid w:val="00E96864"/>
    <w:rsid w:val="00E969F9"/>
    <w:rsid w:val="00E96D1D"/>
    <w:rsid w:val="00E96D57"/>
    <w:rsid w:val="00E96EE1"/>
    <w:rsid w:val="00E971AD"/>
    <w:rsid w:val="00E976B3"/>
    <w:rsid w:val="00E97746"/>
    <w:rsid w:val="00E97DA5"/>
    <w:rsid w:val="00E97E87"/>
    <w:rsid w:val="00E97EEE"/>
    <w:rsid w:val="00EA04B4"/>
    <w:rsid w:val="00EA1056"/>
    <w:rsid w:val="00EA12DE"/>
    <w:rsid w:val="00EA146F"/>
    <w:rsid w:val="00EA16DA"/>
    <w:rsid w:val="00EA1D41"/>
    <w:rsid w:val="00EA1F0E"/>
    <w:rsid w:val="00EA26A7"/>
    <w:rsid w:val="00EA27E9"/>
    <w:rsid w:val="00EA2CCF"/>
    <w:rsid w:val="00EA330E"/>
    <w:rsid w:val="00EA33B2"/>
    <w:rsid w:val="00EA3924"/>
    <w:rsid w:val="00EA3C82"/>
    <w:rsid w:val="00EA3DC4"/>
    <w:rsid w:val="00EA3EEE"/>
    <w:rsid w:val="00EA3F9C"/>
    <w:rsid w:val="00EA4108"/>
    <w:rsid w:val="00EA41AC"/>
    <w:rsid w:val="00EA41E1"/>
    <w:rsid w:val="00EA4801"/>
    <w:rsid w:val="00EA4920"/>
    <w:rsid w:val="00EA4AC8"/>
    <w:rsid w:val="00EA4CD6"/>
    <w:rsid w:val="00EA5529"/>
    <w:rsid w:val="00EA5736"/>
    <w:rsid w:val="00EA5BC6"/>
    <w:rsid w:val="00EA5DB3"/>
    <w:rsid w:val="00EA5F8C"/>
    <w:rsid w:val="00EA6094"/>
    <w:rsid w:val="00EA7273"/>
    <w:rsid w:val="00EA78B3"/>
    <w:rsid w:val="00EA791B"/>
    <w:rsid w:val="00EA795A"/>
    <w:rsid w:val="00EA7D1F"/>
    <w:rsid w:val="00EB00C7"/>
    <w:rsid w:val="00EB0264"/>
    <w:rsid w:val="00EB038D"/>
    <w:rsid w:val="00EB0888"/>
    <w:rsid w:val="00EB09DC"/>
    <w:rsid w:val="00EB0D9A"/>
    <w:rsid w:val="00EB10F9"/>
    <w:rsid w:val="00EB1C2C"/>
    <w:rsid w:val="00EB1C67"/>
    <w:rsid w:val="00EB1FE1"/>
    <w:rsid w:val="00EB258B"/>
    <w:rsid w:val="00EB2969"/>
    <w:rsid w:val="00EB2A2C"/>
    <w:rsid w:val="00EB2C29"/>
    <w:rsid w:val="00EB2CC7"/>
    <w:rsid w:val="00EB2DBB"/>
    <w:rsid w:val="00EB2EB3"/>
    <w:rsid w:val="00EB2F6A"/>
    <w:rsid w:val="00EB36E6"/>
    <w:rsid w:val="00EB3750"/>
    <w:rsid w:val="00EB37E3"/>
    <w:rsid w:val="00EB39D9"/>
    <w:rsid w:val="00EB40B3"/>
    <w:rsid w:val="00EB46D8"/>
    <w:rsid w:val="00EB4AB2"/>
    <w:rsid w:val="00EB4C19"/>
    <w:rsid w:val="00EB5321"/>
    <w:rsid w:val="00EB5CA6"/>
    <w:rsid w:val="00EB6073"/>
    <w:rsid w:val="00EB620A"/>
    <w:rsid w:val="00EB63BA"/>
    <w:rsid w:val="00EB6567"/>
    <w:rsid w:val="00EB7628"/>
    <w:rsid w:val="00EB7BF0"/>
    <w:rsid w:val="00EC04C9"/>
    <w:rsid w:val="00EC0658"/>
    <w:rsid w:val="00EC0677"/>
    <w:rsid w:val="00EC09BC"/>
    <w:rsid w:val="00EC0EF6"/>
    <w:rsid w:val="00EC1094"/>
    <w:rsid w:val="00EC13D2"/>
    <w:rsid w:val="00EC1A96"/>
    <w:rsid w:val="00EC1D62"/>
    <w:rsid w:val="00EC204D"/>
    <w:rsid w:val="00EC22D7"/>
    <w:rsid w:val="00EC248C"/>
    <w:rsid w:val="00EC271E"/>
    <w:rsid w:val="00EC2930"/>
    <w:rsid w:val="00EC2CA6"/>
    <w:rsid w:val="00EC2CF2"/>
    <w:rsid w:val="00EC2F00"/>
    <w:rsid w:val="00EC2F30"/>
    <w:rsid w:val="00EC3145"/>
    <w:rsid w:val="00EC3AB2"/>
    <w:rsid w:val="00EC3B6F"/>
    <w:rsid w:val="00EC3C4B"/>
    <w:rsid w:val="00EC3DFA"/>
    <w:rsid w:val="00EC3E17"/>
    <w:rsid w:val="00EC417F"/>
    <w:rsid w:val="00EC4229"/>
    <w:rsid w:val="00EC4637"/>
    <w:rsid w:val="00EC496B"/>
    <w:rsid w:val="00EC49CE"/>
    <w:rsid w:val="00EC4D1B"/>
    <w:rsid w:val="00EC51FF"/>
    <w:rsid w:val="00EC526F"/>
    <w:rsid w:val="00EC5282"/>
    <w:rsid w:val="00EC531A"/>
    <w:rsid w:val="00EC545C"/>
    <w:rsid w:val="00EC558C"/>
    <w:rsid w:val="00EC5A04"/>
    <w:rsid w:val="00EC5BD6"/>
    <w:rsid w:val="00EC5F3B"/>
    <w:rsid w:val="00EC6153"/>
    <w:rsid w:val="00EC6420"/>
    <w:rsid w:val="00EC66C7"/>
    <w:rsid w:val="00EC705B"/>
    <w:rsid w:val="00EC72C8"/>
    <w:rsid w:val="00EC73C0"/>
    <w:rsid w:val="00EC78B9"/>
    <w:rsid w:val="00ED0169"/>
    <w:rsid w:val="00ED04C3"/>
    <w:rsid w:val="00ED0556"/>
    <w:rsid w:val="00ED0871"/>
    <w:rsid w:val="00ED09C6"/>
    <w:rsid w:val="00ED2824"/>
    <w:rsid w:val="00ED2D02"/>
    <w:rsid w:val="00ED2D98"/>
    <w:rsid w:val="00ED3140"/>
    <w:rsid w:val="00ED31C3"/>
    <w:rsid w:val="00ED3A55"/>
    <w:rsid w:val="00ED4073"/>
    <w:rsid w:val="00ED43E4"/>
    <w:rsid w:val="00ED456A"/>
    <w:rsid w:val="00ED4ADC"/>
    <w:rsid w:val="00ED51F1"/>
    <w:rsid w:val="00ED5603"/>
    <w:rsid w:val="00ED571A"/>
    <w:rsid w:val="00ED578B"/>
    <w:rsid w:val="00ED5C73"/>
    <w:rsid w:val="00ED63B8"/>
    <w:rsid w:val="00ED64E7"/>
    <w:rsid w:val="00ED65C1"/>
    <w:rsid w:val="00ED6921"/>
    <w:rsid w:val="00ED69F1"/>
    <w:rsid w:val="00ED7A3F"/>
    <w:rsid w:val="00EE0797"/>
    <w:rsid w:val="00EE0BFB"/>
    <w:rsid w:val="00EE0C0B"/>
    <w:rsid w:val="00EE0C64"/>
    <w:rsid w:val="00EE0DB1"/>
    <w:rsid w:val="00EE0F86"/>
    <w:rsid w:val="00EE10FD"/>
    <w:rsid w:val="00EE1162"/>
    <w:rsid w:val="00EE1EA3"/>
    <w:rsid w:val="00EE2306"/>
    <w:rsid w:val="00EE250D"/>
    <w:rsid w:val="00EE2AEB"/>
    <w:rsid w:val="00EE2C87"/>
    <w:rsid w:val="00EE2E09"/>
    <w:rsid w:val="00EE33AA"/>
    <w:rsid w:val="00EE35AA"/>
    <w:rsid w:val="00EE3912"/>
    <w:rsid w:val="00EE3962"/>
    <w:rsid w:val="00EE4253"/>
    <w:rsid w:val="00EE43DE"/>
    <w:rsid w:val="00EE4AE0"/>
    <w:rsid w:val="00EE5038"/>
    <w:rsid w:val="00EE60ED"/>
    <w:rsid w:val="00EE622D"/>
    <w:rsid w:val="00EE6512"/>
    <w:rsid w:val="00EE6997"/>
    <w:rsid w:val="00EE7080"/>
    <w:rsid w:val="00EE71DD"/>
    <w:rsid w:val="00EE7CE0"/>
    <w:rsid w:val="00EE7FA2"/>
    <w:rsid w:val="00EF01F8"/>
    <w:rsid w:val="00EF0324"/>
    <w:rsid w:val="00EF042B"/>
    <w:rsid w:val="00EF0FF9"/>
    <w:rsid w:val="00EF106C"/>
    <w:rsid w:val="00EF15D5"/>
    <w:rsid w:val="00EF18A1"/>
    <w:rsid w:val="00EF1905"/>
    <w:rsid w:val="00EF1A50"/>
    <w:rsid w:val="00EF1DED"/>
    <w:rsid w:val="00EF2103"/>
    <w:rsid w:val="00EF22C4"/>
    <w:rsid w:val="00EF288A"/>
    <w:rsid w:val="00EF2946"/>
    <w:rsid w:val="00EF2957"/>
    <w:rsid w:val="00EF31EE"/>
    <w:rsid w:val="00EF39DD"/>
    <w:rsid w:val="00EF3A67"/>
    <w:rsid w:val="00EF3C64"/>
    <w:rsid w:val="00EF4B20"/>
    <w:rsid w:val="00EF4E70"/>
    <w:rsid w:val="00EF4EA3"/>
    <w:rsid w:val="00EF5026"/>
    <w:rsid w:val="00EF5151"/>
    <w:rsid w:val="00EF5B02"/>
    <w:rsid w:val="00EF5BE4"/>
    <w:rsid w:val="00EF5FB0"/>
    <w:rsid w:val="00EF6179"/>
    <w:rsid w:val="00EF61A9"/>
    <w:rsid w:val="00EF647B"/>
    <w:rsid w:val="00EF69BB"/>
    <w:rsid w:val="00EF6DBB"/>
    <w:rsid w:val="00EF7532"/>
    <w:rsid w:val="00EF77F5"/>
    <w:rsid w:val="00EF789E"/>
    <w:rsid w:val="00EF7A7D"/>
    <w:rsid w:val="00EF7D1B"/>
    <w:rsid w:val="00F00623"/>
    <w:rsid w:val="00F00F56"/>
    <w:rsid w:val="00F014E0"/>
    <w:rsid w:val="00F0153E"/>
    <w:rsid w:val="00F01712"/>
    <w:rsid w:val="00F0176A"/>
    <w:rsid w:val="00F01973"/>
    <w:rsid w:val="00F01C0A"/>
    <w:rsid w:val="00F01ECA"/>
    <w:rsid w:val="00F02398"/>
    <w:rsid w:val="00F02926"/>
    <w:rsid w:val="00F02C8E"/>
    <w:rsid w:val="00F02D61"/>
    <w:rsid w:val="00F02E7C"/>
    <w:rsid w:val="00F0311D"/>
    <w:rsid w:val="00F037E5"/>
    <w:rsid w:val="00F03CAA"/>
    <w:rsid w:val="00F03DB1"/>
    <w:rsid w:val="00F03DD9"/>
    <w:rsid w:val="00F03E26"/>
    <w:rsid w:val="00F03FBC"/>
    <w:rsid w:val="00F04537"/>
    <w:rsid w:val="00F048C8"/>
    <w:rsid w:val="00F04E31"/>
    <w:rsid w:val="00F0572D"/>
    <w:rsid w:val="00F0577C"/>
    <w:rsid w:val="00F057C6"/>
    <w:rsid w:val="00F057D0"/>
    <w:rsid w:val="00F05862"/>
    <w:rsid w:val="00F059BC"/>
    <w:rsid w:val="00F05D87"/>
    <w:rsid w:val="00F05FFF"/>
    <w:rsid w:val="00F062B6"/>
    <w:rsid w:val="00F064FA"/>
    <w:rsid w:val="00F06673"/>
    <w:rsid w:val="00F06D6A"/>
    <w:rsid w:val="00F06EE3"/>
    <w:rsid w:val="00F071F3"/>
    <w:rsid w:val="00F07944"/>
    <w:rsid w:val="00F07FB4"/>
    <w:rsid w:val="00F10165"/>
    <w:rsid w:val="00F10281"/>
    <w:rsid w:val="00F1036E"/>
    <w:rsid w:val="00F1040A"/>
    <w:rsid w:val="00F10434"/>
    <w:rsid w:val="00F10449"/>
    <w:rsid w:val="00F10C2E"/>
    <w:rsid w:val="00F10FB4"/>
    <w:rsid w:val="00F1127F"/>
    <w:rsid w:val="00F11646"/>
    <w:rsid w:val="00F1191B"/>
    <w:rsid w:val="00F11DF9"/>
    <w:rsid w:val="00F11E2A"/>
    <w:rsid w:val="00F11FD3"/>
    <w:rsid w:val="00F12228"/>
    <w:rsid w:val="00F125C0"/>
    <w:rsid w:val="00F125E9"/>
    <w:rsid w:val="00F12FEE"/>
    <w:rsid w:val="00F13690"/>
    <w:rsid w:val="00F137BB"/>
    <w:rsid w:val="00F13B1A"/>
    <w:rsid w:val="00F13F43"/>
    <w:rsid w:val="00F141FC"/>
    <w:rsid w:val="00F146E5"/>
    <w:rsid w:val="00F149A8"/>
    <w:rsid w:val="00F149D6"/>
    <w:rsid w:val="00F151C2"/>
    <w:rsid w:val="00F1522A"/>
    <w:rsid w:val="00F15E25"/>
    <w:rsid w:val="00F16777"/>
    <w:rsid w:val="00F1677F"/>
    <w:rsid w:val="00F16E85"/>
    <w:rsid w:val="00F17029"/>
    <w:rsid w:val="00F17147"/>
    <w:rsid w:val="00F17505"/>
    <w:rsid w:val="00F176A5"/>
    <w:rsid w:val="00F17F9B"/>
    <w:rsid w:val="00F200BB"/>
    <w:rsid w:val="00F205E9"/>
    <w:rsid w:val="00F207C2"/>
    <w:rsid w:val="00F20881"/>
    <w:rsid w:val="00F20B0E"/>
    <w:rsid w:val="00F20BA9"/>
    <w:rsid w:val="00F217F6"/>
    <w:rsid w:val="00F2183A"/>
    <w:rsid w:val="00F21DBC"/>
    <w:rsid w:val="00F21EC1"/>
    <w:rsid w:val="00F21EE3"/>
    <w:rsid w:val="00F22025"/>
    <w:rsid w:val="00F22228"/>
    <w:rsid w:val="00F22810"/>
    <w:rsid w:val="00F2295C"/>
    <w:rsid w:val="00F229DD"/>
    <w:rsid w:val="00F22A79"/>
    <w:rsid w:val="00F22FE7"/>
    <w:rsid w:val="00F23187"/>
    <w:rsid w:val="00F233FC"/>
    <w:rsid w:val="00F235E8"/>
    <w:rsid w:val="00F2366C"/>
    <w:rsid w:val="00F23FA5"/>
    <w:rsid w:val="00F24248"/>
    <w:rsid w:val="00F243AB"/>
    <w:rsid w:val="00F2455E"/>
    <w:rsid w:val="00F248DD"/>
    <w:rsid w:val="00F25229"/>
    <w:rsid w:val="00F2546F"/>
    <w:rsid w:val="00F25B12"/>
    <w:rsid w:val="00F25F6D"/>
    <w:rsid w:val="00F2710D"/>
    <w:rsid w:val="00F271FD"/>
    <w:rsid w:val="00F272B0"/>
    <w:rsid w:val="00F273C3"/>
    <w:rsid w:val="00F27442"/>
    <w:rsid w:val="00F27512"/>
    <w:rsid w:val="00F27EE6"/>
    <w:rsid w:val="00F31047"/>
    <w:rsid w:val="00F31242"/>
    <w:rsid w:val="00F313B1"/>
    <w:rsid w:val="00F32070"/>
    <w:rsid w:val="00F320A3"/>
    <w:rsid w:val="00F323A8"/>
    <w:rsid w:val="00F323B8"/>
    <w:rsid w:val="00F328EC"/>
    <w:rsid w:val="00F33AF3"/>
    <w:rsid w:val="00F33D62"/>
    <w:rsid w:val="00F340DD"/>
    <w:rsid w:val="00F3441F"/>
    <w:rsid w:val="00F346A9"/>
    <w:rsid w:val="00F354D1"/>
    <w:rsid w:val="00F35786"/>
    <w:rsid w:val="00F3598D"/>
    <w:rsid w:val="00F360AB"/>
    <w:rsid w:val="00F36437"/>
    <w:rsid w:val="00F36B89"/>
    <w:rsid w:val="00F36CCD"/>
    <w:rsid w:val="00F36DFD"/>
    <w:rsid w:val="00F4008E"/>
    <w:rsid w:val="00F40318"/>
    <w:rsid w:val="00F405A9"/>
    <w:rsid w:val="00F40A24"/>
    <w:rsid w:val="00F41089"/>
    <w:rsid w:val="00F41286"/>
    <w:rsid w:val="00F41713"/>
    <w:rsid w:val="00F41B13"/>
    <w:rsid w:val="00F42E61"/>
    <w:rsid w:val="00F4310B"/>
    <w:rsid w:val="00F431B0"/>
    <w:rsid w:val="00F432AE"/>
    <w:rsid w:val="00F43414"/>
    <w:rsid w:val="00F4349A"/>
    <w:rsid w:val="00F4369B"/>
    <w:rsid w:val="00F437B7"/>
    <w:rsid w:val="00F43A39"/>
    <w:rsid w:val="00F43A5E"/>
    <w:rsid w:val="00F43D45"/>
    <w:rsid w:val="00F440CB"/>
    <w:rsid w:val="00F443BA"/>
    <w:rsid w:val="00F44442"/>
    <w:rsid w:val="00F44923"/>
    <w:rsid w:val="00F44DDF"/>
    <w:rsid w:val="00F451F3"/>
    <w:rsid w:val="00F453EB"/>
    <w:rsid w:val="00F45DA0"/>
    <w:rsid w:val="00F45E47"/>
    <w:rsid w:val="00F462A8"/>
    <w:rsid w:val="00F46638"/>
    <w:rsid w:val="00F469FE"/>
    <w:rsid w:val="00F47000"/>
    <w:rsid w:val="00F47106"/>
    <w:rsid w:val="00F471D1"/>
    <w:rsid w:val="00F479B4"/>
    <w:rsid w:val="00F47F8D"/>
    <w:rsid w:val="00F5014E"/>
    <w:rsid w:val="00F5059B"/>
    <w:rsid w:val="00F506EA"/>
    <w:rsid w:val="00F50ED3"/>
    <w:rsid w:val="00F51269"/>
    <w:rsid w:val="00F51557"/>
    <w:rsid w:val="00F51641"/>
    <w:rsid w:val="00F516B6"/>
    <w:rsid w:val="00F516E2"/>
    <w:rsid w:val="00F51A4A"/>
    <w:rsid w:val="00F51D1B"/>
    <w:rsid w:val="00F52281"/>
    <w:rsid w:val="00F5241A"/>
    <w:rsid w:val="00F52693"/>
    <w:rsid w:val="00F52A42"/>
    <w:rsid w:val="00F534CC"/>
    <w:rsid w:val="00F535E0"/>
    <w:rsid w:val="00F53A03"/>
    <w:rsid w:val="00F542BA"/>
    <w:rsid w:val="00F54332"/>
    <w:rsid w:val="00F547F1"/>
    <w:rsid w:val="00F54F80"/>
    <w:rsid w:val="00F5579B"/>
    <w:rsid w:val="00F557FA"/>
    <w:rsid w:val="00F55E1D"/>
    <w:rsid w:val="00F56519"/>
    <w:rsid w:val="00F5686C"/>
    <w:rsid w:val="00F56951"/>
    <w:rsid w:val="00F56AF5"/>
    <w:rsid w:val="00F56CF5"/>
    <w:rsid w:val="00F57656"/>
    <w:rsid w:val="00F578DC"/>
    <w:rsid w:val="00F57A9F"/>
    <w:rsid w:val="00F57B7F"/>
    <w:rsid w:val="00F57FF4"/>
    <w:rsid w:val="00F60013"/>
    <w:rsid w:val="00F603D2"/>
    <w:rsid w:val="00F603DF"/>
    <w:rsid w:val="00F6071F"/>
    <w:rsid w:val="00F60810"/>
    <w:rsid w:val="00F608C4"/>
    <w:rsid w:val="00F60EFA"/>
    <w:rsid w:val="00F61012"/>
    <w:rsid w:val="00F611BE"/>
    <w:rsid w:val="00F6132E"/>
    <w:rsid w:val="00F61632"/>
    <w:rsid w:val="00F61977"/>
    <w:rsid w:val="00F62378"/>
    <w:rsid w:val="00F623AB"/>
    <w:rsid w:val="00F62695"/>
    <w:rsid w:val="00F62F69"/>
    <w:rsid w:val="00F63005"/>
    <w:rsid w:val="00F631C3"/>
    <w:rsid w:val="00F633FD"/>
    <w:rsid w:val="00F63676"/>
    <w:rsid w:val="00F63894"/>
    <w:rsid w:val="00F63A88"/>
    <w:rsid w:val="00F63EF8"/>
    <w:rsid w:val="00F63EFC"/>
    <w:rsid w:val="00F647F0"/>
    <w:rsid w:val="00F64999"/>
    <w:rsid w:val="00F64E3F"/>
    <w:rsid w:val="00F65119"/>
    <w:rsid w:val="00F65E4C"/>
    <w:rsid w:val="00F66462"/>
    <w:rsid w:val="00F66B12"/>
    <w:rsid w:val="00F66DF5"/>
    <w:rsid w:val="00F670F0"/>
    <w:rsid w:val="00F673B2"/>
    <w:rsid w:val="00F67628"/>
    <w:rsid w:val="00F67933"/>
    <w:rsid w:val="00F67984"/>
    <w:rsid w:val="00F67A43"/>
    <w:rsid w:val="00F704F1"/>
    <w:rsid w:val="00F70C5B"/>
    <w:rsid w:val="00F7129F"/>
    <w:rsid w:val="00F712D5"/>
    <w:rsid w:val="00F71562"/>
    <w:rsid w:val="00F7220F"/>
    <w:rsid w:val="00F72227"/>
    <w:rsid w:val="00F7275F"/>
    <w:rsid w:val="00F728D0"/>
    <w:rsid w:val="00F72D4E"/>
    <w:rsid w:val="00F73105"/>
    <w:rsid w:val="00F73A82"/>
    <w:rsid w:val="00F73AFD"/>
    <w:rsid w:val="00F73E71"/>
    <w:rsid w:val="00F7433D"/>
    <w:rsid w:val="00F744FC"/>
    <w:rsid w:val="00F7450A"/>
    <w:rsid w:val="00F7490B"/>
    <w:rsid w:val="00F7510A"/>
    <w:rsid w:val="00F75ACD"/>
    <w:rsid w:val="00F762E3"/>
    <w:rsid w:val="00F76591"/>
    <w:rsid w:val="00F76AB6"/>
    <w:rsid w:val="00F76F62"/>
    <w:rsid w:val="00F77AE3"/>
    <w:rsid w:val="00F77DBC"/>
    <w:rsid w:val="00F81126"/>
    <w:rsid w:val="00F8123B"/>
    <w:rsid w:val="00F8156C"/>
    <w:rsid w:val="00F816E8"/>
    <w:rsid w:val="00F81897"/>
    <w:rsid w:val="00F81A42"/>
    <w:rsid w:val="00F81F57"/>
    <w:rsid w:val="00F82D21"/>
    <w:rsid w:val="00F82D83"/>
    <w:rsid w:val="00F83F9A"/>
    <w:rsid w:val="00F8423E"/>
    <w:rsid w:val="00F84520"/>
    <w:rsid w:val="00F8478F"/>
    <w:rsid w:val="00F849FF"/>
    <w:rsid w:val="00F84C41"/>
    <w:rsid w:val="00F85042"/>
    <w:rsid w:val="00F85CCA"/>
    <w:rsid w:val="00F86255"/>
    <w:rsid w:val="00F86440"/>
    <w:rsid w:val="00F86D93"/>
    <w:rsid w:val="00F87A3A"/>
    <w:rsid w:val="00F87CFF"/>
    <w:rsid w:val="00F908C8"/>
    <w:rsid w:val="00F90C86"/>
    <w:rsid w:val="00F90D87"/>
    <w:rsid w:val="00F917A1"/>
    <w:rsid w:val="00F92117"/>
    <w:rsid w:val="00F9215E"/>
    <w:rsid w:val="00F92185"/>
    <w:rsid w:val="00F923A7"/>
    <w:rsid w:val="00F92903"/>
    <w:rsid w:val="00F92BEA"/>
    <w:rsid w:val="00F92F0D"/>
    <w:rsid w:val="00F934C8"/>
    <w:rsid w:val="00F938C3"/>
    <w:rsid w:val="00F939CC"/>
    <w:rsid w:val="00F93B7F"/>
    <w:rsid w:val="00F94581"/>
    <w:rsid w:val="00F948A9"/>
    <w:rsid w:val="00F94929"/>
    <w:rsid w:val="00F949A1"/>
    <w:rsid w:val="00F95635"/>
    <w:rsid w:val="00F956A5"/>
    <w:rsid w:val="00F956BF"/>
    <w:rsid w:val="00F9574D"/>
    <w:rsid w:val="00F95816"/>
    <w:rsid w:val="00F958B4"/>
    <w:rsid w:val="00F959F9"/>
    <w:rsid w:val="00F95DFA"/>
    <w:rsid w:val="00F95F55"/>
    <w:rsid w:val="00F96378"/>
    <w:rsid w:val="00F96697"/>
    <w:rsid w:val="00F966C6"/>
    <w:rsid w:val="00F966E4"/>
    <w:rsid w:val="00F96AA8"/>
    <w:rsid w:val="00F97479"/>
    <w:rsid w:val="00F975B8"/>
    <w:rsid w:val="00F9796F"/>
    <w:rsid w:val="00F97F1B"/>
    <w:rsid w:val="00FA066C"/>
    <w:rsid w:val="00FA06EA"/>
    <w:rsid w:val="00FA095D"/>
    <w:rsid w:val="00FA14A3"/>
    <w:rsid w:val="00FA14B8"/>
    <w:rsid w:val="00FA14DD"/>
    <w:rsid w:val="00FA1BA8"/>
    <w:rsid w:val="00FA1EC2"/>
    <w:rsid w:val="00FA1F6A"/>
    <w:rsid w:val="00FA2059"/>
    <w:rsid w:val="00FA2186"/>
    <w:rsid w:val="00FA2670"/>
    <w:rsid w:val="00FA26FD"/>
    <w:rsid w:val="00FA3262"/>
    <w:rsid w:val="00FA3472"/>
    <w:rsid w:val="00FA41DF"/>
    <w:rsid w:val="00FA46A5"/>
    <w:rsid w:val="00FA4885"/>
    <w:rsid w:val="00FA50BA"/>
    <w:rsid w:val="00FA526A"/>
    <w:rsid w:val="00FA5327"/>
    <w:rsid w:val="00FA5CDF"/>
    <w:rsid w:val="00FA5DD1"/>
    <w:rsid w:val="00FA6100"/>
    <w:rsid w:val="00FA6378"/>
    <w:rsid w:val="00FA63F3"/>
    <w:rsid w:val="00FA6CB7"/>
    <w:rsid w:val="00FA70C2"/>
    <w:rsid w:val="00FA72DD"/>
    <w:rsid w:val="00FA7CE8"/>
    <w:rsid w:val="00FA7EAE"/>
    <w:rsid w:val="00FB0083"/>
    <w:rsid w:val="00FB0171"/>
    <w:rsid w:val="00FB01B5"/>
    <w:rsid w:val="00FB03D8"/>
    <w:rsid w:val="00FB0C17"/>
    <w:rsid w:val="00FB0D02"/>
    <w:rsid w:val="00FB0D28"/>
    <w:rsid w:val="00FB1189"/>
    <w:rsid w:val="00FB1772"/>
    <w:rsid w:val="00FB17C0"/>
    <w:rsid w:val="00FB1A11"/>
    <w:rsid w:val="00FB1B56"/>
    <w:rsid w:val="00FB1C03"/>
    <w:rsid w:val="00FB1FA5"/>
    <w:rsid w:val="00FB2214"/>
    <w:rsid w:val="00FB2550"/>
    <w:rsid w:val="00FB296A"/>
    <w:rsid w:val="00FB2D70"/>
    <w:rsid w:val="00FB32C8"/>
    <w:rsid w:val="00FB32F8"/>
    <w:rsid w:val="00FB3427"/>
    <w:rsid w:val="00FB39A3"/>
    <w:rsid w:val="00FB3F62"/>
    <w:rsid w:val="00FB4518"/>
    <w:rsid w:val="00FB4833"/>
    <w:rsid w:val="00FB4ED6"/>
    <w:rsid w:val="00FB5342"/>
    <w:rsid w:val="00FB5E83"/>
    <w:rsid w:val="00FB5ED1"/>
    <w:rsid w:val="00FB5FF2"/>
    <w:rsid w:val="00FB652B"/>
    <w:rsid w:val="00FB6E7C"/>
    <w:rsid w:val="00FB7043"/>
    <w:rsid w:val="00FB79A2"/>
    <w:rsid w:val="00FB7E80"/>
    <w:rsid w:val="00FB7F0B"/>
    <w:rsid w:val="00FC056E"/>
    <w:rsid w:val="00FC07B8"/>
    <w:rsid w:val="00FC0957"/>
    <w:rsid w:val="00FC09CD"/>
    <w:rsid w:val="00FC0E2E"/>
    <w:rsid w:val="00FC112C"/>
    <w:rsid w:val="00FC1385"/>
    <w:rsid w:val="00FC13A9"/>
    <w:rsid w:val="00FC1F2C"/>
    <w:rsid w:val="00FC27C2"/>
    <w:rsid w:val="00FC2D7D"/>
    <w:rsid w:val="00FC2F40"/>
    <w:rsid w:val="00FC31C2"/>
    <w:rsid w:val="00FC38A5"/>
    <w:rsid w:val="00FC4085"/>
    <w:rsid w:val="00FC45FA"/>
    <w:rsid w:val="00FC52A2"/>
    <w:rsid w:val="00FC541C"/>
    <w:rsid w:val="00FC5496"/>
    <w:rsid w:val="00FC5883"/>
    <w:rsid w:val="00FC5B64"/>
    <w:rsid w:val="00FC5C5F"/>
    <w:rsid w:val="00FC602B"/>
    <w:rsid w:val="00FC6217"/>
    <w:rsid w:val="00FC656A"/>
    <w:rsid w:val="00FC69DA"/>
    <w:rsid w:val="00FC6A07"/>
    <w:rsid w:val="00FC6B81"/>
    <w:rsid w:val="00FC6F59"/>
    <w:rsid w:val="00FC7134"/>
    <w:rsid w:val="00FC7223"/>
    <w:rsid w:val="00FC79A9"/>
    <w:rsid w:val="00FC7A52"/>
    <w:rsid w:val="00FC7DDB"/>
    <w:rsid w:val="00FD0233"/>
    <w:rsid w:val="00FD0E6D"/>
    <w:rsid w:val="00FD12ED"/>
    <w:rsid w:val="00FD14D9"/>
    <w:rsid w:val="00FD193F"/>
    <w:rsid w:val="00FD1B92"/>
    <w:rsid w:val="00FD1BBD"/>
    <w:rsid w:val="00FD1E38"/>
    <w:rsid w:val="00FD2005"/>
    <w:rsid w:val="00FD27FA"/>
    <w:rsid w:val="00FD2BC1"/>
    <w:rsid w:val="00FD2C17"/>
    <w:rsid w:val="00FD2F97"/>
    <w:rsid w:val="00FD310E"/>
    <w:rsid w:val="00FD3C9F"/>
    <w:rsid w:val="00FD3CCF"/>
    <w:rsid w:val="00FD4034"/>
    <w:rsid w:val="00FD43FB"/>
    <w:rsid w:val="00FD4B89"/>
    <w:rsid w:val="00FD5596"/>
    <w:rsid w:val="00FD5657"/>
    <w:rsid w:val="00FD576F"/>
    <w:rsid w:val="00FD5ADA"/>
    <w:rsid w:val="00FD5FAA"/>
    <w:rsid w:val="00FD610A"/>
    <w:rsid w:val="00FD64BA"/>
    <w:rsid w:val="00FD64EE"/>
    <w:rsid w:val="00FD76DD"/>
    <w:rsid w:val="00FD7906"/>
    <w:rsid w:val="00FD7F04"/>
    <w:rsid w:val="00FE052A"/>
    <w:rsid w:val="00FE0C73"/>
    <w:rsid w:val="00FE0F64"/>
    <w:rsid w:val="00FE1133"/>
    <w:rsid w:val="00FE1793"/>
    <w:rsid w:val="00FE216B"/>
    <w:rsid w:val="00FE23A2"/>
    <w:rsid w:val="00FE2717"/>
    <w:rsid w:val="00FE2AC6"/>
    <w:rsid w:val="00FE3294"/>
    <w:rsid w:val="00FE36A8"/>
    <w:rsid w:val="00FE39CA"/>
    <w:rsid w:val="00FE3AE9"/>
    <w:rsid w:val="00FE3D3B"/>
    <w:rsid w:val="00FE3D85"/>
    <w:rsid w:val="00FE3ED5"/>
    <w:rsid w:val="00FE3FC5"/>
    <w:rsid w:val="00FE4622"/>
    <w:rsid w:val="00FE517D"/>
    <w:rsid w:val="00FE531E"/>
    <w:rsid w:val="00FE53BA"/>
    <w:rsid w:val="00FE5AC9"/>
    <w:rsid w:val="00FE622E"/>
    <w:rsid w:val="00FE6600"/>
    <w:rsid w:val="00FE6774"/>
    <w:rsid w:val="00FE68CF"/>
    <w:rsid w:val="00FE69A3"/>
    <w:rsid w:val="00FE6A15"/>
    <w:rsid w:val="00FE6D0F"/>
    <w:rsid w:val="00FE765F"/>
    <w:rsid w:val="00FE79C1"/>
    <w:rsid w:val="00FE7B1A"/>
    <w:rsid w:val="00FE7B76"/>
    <w:rsid w:val="00FE7E43"/>
    <w:rsid w:val="00FE7FE9"/>
    <w:rsid w:val="00FF0B8C"/>
    <w:rsid w:val="00FF0D92"/>
    <w:rsid w:val="00FF1C37"/>
    <w:rsid w:val="00FF227D"/>
    <w:rsid w:val="00FF25A5"/>
    <w:rsid w:val="00FF2EC8"/>
    <w:rsid w:val="00FF306A"/>
    <w:rsid w:val="00FF31D6"/>
    <w:rsid w:val="00FF34BC"/>
    <w:rsid w:val="00FF3635"/>
    <w:rsid w:val="00FF387F"/>
    <w:rsid w:val="00FF3C08"/>
    <w:rsid w:val="00FF3D80"/>
    <w:rsid w:val="00FF3DBA"/>
    <w:rsid w:val="00FF3DF1"/>
    <w:rsid w:val="00FF4020"/>
    <w:rsid w:val="00FF4041"/>
    <w:rsid w:val="00FF4760"/>
    <w:rsid w:val="00FF4CD5"/>
    <w:rsid w:val="00FF4D0A"/>
    <w:rsid w:val="00FF5135"/>
    <w:rsid w:val="00FF5193"/>
    <w:rsid w:val="00FF5408"/>
    <w:rsid w:val="00FF5DC0"/>
    <w:rsid w:val="00FF64EC"/>
    <w:rsid w:val="00FF6696"/>
    <w:rsid w:val="00FF6BC2"/>
    <w:rsid w:val="00FF6FFE"/>
    <w:rsid w:val="00FF71B3"/>
    <w:rsid w:val="00FF7864"/>
    <w:rsid w:val="00FF7AFF"/>
    <w:rsid w:val="012F41F1"/>
    <w:rsid w:val="013B0DE8"/>
    <w:rsid w:val="014D03DC"/>
    <w:rsid w:val="01DD5A3C"/>
    <w:rsid w:val="02345EC1"/>
    <w:rsid w:val="024825A9"/>
    <w:rsid w:val="024D6633"/>
    <w:rsid w:val="03F94F83"/>
    <w:rsid w:val="04535480"/>
    <w:rsid w:val="04C25C4D"/>
    <w:rsid w:val="04E62D2F"/>
    <w:rsid w:val="05233C98"/>
    <w:rsid w:val="05A84CA9"/>
    <w:rsid w:val="05D21059"/>
    <w:rsid w:val="05D25B50"/>
    <w:rsid w:val="05DA7F51"/>
    <w:rsid w:val="0656033C"/>
    <w:rsid w:val="067747C4"/>
    <w:rsid w:val="06A35E54"/>
    <w:rsid w:val="07236BE1"/>
    <w:rsid w:val="072741D9"/>
    <w:rsid w:val="07CB4B80"/>
    <w:rsid w:val="07CF1DA3"/>
    <w:rsid w:val="07D00107"/>
    <w:rsid w:val="07F1164A"/>
    <w:rsid w:val="08042653"/>
    <w:rsid w:val="081417C8"/>
    <w:rsid w:val="083F2AB8"/>
    <w:rsid w:val="0852085D"/>
    <w:rsid w:val="08F837ED"/>
    <w:rsid w:val="09075D76"/>
    <w:rsid w:val="0925625D"/>
    <w:rsid w:val="09670FE9"/>
    <w:rsid w:val="09B3542F"/>
    <w:rsid w:val="09B92B69"/>
    <w:rsid w:val="0A021E77"/>
    <w:rsid w:val="0A156A03"/>
    <w:rsid w:val="0AA019D5"/>
    <w:rsid w:val="0AC867AD"/>
    <w:rsid w:val="0ADC7CC4"/>
    <w:rsid w:val="0B66534F"/>
    <w:rsid w:val="0B755C32"/>
    <w:rsid w:val="0BAB495D"/>
    <w:rsid w:val="0C1D602F"/>
    <w:rsid w:val="0C7A02C3"/>
    <w:rsid w:val="0C826F8A"/>
    <w:rsid w:val="0C8D437D"/>
    <w:rsid w:val="0CA76B81"/>
    <w:rsid w:val="0D755341"/>
    <w:rsid w:val="0D905AFF"/>
    <w:rsid w:val="0E0D1B45"/>
    <w:rsid w:val="0E483041"/>
    <w:rsid w:val="0EA57F4D"/>
    <w:rsid w:val="0F1E0FD1"/>
    <w:rsid w:val="0F9B563A"/>
    <w:rsid w:val="0FD35ABA"/>
    <w:rsid w:val="0FFF56D6"/>
    <w:rsid w:val="103E2681"/>
    <w:rsid w:val="10727854"/>
    <w:rsid w:val="10B36664"/>
    <w:rsid w:val="10C46F33"/>
    <w:rsid w:val="113132A4"/>
    <w:rsid w:val="114D3E5E"/>
    <w:rsid w:val="11A03DA7"/>
    <w:rsid w:val="126D6A59"/>
    <w:rsid w:val="126F2AC5"/>
    <w:rsid w:val="12734D9A"/>
    <w:rsid w:val="127D2ABB"/>
    <w:rsid w:val="12940358"/>
    <w:rsid w:val="12AD2837"/>
    <w:rsid w:val="12B02777"/>
    <w:rsid w:val="131E7617"/>
    <w:rsid w:val="134355A9"/>
    <w:rsid w:val="14C12F5A"/>
    <w:rsid w:val="14C6704B"/>
    <w:rsid w:val="14D24986"/>
    <w:rsid w:val="14D41A24"/>
    <w:rsid w:val="15492177"/>
    <w:rsid w:val="15687343"/>
    <w:rsid w:val="15AC3F15"/>
    <w:rsid w:val="15B87CBE"/>
    <w:rsid w:val="15E955E2"/>
    <w:rsid w:val="15FF30BE"/>
    <w:rsid w:val="164F6A8C"/>
    <w:rsid w:val="165C0F9B"/>
    <w:rsid w:val="167701CB"/>
    <w:rsid w:val="16827652"/>
    <w:rsid w:val="16B514CE"/>
    <w:rsid w:val="173C0FBE"/>
    <w:rsid w:val="17853039"/>
    <w:rsid w:val="18315A99"/>
    <w:rsid w:val="19036096"/>
    <w:rsid w:val="19162081"/>
    <w:rsid w:val="198A7DBF"/>
    <w:rsid w:val="19A10107"/>
    <w:rsid w:val="19AC2292"/>
    <w:rsid w:val="19B92F98"/>
    <w:rsid w:val="19C22FA6"/>
    <w:rsid w:val="1A424EB8"/>
    <w:rsid w:val="1A4706AC"/>
    <w:rsid w:val="1A5934E8"/>
    <w:rsid w:val="1A6B4094"/>
    <w:rsid w:val="1A9C5F08"/>
    <w:rsid w:val="1AB812C1"/>
    <w:rsid w:val="1B0E45B3"/>
    <w:rsid w:val="1B336D32"/>
    <w:rsid w:val="1C2470FB"/>
    <w:rsid w:val="1C2F00D8"/>
    <w:rsid w:val="1C5E1E37"/>
    <w:rsid w:val="1C9C5CB0"/>
    <w:rsid w:val="1CB86171"/>
    <w:rsid w:val="1CFF2342"/>
    <w:rsid w:val="1D5074DA"/>
    <w:rsid w:val="1D6B7F07"/>
    <w:rsid w:val="1D95764A"/>
    <w:rsid w:val="1E4C7D38"/>
    <w:rsid w:val="1E62051F"/>
    <w:rsid w:val="1E8628EA"/>
    <w:rsid w:val="1EAE27A1"/>
    <w:rsid w:val="1ECB6226"/>
    <w:rsid w:val="1F4629DA"/>
    <w:rsid w:val="1F8C72B0"/>
    <w:rsid w:val="1FC468C8"/>
    <w:rsid w:val="200F4F4B"/>
    <w:rsid w:val="2041084E"/>
    <w:rsid w:val="208E457C"/>
    <w:rsid w:val="20D07F44"/>
    <w:rsid w:val="20D5522D"/>
    <w:rsid w:val="20E32801"/>
    <w:rsid w:val="210D5A00"/>
    <w:rsid w:val="21AE4415"/>
    <w:rsid w:val="22106957"/>
    <w:rsid w:val="22177AAD"/>
    <w:rsid w:val="228908F7"/>
    <w:rsid w:val="23194195"/>
    <w:rsid w:val="23B67F06"/>
    <w:rsid w:val="24540C09"/>
    <w:rsid w:val="248F2E20"/>
    <w:rsid w:val="24D06C7E"/>
    <w:rsid w:val="24E408A6"/>
    <w:rsid w:val="24EB0253"/>
    <w:rsid w:val="24F829C8"/>
    <w:rsid w:val="253D5BC6"/>
    <w:rsid w:val="253D6AD1"/>
    <w:rsid w:val="25577BE4"/>
    <w:rsid w:val="259701A9"/>
    <w:rsid w:val="260A783C"/>
    <w:rsid w:val="26581D4E"/>
    <w:rsid w:val="26CD6C49"/>
    <w:rsid w:val="27474E34"/>
    <w:rsid w:val="278A0F52"/>
    <w:rsid w:val="28D64BD4"/>
    <w:rsid w:val="290D27BA"/>
    <w:rsid w:val="29641F51"/>
    <w:rsid w:val="299C4629"/>
    <w:rsid w:val="29E36DDB"/>
    <w:rsid w:val="29FA07F7"/>
    <w:rsid w:val="2A0E616D"/>
    <w:rsid w:val="2A6321F9"/>
    <w:rsid w:val="2A634199"/>
    <w:rsid w:val="2A816936"/>
    <w:rsid w:val="2A81693D"/>
    <w:rsid w:val="2A8B1221"/>
    <w:rsid w:val="2B0E58B3"/>
    <w:rsid w:val="2B7A756E"/>
    <w:rsid w:val="2C2321A8"/>
    <w:rsid w:val="2C5D019C"/>
    <w:rsid w:val="2C9B475A"/>
    <w:rsid w:val="2CBE602F"/>
    <w:rsid w:val="2CD05FD9"/>
    <w:rsid w:val="2CE9007E"/>
    <w:rsid w:val="2D39096E"/>
    <w:rsid w:val="2E183671"/>
    <w:rsid w:val="2E540E1C"/>
    <w:rsid w:val="2E9559D9"/>
    <w:rsid w:val="2F48732B"/>
    <w:rsid w:val="2F9205C2"/>
    <w:rsid w:val="2F9419A6"/>
    <w:rsid w:val="2FDF6906"/>
    <w:rsid w:val="2FE43CD0"/>
    <w:rsid w:val="30961C57"/>
    <w:rsid w:val="30CE7D23"/>
    <w:rsid w:val="312B37D2"/>
    <w:rsid w:val="31905074"/>
    <w:rsid w:val="31C81F80"/>
    <w:rsid w:val="3220530C"/>
    <w:rsid w:val="32614AC2"/>
    <w:rsid w:val="328F33EF"/>
    <w:rsid w:val="32C56DE0"/>
    <w:rsid w:val="338A7B18"/>
    <w:rsid w:val="34035225"/>
    <w:rsid w:val="3409704A"/>
    <w:rsid w:val="34363DBA"/>
    <w:rsid w:val="34480B4A"/>
    <w:rsid w:val="344B5D87"/>
    <w:rsid w:val="34622398"/>
    <w:rsid w:val="34BB2535"/>
    <w:rsid w:val="352C4581"/>
    <w:rsid w:val="35977F69"/>
    <w:rsid w:val="36745D7E"/>
    <w:rsid w:val="36AB0808"/>
    <w:rsid w:val="36F63E7F"/>
    <w:rsid w:val="377A726D"/>
    <w:rsid w:val="37CB1876"/>
    <w:rsid w:val="37EB1D1D"/>
    <w:rsid w:val="38441F77"/>
    <w:rsid w:val="384F4255"/>
    <w:rsid w:val="389979E8"/>
    <w:rsid w:val="38CC34D5"/>
    <w:rsid w:val="39185426"/>
    <w:rsid w:val="391A20F1"/>
    <w:rsid w:val="396A6117"/>
    <w:rsid w:val="398C0173"/>
    <w:rsid w:val="39B50CA2"/>
    <w:rsid w:val="39CE5047"/>
    <w:rsid w:val="3A1A3F24"/>
    <w:rsid w:val="3A7F43B9"/>
    <w:rsid w:val="3A9D3AC2"/>
    <w:rsid w:val="3A9D4261"/>
    <w:rsid w:val="3AB7546B"/>
    <w:rsid w:val="3B9F39D2"/>
    <w:rsid w:val="3C6F1FC9"/>
    <w:rsid w:val="3C70017C"/>
    <w:rsid w:val="3C917230"/>
    <w:rsid w:val="3D776F8C"/>
    <w:rsid w:val="3D7E1CC9"/>
    <w:rsid w:val="3D8212AE"/>
    <w:rsid w:val="3DFF3C2D"/>
    <w:rsid w:val="3E3918F8"/>
    <w:rsid w:val="3EB810FD"/>
    <w:rsid w:val="3EC906A3"/>
    <w:rsid w:val="3ECE2A99"/>
    <w:rsid w:val="3ED85013"/>
    <w:rsid w:val="3F047DA0"/>
    <w:rsid w:val="3F3046E2"/>
    <w:rsid w:val="3F5B1F0D"/>
    <w:rsid w:val="3F600A78"/>
    <w:rsid w:val="3FC27A03"/>
    <w:rsid w:val="3FD63515"/>
    <w:rsid w:val="3FF02080"/>
    <w:rsid w:val="40432B89"/>
    <w:rsid w:val="40564765"/>
    <w:rsid w:val="40642CE6"/>
    <w:rsid w:val="40652C71"/>
    <w:rsid w:val="40844206"/>
    <w:rsid w:val="40EA4B13"/>
    <w:rsid w:val="41EB7977"/>
    <w:rsid w:val="42170A45"/>
    <w:rsid w:val="42257209"/>
    <w:rsid w:val="422D4283"/>
    <w:rsid w:val="42D40179"/>
    <w:rsid w:val="42DD6902"/>
    <w:rsid w:val="43306C7D"/>
    <w:rsid w:val="43B131AD"/>
    <w:rsid w:val="43F86E14"/>
    <w:rsid w:val="44045888"/>
    <w:rsid w:val="440D4354"/>
    <w:rsid w:val="44105A44"/>
    <w:rsid w:val="44142270"/>
    <w:rsid w:val="44774926"/>
    <w:rsid w:val="447A26B8"/>
    <w:rsid w:val="453209EC"/>
    <w:rsid w:val="45965BB9"/>
    <w:rsid w:val="45AB5171"/>
    <w:rsid w:val="45F87362"/>
    <w:rsid w:val="45FE331D"/>
    <w:rsid w:val="46462EEB"/>
    <w:rsid w:val="465313B5"/>
    <w:rsid w:val="46535859"/>
    <w:rsid w:val="466A4CB0"/>
    <w:rsid w:val="468B3795"/>
    <w:rsid w:val="46BE39EF"/>
    <w:rsid w:val="46E34F06"/>
    <w:rsid w:val="47060F48"/>
    <w:rsid w:val="47377BE4"/>
    <w:rsid w:val="47C91DEC"/>
    <w:rsid w:val="47D14C87"/>
    <w:rsid w:val="47EE4325"/>
    <w:rsid w:val="47FF27CA"/>
    <w:rsid w:val="48147149"/>
    <w:rsid w:val="48242AEE"/>
    <w:rsid w:val="483D62B5"/>
    <w:rsid w:val="487E29DB"/>
    <w:rsid w:val="488501FF"/>
    <w:rsid w:val="48874977"/>
    <w:rsid w:val="48E642CB"/>
    <w:rsid w:val="48FA0DC9"/>
    <w:rsid w:val="49823E03"/>
    <w:rsid w:val="49B46EFB"/>
    <w:rsid w:val="49C00DA1"/>
    <w:rsid w:val="49E732B5"/>
    <w:rsid w:val="4A31358A"/>
    <w:rsid w:val="4A5F3439"/>
    <w:rsid w:val="4AA15C2A"/>
    <w:rsid w:val="4C2B1263"/>
    <w:rsid w:val="4C42348D"/>
    <w:rsid w:val="4C4A1B48"/>
    <w:rsid w:val="4C765809"/>
    <w:rsid w:val="4C9F3888"/>
    <w:rsid w:val="4D4C3002"/>
    <w:rsid w:val="4D8D21E6"/>
    <w:rsid w:val="4D8E51A9"/>
    <w:rsid w:val="4D984CF3"/>
    <w:rsid w:val="4DB45023"/>
    <w:rsid w:val="4DFA0CB0"/>
    <w:rsid w:val="4EC7035A"/>
    <w:rsid w:val="4EE32537"/>
    <w:rsid w:val="4EF75435"/>
    <w:rsid w:val="4F1A369D"/>
    <w:rsid w:val="4F510F87"/>
    <w:rsid w:val="4F5916B4"/>
    <w:rsid w:val="4F6051AC"/>
    <w:rsid w:val="4F78020B"/>
    <w:rsid w:val="4FAE4F69"/>
    <w:rsid w:val="4FF357D9"/>
    <w:rsid w:val="4FF97471"/>
    <w:rsid w:val="500D0826"/>
    <w:rsid w:val="5086321F"/>
    <w:rsid w:val="50E13A61"/>
    <w:rsid w:val="51307FC5"/>
    <w:rsid w:val="5139389D"/>
    <w:rsid w:val="514B219B"/>
    <w:rsid w:val="51901AF7"/>
    <w:rsid w:val="51BC69A8"/>
    <w:rsid w:val="52437484"/>
    <w:rsid w:val="524646BA"/>
    <w:rsid w:val="52C627C5"/>
    <w:rsid w:val="52F22E0C"/>
    <w:rsid w:val="530879CB"/>
    <w:rsid w:val="53486019"/>
    <w:rsid w:val="53B00BBD"/>
    <w:rsid w:val="53E906C3"/>
    <w:rsid w:val="544758C8"/>
    <w:rsid w:val="545754AE"/>
    <w:rsid w:val="548B1BC8"/>
    <w:rsid w:val="54CE4266"/>
    <w:rsid w:val="55375D5D"/>
    <w:rsid w:val="55C47E8B"/>
    <w:rsid w:val="55CB3231"/>
    <w:rsid w:val="56101068"/>
    <w:rsid w:val="5610581A"/>
    <w:rsid w:val="561D5992"/>
    <w:rsid w:val="562C2DBF"/>
    <w:rsid w:val="56523B0B"/>
    <w:rsid w:val="56713907"/>
    <w:rsid w:val="56C564DC"/>
    <w:rsid w:val="56CF263F"/>
    <w:rsid w:val="57442208"/>
    <w:rsid w:val="5774774B"/>
    <w:rsid w:val="57A5452B"/>
    <w:rsid w:val="582708F3"/>
    <w:rsid w:val="58B55EFF"/>
    <w:rsid w:val="58E3481A"/>
    <w:rsid w:val="59380BAB"/>
    <w:rsid w:val="5939145F"/>
    <w:rsid w:val="5A977EC5"/>
    <w:rsid w:val="5AF70B9D"/>
    <w:rsid w:val="5B2A7C6F"/>
    <w:rsid w:val="5B8B2F47"/>
    <w:rsid w:val="5BBD5EF2"/>
    <w:rsid w:val="5C496565"/>
    <w:rsid w:val="5C4F2CC5"/>
    <w:rsid w:val="5CA94BC6"/>
    <w:rsid w:val="5CC567E1"/>
    <w:rsid w:val="5D067C79"/>
    <w:rsid w:val="5D2C338C"/>
    <w:rsid w:val="5D4C51E6"/>
    <w:rsid w:val="5DD42C33"/>
    <w:rsid w:val="5E2F62D7"/>
    <w:rsid w:val="5E5B4E53"/>
    <w:rsid w:val="5E8D0C99"/>
    <w:rsid w:val="5EA46D00"/>
    <w:rsid w:val="5EF33A67"/>
    <w:rsid w:val="5F2E616D"/>
    <w:rsid w:val="5F6163F3"/>
    <w:rsid w:val="5FA46BB5"/>
    <w:rsid w:val="5FCD3B2E"/>
    <w:rsid w:val="5FFD2441"/>
    <w:rsid w:val="60352A01"/>
    <w:rsid w:val="606472C0"/>
    <w:rsid w:val="608233BF"/>
    <w:rsid w:val="60BF5610"/>
    <w:rsid w:val="61504A17"/>
    <w:rsid w:val="61BF17E2"/>
    <w:rsid w:val="61BF68AC"/>
    <w:rsid w:val="62044AB0"/>
    <w:rsid w:val="623345EB"/>
    <w:rsid w:val="62BC68E0"/>
    <w:rsid w:val="62C37C5A"/>
    <w:rsid w:val="62C545A2"/>
    <w:rsid w:val="62C77392"/>
    <w:rsid w:val="62E17F69"/>
    <w:rsid w:val="632F5D7C"/>
    <w:rsid w:val="633F626D"/>
    <w:rsid w:val="635F7193"/>
    <w:rsid w:val="639B212B"/>
    <w:rsid w:val="63B156F5"/>
    <w:rsid w:val="63EE0517"/>
    <w:rsid w:val="64656A2B"/>
    <w:rsid w:val="646F288B"/>
    <w:rsid w:val="64D0777F"/>
    <w:rsid w:val="64EF635A"/>
    <w:rsid w:val="6502545F"/>
    <w:rsid w:val="651D2D45"/>
    <w:rsid w:val="6561365D"/>
    <w:rsid w:val="657607C4"/>
    <w:rsid w:val="658C4015"/>
    <w:rsid w:val="660114E2"/>
    <w:rsid w:val="6607585D"/>
    <w:rsid w:val="663566AF"/>
    <w:rsid w:val="66937F24"/>
    <w:rsid w:val="66B22A31"/>
    <w:rsid w:val="66EF1E87"/>
    <w:rsid w:val="671131B0"/>
    <w:rsid w:val="67533DA1"/>
    <w:rsid w:val="67925506"/>
    <w:rsid w:val="679F5850"/>
    <w:rsid w:val="6800043B"/>
    <w:rsid w:val="68056F0B"/>
    <w:rsid w:val="68A36CE7"/>
    <w:rsid w:val="68DE019D"/>
    <w:rsid w:val="69105A51"/>
    <w:rsid w:val="69301131"/>
    <w:rsid w:val="69747D1A"/>
    <w:rsid w:val="698628CD"/>
    <w:rsid w:val="69A46CC5"/>
    <w:rsid w:val="69FE5AD4"/>
    <w:rsid w:val="6AE54329"/>
    <w:rsid w:val="6B6D73BA"/>
    <w:rsid w:val="6C2E7483"/>
    <w:rsid w:val="6D663A05"/>
    <w:rsid w:val="6D6E5BE2"/>
    <w:rsid w:val="6D946650"/>
    <w:rsid w:val="6DAC5561"/>
    <w:rsid w:val="6DD3319B"/>
    <w:rsid w:val="6DF678C4"/>
    <w:rsid w:val="6E1D0CA0"/>
    <w:rsid w:val="6E2771C6"/>
    <w:rsid w:val="6E4A0556"/>
    <w:rsid w:val="6E7B2469"/>
    <w:rsid w:val="6EF83BB8"/>
    <w:rsid w:val="6F423FE5"/>
    <w:rsid w:val="6F572958"/>
    <w:rsid w:val="6FDD7DBD"/>
    <w:rsid w:val="6FE22662"/>
    <w:rsid w:val="6FF95521"/>
    <w:rsid w:val="704C7CD4"/>
    <w:rsid w:val="71140688"/>
    <w:rsid w:val="712E295D"/>
    <w:rsid w:val="71600CA6"/>
    <w:rsid w:val="718A44D7"/>
    <w:rsid w:val="71B92BE0"/>
    <w:rsid w:val="71EA4A89"/>
    <w:rsid w:val="71FC23B1"/>
    <w:rsid w:val="72011164"/>
    <w:rsid w:val="72C44DAD"/>
    <w:rsid w:val="734463A5"/>
    <w:rsid w:val="73652407"/>
    <w:rsid w:val="740B6FDF"/>
    <w:rsid w:val="74AC2BBB"/>
    <w:rsid w:val="753F3297"/>
    <w:rsid w:val="756D4B07"/>
    <w:rsid w:val="757B5AB6"/>
    <w:rsid w:val="767D7D04"/>
    <w:rsid w:val="76FB3375"/>
    <w:rsid w:val="778E4093"/>
    <w:rsid w:val="789B00B9"/>
    <w:rsid w:val="78D75D30"/>
    <w:rsid w:val="78DC76CC"/>
    <w:rsid w:val="790B6860"/>
    <w:rsid w:val="795E59A5"/>
    <w:rsid w:val="7A685E14"/>
    <w:rsid w:val="7A917AA9"/>
    <w:rsid w:val="7B09221B"/>
    <w:rsid w:val="7B5E0672"/>
    <w:rsid w:val="7B6E0463"/>
    <w:rsid w:val="7C2B0391"/>
    <w:rsid w:val="7C9117CE"/>
    <w:rsid w:val="7D1C4C05"/>
    <w:rsid w:val="7D2C6836"/>
    <w:rsid w:val="7D3F5896"/>
    <w:rsid w:val="7D4633F9"/>
    <w:rsid w:val="7D55483F"/>
    <w:rsid w:val="7D8865D3"/>
    <w:rsid w:val="7DE12216"/>
    <w:rsid w:val="7E0F0D38"/>
    <w:rsid w:val="7E5C0B5D"/>
    <w:rsid w:val="7E621F50"/>
    <w:rsid w:val="7EBB135A"/>
    <w:rsid w:val="7EE03CE2"/>
    <w:rsid w:val="7EFB6DC3"/>
    <w:rsid w:val="7F4F5498"/>
    <w:rsid w:val="7F700D6D"/>
    <w:rsid w:val="7FB407E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_x0000_s1720"/>
        <o:r id="V:Rule2" type="connector" idref="#_x0000_s1985"/>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qFormat="1" w:unhideWhenUsed="0" w:uiPriority="0" w:semiHidden="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nhideWhenUsed="0" w:uiPriority="0" w:semiHidden="0" w:name="macro"/>
    <w:lsdException w:uiPriority="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iPriority="0" w:name="List 3"/>
    <w:lsdException w:uiPriority="0" w:name="List 4"/>
    <w:lsdException w:uiPriority="0" w:name="List 5"/>
    <w:lsdException w:qFormat="1" w:unhideWhenUsed="0" w:uiPriority="0" w:semiHidden="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qFormat="1" w:unhideWhenUsed="0" w:uiPriority="0" w:semiHidden="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nhideWhenUsed="0" w:uiPriority="0" w:semiHidden="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qFormat="1" w:unhideWhenUsed="0" w:uiPriority="0" w:semiHidden="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qFormat="1" w:unhideWhenUsed="0" w:uiPriority="0" w:semiHidden="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textAlignment w:val="bottom"/>
    </w:pPr>
    <w:rPr>
      <w:rFonts w:ascii="Times New Roman" w:hAnsi="Times New Roman" w:eastAsia="宋体" w:cs="Times New Roman"/>
      <w:sz w:val="28"/>
      <w:lang w:val="en-US" w:eastAsia="zh-CN" w:bidi="ar-SA"/>
    </w:rPr>
  </w:style>
  <w:style w:type="paragraph" w:styleId="4">
    <w:name w:val="heading 1"/>
    <w:basedOn w:val="1"/>
    <w:next w:val="1"/>
    <w:link w:val="92"/>
    <w:qFormat/>
    <w:uiPriority w:val="9"/>
    <w:pPr>
      <w:keepNext/>
      <w:keepLines/>
      <w:spacing w:before="240" w:after="240" w:line="240" w:lineRule="auto"/>
      <w:ind w:firstLine="0" w:firstLineChars="0"/>
      <w:textAlignment w:val="auto"/>
      <w:outlineLvl w:val="0"/>
    </w:pPr>
    <w:rPr>
      <w:rFonts w:ascii="隶书"/>
      <w:b/>
      <w:bCs/>
      <w:kern w:val="44"/>
      <w:sz w:val="44"/>
    </w:rPr>
  </w:style>
  <w:style w:type="paragraph" w:styleId="5">
    <w:name w:val="heading 2"/>
    <w:basedOn w:val="1"/>
    <w:next w:val="1"/>
    <w:link w:val="187"/>
    <w:qFormat/>
    <w:uiPriority w:val="0"/>
    <w:pPr>
      <w:keepNext/>
      <w:keepLines/>
      <w:spacing w:before="260" w:after="260" w:line="416" w:lineRule="auto"/>
      <w:ind w:firstLine="0" w:firstLineChars="0"/>
      <w:jc w:val="both"/>
      <w:textAlignment w:val="auto"/>
      <w:outlineLvl w:val="1"/>
    </w:pPr>
    <w:rPr>
      <w:rFonts w:ascii="Arial" w:hAnsi="Arial" w:eastAsia="黑体"/>
      <w:b/>
      <w:bCs/>
      <w:kern w:val="2"/>
      <w:sz w:val="32"/>
      <w:szCs w:val="32"/>
    </w:rPr>
  </w:style>
  <w:style w:type="paragraph" w:styleId="6">
    <w:name w:val="heading 3"/>
    <w:basedOn w:val="1"/>
    <w:next w:val="1"/>
    <w:link w:val="106"/>
    <w:qFormat/>
    <w:uiPriority w:val="0"/>
    <w:pPr>
      <w:keepNext/>
      <w:keepLines/>
      <w:spacing w:before="120" w:after="120"/>
      <w:ind w:firstLine="0" w:firstLineChars="0"/>
      <w:jc w:val="both"/>
      <w:textAlignment w:val="auto"/>
      <w:outlineLvl w:val="2"/>
    </w:pPr>
    <w:rPr>
      <w:b/>
      <w:bCs/>
      <w:kern w:val="2"/>
      <w:szCs w:val="32"/>
    </w:rPr>
  </w:style>
  <w:style w:type="paragraph" w:styleId="3">
    <w:name w:val="heading 4"/>
    <w:basedOn w:val="1"/>
    <w:next w:val="2"/>
    <w:link w:val="85"/>
    <w:qFormat/>
    <w:uiPriority w:val="0"/>
    <w:pPr>
      <w:keepNext/>
      <w:keepLines/>
      <w:ind w:firstLine="0" w:firstLineChars="0"/>
      <w:outlineLvl w:val="3"/>
    </w:pPr>
    <w:rPr>
      <w:rFonts w:eastAsia="黑体"/>
      <w:bCs/>
      <w:sz w:val="24"/>
      <w:szCs w:val="28"/>
    </w:rPr>
  </w:style>
  <w:style w:type="paragraph" w:styleId="7">
    <w:name w:val="heading 5"/>
    <w:basedOn w:val="1"/>
    <w:next w:val="1"/>
    <w:link w:val="125"/>
    <w:qFormat/>
    <w:uiPriority w:val="0"/>
    <w:pPr>
      <w:keepNext/>
      <w:keepLines/>
      <w:tabs>
        <w:tab w:val="left" w:pos="240"/>
        <w:tab w:val="left" w:pos="480"/>
        <w:tab w:val="left" w:pos="720"/>
      </w:tabs>
      <w:adjustRightInd w:val="0"/>
      <w:spacing w:before="280" w:after="290" w:line="376" w:lineRule="atLeast"/>
      <w:ind w:left="2100" w:hanging="420" w:firstLineChars="0"/>
      <w:textAlignment w:val="baseline"/>
      <w:outlineLvl w:val="4"/>
    </w:pPr>
    <w:rPr>
      <w:b/>
      <w:color w:val="FF0000"/>
    </w:rPr>
  </w:style>
  <w:style w:type="paragraph" w:styleId="8">
    <w:name w:val="heading 6"/>
    <w:basedOn w:val="1"/>
    <w:next w:val="1"/>
    <w:link w:val="115"/>
    <w:qFormat/>
    <w:uiPriority w:val="0"/>
    <w:pPr>
      <w:keepNext/>
      <w:keepLines/>
      <w:tabs>
        <w:tab w:val="left" w:pos="240"/>
        <w:tab w:val="left" w:pos="480"/>
        <w:tab w:val="left" w:pos="720"/>
      </w:tabs>
      <w:adjustRightInd w:val="0"/>
      <w:spacing w:before="240" w:after="64" w:line="320" w:lineRule="atLeast"/>
      <w:ind w:left="2520" w:hanging="420" w:firstLineChars="0"/>
      <w:textAlignment w:val="baseline"/>
      <w:outlineLvl w:val="5"/>
    </w:pPr>
    <w:rPr>
      <w:rFonts w:ascii="Arial" w:hAnsi="Arial" w:eastAsia="黑体"/>
      <w:b/>
      <w:color w:val="FF0000"/>
      <w:sz w:val="24"/>
    </w:rPr>
  </w:style>
  <w:style w:type="paragraph" w:styleId="9">
    <w:name w:val="heading 7"/>
    <w:basedOn w:val="1"/>
    <w:next w:val="1"/>
    <w:link w:val="116"/>
    <w:qFormat/>
    <w:uiPriority w:val="0"/>
    <w:pPr>
      <w:keepNext/>
      <w:keepLines/>
      <w:tabs>
        <w:tab w:val="left" w:pos="240"/>
        <w:tab w:val="left" w:pos="480"/>
        <w:tab w:val="left" w:pos="720"/>
      </w:tabs>
      <w:adjustRightInd w:val="0"/>
      <w:spacing w:before="240" w:after="64" w:line="320" w:lineRule="atLeast"/>
      <w:ind w:left="2940" w:hanging="420" w:firstLineChars="0"/>
      <w:textAlignment w:val="baseline"/>
      <w:outlineLvl w:val="6"/>
    </w:pPr>
    <w:rPr>
      <w:b/>
      <w:color w:val="FF0000"/>
      <w:sz w:val="24"/>
    </w:rPr>
  </w:style>
  <w:style w:type="paragraph" w:styleId="10">
    <w:name w:val="heading 8"/>
    <w:basedOn w:val="1"/>
    <w:next w:val="1"/>
    <w:link w:val="135"/>
    <w:qFormat/>
    <w:uiPriority w:val="0"/>
    <w:pPr>
      <w:keepNext/>
      <w:keepLines/>
      <w:tabs>
        <w:tab w:val="left" w:pos="240"/>
        <w:tab w:val="left" w:pos="480"/>
        <w:tab w:val="left" w:pos="720"/>
      </w:tabs>
      <w:adjustRightInd w:val="0"/>
      <w:spacing w:before="240" w:after="64" w:line="320" w:lineRule="atLeast"/>
      <w:ind w:left="3360" w:hanging="420" w:firstLineChars="0"/>
      <w:textAlignment w:val="baseline"/>
      <w:outlineLvl w:val="7"/>
    </w:pPr>
    <w:rPr>
      <w:rFonts w:ascii="Arial" w:hAnsi="Arial" w:eastAsia="黑体"/>
      <w:b/>
      <w:color w:val="FF0000"/>
      <w:sz w:val="24"/>
    </w:rPr>
  </w:style>
  <w:style w:type="paragraph" w:styleId="11">
    <w:name w:val="heading 9"/>
    <w:basedOn w:val="1"/>
    <w:next w:val="1"/>
    <w:link w:val="137"/>
    <w:qFormat/>
    <w:uiPriority w:val="0"/>
    <w:pPr>
      <w:keepNext/>
      <w:keepLines/>
      <w:tabs>
        <w:tab w:val="left" w:pos="240"/>
        <w:tab w:val="left" w:pos="480"/>
        <w:tab w:val="left" w:pos="720"/>
      </w:tabs>
      <w:adjustRightInd w:val="0"/>
      <w:spacing w:before="240" w:after="64" w:line="320" w:lineRule="atLeast"/>
      <w:ind w:left="3780" w:hanging="420" w:firstLineChars="0"/>
      <w:textAlignment w:val="baseline"/>
      <w:outlineLvl w:val="8"/>
    </w:pPr>
    <w:rPr>
      <w:rFonts w:ascii="Arial" w:hAnsi="Arial" w:eastAsia="黑体"/>
      <w:b/>
      <w:color w:val="FF0000"/>
      <w:sz w:val="21"/>
    </w:rPr>
  </w:style>
  <w:style w:type="character" w:default="1" w:styleId="54">
    <w:name w:val="Default Paragraph Font"/>
    <w:semiHidden/>
    <w:unhideWhenUsed/>
    <w:qFormat/>
    <w:uiPriority w:val="1"/>
  </w:style>
  <w:style w:type="table" w:default="1" w:styleId="48">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link w:val="155"/>
    <w:qFormat/>
    <w:uiPriority w:val="0"/>
    <w:pPr>
      <w:spacing w:line="240" w:lineRule="auto"/>
      <w:ind w:firstLine="420"/>
      <w:jc w:val="both"/>
      <w:textAlignment w:val="auto"/>
    </w:pPr>
    <w:rPr>
      <w:kern w:val="2"/>
    </w:rPr>
  </w:style>
  <w:style w:type="paragraph" w:styleId="12">
    <w:name w:val="toc 7"/>
    <w:basedOn w:val="1"/>
    <w:next w:val="1"/>
    <w:qFormat/>
    <w:uiPriority w:val="39"/>
    <w:pPr>
      <w:ind w:left="1680"/>
    </w:pPr>
    <w:rPr>
      <w:rFonts w:asciiTheme="minorHAnsi" w:hAnsiTheme="minorHAnsi" w:cstheme="minorHAnsi"/>
      <w:sz w:val="18"/>
      <w:szCs w:val="18"/>
    </w:rPr>
  </w:style>
  <w:style w:type="paragraph" w:styleId="13">
    <w:name w:val="caption"/>
    <w:basedOn w:val="1"/>
    <w:next w:val="1"/>
    <w:qFormat/>
    <w:uiPriority w:val="0"/>
    <w:pPr>
      <w:spacing w:line="360" w:lineRule="exact"/>
      <w:jc w:val="center"/>
    </w:pPr>
    <w:rPr>
      <w:color w:val="FF0000"/>
      <w:sz w:val="24"/>
    </w:rPr>
  </w:style>
  <w:style w:type="paragraph" w:styleId="14">
    <w:name w:val="Document Map"/>
    <w:basedOn w:val="1"/>
    <w:link w:val="164"/>
    <w:qFormat/>
    <w:uiPriority w:val="0"/>
    <w:pPr>
      <w:spacing w:line="240" w:lineRule="auto"/>
      <w:ind w:firstLine="0" w:firstLineChars="0"/>
      <w:jc w:val="both"/>
      <w:textAlignment w:val="auto"/>
    </w:pPr>
    <w:rPr>
      <w:rFonts w:ascii="宋体"/>
      <w:kern w:val="2"/>
      <w:sz w:val="18"/>
      <w:szCs w:val="18"/>
    </w:rPr>
  </w:style>
  <w:style w:type="paragraph" w:styleId="15">
    <w:name w:val="annotation text"/>
    <w:basedOn w:val="1"/>
    <w:link w:val="74"/>
    <w:qFormat/>
    <w:uiPriority w:val="0"/>
    <w:pPr>
      <w:spacing w:line="240" w:lineRule="auto"/>
      <w:ind w:firstLine="0" w:firstLineChars="0"/>
      <w:textAlignment w:val="auto"/>
    </w:pPr>
    <w:rPr>
      <w:kern w:val="2"/>
      <w:sz w:val="21"/>
      <w:szCs w:val="24"/>
    </w:rPr>
  </w:style>
  <w:style w:type="paragraph" w:styleId="16">
    <w:name w:val="index 6"/>
    <w:basedOn w:val="1"/>
    <w:next w:val="1"/>
    <w:qFormat/>
    <w:uiPriority w:val="0"/>
    <w:pPr>
      <w:ind w:left="1000" w:leftChars="1000" w:firstLine="0"/>
    </w:pPr>
  </w:style>
  <w:style w:type="paragraph" w:styleId="17">
    <w:name w:val="Salutation"/>
    <w:basedOn w:val="1"/>
    <w:next w:val="1"/>
    <w:link w:val="289"/>
    <w:qFormat/>
    <w:uiPriority w:val="0"/>
    <w:pPr>
      <w:spacing w:line="240" w:lineRule="auto"/>
      <w:ind w:firstLine="0" w:firstLineChars="0"/>
      <w:jc w:val="both"/>
      <w:textAlignment w:val="auto"/>
    </w:pPr>
    <w:rPr>
      <w:rFonts w:ascii="宋体" w:hAnsi="宋体"/>
      <w:sz w:val="20"/>
      <w:szCs w:val="24"/>
    </w:rPr>
  </w:style>
  <w:style w:type="paragraph" w:styleId="18">
    <w:name w:val="Body Text 3"/>
    <w:basedOn w:val="1"/>
    <w:link w:val="139"/>
    <w:qFormat/>
    <w:uiPriority w:val="0"/>
    <w:pPr>
      <w:spacing w:line="320" w:lineRule="exact"/>
      <w:ind w:firstLine="0" w:firstLineChars="0"/>
      <w:jc w:val="both"/>
      <w:textAlignment w:val="auto"/>
    </w:pPr>
    <w:rPr>
      <w:color w:val="000000"/>
      <w:kern w:val="2"/>
      <w:sz w:val="24"/>
      <w:szCs w:val="24"/>
    </w:rPr>
  </w:style>
  <w:style w:type="paragraph" w:styleId="19">
    <w:name w:val="Body Text"/>
    <w:basedOn w:val="1"/>
    <w:next w:val="1"/>
    <w:link w:val="62"/>
    <w:qFormat/>
    <w:uiPriority w:val="0"/>
    <w:pPr>
      <w:spacing w:after="120"/>
    </w:pPr>
  </w:style>
  <w:style w:type="paragraph" w:styleId="20">
    <w:name w:val="Body Text Indent"/>
    <w:basedOn w:val="1"/>
    <w:next w:val="13"/>
    <w:link w:val="136"/>
    <w:qFormat/>
    <w:uiPriority w:val="0"/>
    <w:pPr>
      <w:spacing w:after="120" w:line="240" w:lineRule="auto"/>
      <w:ind w:left="420" w:leftChars="200" w:firstLine="0" w:firstLineChars="0"/>
      <w:jc w:val="both"/>
      <w:textAlignment w:val="auto"/>
    </w:pPr>
    <w:rPr>
      <w:kern w:val="2"/>
    </w:rPr>
  </w:style>
  <w:style w:type="paragraph" w:styleId="21">
    <w:name w:val="List 2"/>
    <w:next w:val="1"/>
    <w:link w:val="172"/>
    <w:qFormat/>
    <w:uiPriority w:val="0"/>
    <w:pPr>
      <w:jc w:val="center"/>
    </w:pPr>
    <w:rPr>
      <w:rFonts w:ascii="Times New Roman" w:hAnsi="Times New Roman" w:eastAsia="Times New Roman" w:cs="Times New Roman"/>
      <w:lang w:val="en-US" w:eastAsia="zh-CN" w:bidi="ar-SA"/>
    </w:rPr>
  </w:style>
  <w:style w:type="paragraph" w:styleId="22">
    <w:name w:val="Block Text"/>
    <w:basedOn w:val="1"/>
    <w:qFormat/>
    <w:uiPriority w:val="0"/>
    <w:pPr>
      <w:spacing w:after="120"/>
      <w:ind w:left="1440" w:leftChars="700" w:right="1440" w:rightChars="700"/>
    </w:pPr>
  </w:style>
  <w:style w:type="paragraph" w:styleId="23">
    <w:name w:val="List Bullet 2"/>
    <w:basedOn w:val="1"/>
    <w:qFormat/>
    <w:uiPriority w:val="0"/>
    <w:pPr>
      <w:tabs>
        <w:tab w:val="left" w:pos="360"/>
      </w:tabs>
      <w:spacing w:line="500" w:lineRule="exact"/>
      <w:ind w:left="360" w:hanging="360" w:firstLineChars="0"/>
      <w:jc w:val="both"/>
      <w:textAlignment w:val="auto"/>
    </w:pPr>
    <w:rPr>
      <w:rFonts w:eastAsia="FangSong_GB2312"/>
      <w:snapToGrid w:val="0"/>
      <w:color w:val="000000"/>
      <w:szCs w:val="32"/>
    </w:rPr>
  </w:style>
  <w:style w:type="paragraph" w:styleId="24">
    <w:name w:val="toc 5"/>
    <w:basedOn w:val="1"/>
    <w:next w:val="1"/>
    <w:qFormat/>
    <w:uiPriority w:val="39"/>
    <w:pPr>
      <w:ind w:left="1120"/>
    </w:pPr>
    <w:rPr>
      <w:rFonts w:asciiTheme="minorHAnsi" w:hAnsiTheme="minorHAnsi" w:cstheme="minorHAnsi"/>
      <w:sz w:val="18"/>
      <w:szCs w:val="18"/>
    </w:rPr>
  </w:style>
  <w:style w:type="paragraph" w:styleId="25">
    <w:name w:val="toc 3"/>
    <w:basedOn w:val="1"/>
    <w:next w:val="1"/>
    <w:qFormat/>
    <w:uiPriority w:val="39"/>
    <w:pPr>
      <w:ind w:left="560"/>
    </w:pPr>
    <w:rPr>
      <w:rFonts w:asciiTheme="minorHAnsi" w:hAnsiTheme="minorHAnsi" w:cstheme="minorHAnsi"/>
      <w:i/>
      <w:iCs/>
      <w:sz w:val="20"/>
    </w:rPr>
  </w:style>
  <w:style w:type="paragraph" w:styleId="26">
    <w:name w:val="Plain Text"/>
    <w:basedOn w:val="1"/>
    <w:link w:val="156"/>
    <w:qFormat/>
    <w:uiPriority w:val="0"/>
    <w:pPr>
      <w:spacing w:line="240" w:lineRule="auto"/>
      <w:ind w:firstLine="0" w:firstLineChars="0"/>
      <w:jc w:val="both"/>
      <w:textAlignment w:val="auto"/>
    </w:pPr>
    <w:rPr>
      <w:rFonts w:ascii="宋体" w:hAnsi="Courier New"/>
      <w:kern w:val="2"/>
      <w:sz w:val="21"/>
      <w:szCs w:val="21"/>
    </w:rPr>
  </w:style>
  <w:style w:type="paragraph" w:styleId="27">
    <w:name w:val="toc 8"/>
    <w:basedOn w:val="1"/>
    <w:next w:val="1"/>
    <w:qFormat/>
    <w:uiPriority w:val="39"/>
    <w:pPr>
      <w:ind w:left="1960"/>
    </w:pPr>
    <w:rPr>
      <w:rFonts w:asciiTheme="minorHAnsi" w:hAnsiTheme="minorHAnsi" w:cstheme="minorHAnsi"/>
      <w:sz w:val="18"/>
      <w:szCs w:val="18"/>
    </w:rPr>
  </w:style>
  <w:style w:type="paragraph" w:styleId="28">
    <w:name w:val="Date"/>
    <w:basedOn w:val="1"/>
    <w:next w:val="1"/>
    <w:link w:val="181"/>
    <w:qFormat/>
    <w:uiPriority w:val="0"/>
    <w:pPr>
      <w:spacing w:line="240" w:lineRule="auto"/>
      <w:ind w:left="100" w:leftChars="2500" w:firstLine="0" w:firstLineChars="0"/>
      <w:jc w:val="both"/>
      <w:textAlignment w:val="auto"/>
    </w:pPr>
    <w:rPr>
      <w:kern w:val="2"/>
    </w:rPr>
  </w:style>
  <w:style w:type="paragraph" w:styleId="29">
    <w:name w:val="Body Text Indent 2"/>
    <w:basedOn w:val="1"/>
    <w:link w:val="98"/>
    <w:qFormat/>
    <w:uiPriority w:val="0"/>
    <w:pPr>
      <w:spacing w:after="120" w:line="480" w:lineRule="auto"/>
      <w:ind w:left="420" w:leftChars="200" w:firstLine="0" w:firstLineChars="0"/>
      <w:jc w:val="both"/>
      <w:textAlignment w:val="auto"/>
    </w:pPr>
    <w:rPr>
      <w:kern w:val="2"/>
      <w:sz w:val="21"/>
      <w:szCs w:val="24"/>
    </w:rPr>
  </w:style>
  <w:style w:type="paragraph" w:styleId="30">
    <w:name w:val="Balloon Text"/>
    <w:basedOn w:val="1"/>
    <w:link w:val="114"/>
    <w:qFormat/>
    <w:uiPriority w:val="0"/>
    <w:pPr>
      <w:spacing w:line="240" w:lineRule="auto"/>
      <w:ind w:firstLine="0" w:firstLineChars="0"/>
      <w:jc w:val="both"/>
      <w:textAlignment w:val="auto"/>
    </w:pPr>
    <w:rPr>
      <w:kern w:val="2"/>
      <w:sz w:val="18"/>
      <w:szCs w:val="18"/>
    </w:rPr>
  </w:style>
  <w:style w:type="paragraph" w:styleId="31">
    <w:name w:val="footer"/>
    <w:basedOn w:val="1"/>
    <w:link w:val="78"/>
    <w:qFormat/>
    <w:uiPriority w:val="99"/>
    <w:pPr>
      <w:tabs>
        <w:tab w:val="center" w:pos="4153"/>
        <w:tab w:val="right" w:pos="8306"/>
      </w:tabs>
      <w:snapToGrid w:val="0"/>
      <w:spacing w:line="240" w:lineRule="auto"/>
      <w:ind w:firstLine="0" w:firstLineChars="0"/>
      <w:textAlignment w:val="auto"/>
    </w:pPr>
    <w:rPr>
      <w:kern w:val="2"/>
      <w:sz w:val="18"/>
      <w:szCs w:val="18"/>
    </w:rPr>
  </w:style>
  <w:style w:type="paragraph" w:styleId="32">
    <w:name w:val="header"/>
    <w:basedOn w:val="1"/>
    <w:link w:val="122"/>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33">
    <w:name w:val="toc 1"/>
    <w:basedOn w:val="1"/>
    <w:next w:val="1"/>
    <w:qFormat/>
    <w:uiPriority w:val="39"/>
    <w:pPr>
      <w:spacing w:before="120" w:after="120"/>
    </w:pPr>
    <w:rPr>
      <w:rFonts w:asciiTheme="minorHAnsi" w:hAnsiTheme="minorHAnsi" w:cstheme="minorHAnsi"/>
      <w:b/>
      <w:bCs/>
      <w:caps/>
      <w:sz w:val="20"/>
    </w:rPr>
  </w:style>
  <w:style w:type="paragraph" w:styleId="34">
    <w:name w:val="toc 4"/>
    <w:basedOn w:val="1"/>
    <w:next w:val="1"/>
    <w:qFormat/>
    <w:uiPriority w:val="39"/>
    <w:pPr>
      <w:ind w:left="840"/>
    </w:pPr>
    <w:rPr>
      <w:rFonts w:asciiTheme="minorHAnsi" w:hAnsiTheme="minorHAnsi" w:cstheme="minorHAnsi"/>
      <w:sz w:val="18"/>
      <w:szCs w:val="18"/>
    </w:rPr>
  </w:style>
  <w:style w:type="paragraph" w:styleId="35">
    <w:name w:val="List"/>
    <w:basedOn w:val="1"/>
    <w:qFormat/>
    <w:uiPriority w:val="0"/>
    <w:pPr>
      <w:ind w:left="200" w:hanging="200" w:hangingChars="200"/>
    </w:pPr>
  </w:style>
  <w:style w:type="paragraph" w:styleId="36">
    <w:name w:val="toc 6"/>
    <w:basedOn w:val="1"/>
    <w:next w:val="1"/>
    <w:qFormat/>
    <w:uiPriority w:val="39"/>
    <w:pPr>
      <w:ind w:left="1400"/>
    </w:pPr>
    <w:rPr>
      <w:rFonts w:asciiTheme="minorHAnsi" w:hAnsiTheme="minorHAnsi" w:cstheme="minorHAnsi"/>
      <w:sz w:val="18"/>
      <w:szCs w:val="18"/>
    </w:rPr>
  </w:style>
  <w:style w:type="paragraph" w:styleId="37">
    <w:name w:val="Body Text Indent 3"/>
    <w:basedOn w:val="1"/>
    <w:link w:val="148"/>
    <w:qFormat/>
    <w:uiPriority w:val="0"/>
    <w:pPr>
      <w:spacing w:after="120" w:line="240" w:lineRule="auto"/>
      <w:ind w:left="420" w:leftChars="200" w:firstLine="0" w:firstLineChars="0"/>
      <w:jc w:val="both"/>
      <w:textAlignment w:val="auto"/>
    </w:pPr>
    <w:rPr>
      <w:kern w:val="2"/>
      <w:sz w:val="16"/>
      <w:szCs w:val="16"/>
    </w:rPr>
  </w:style>
  <w:style w:type="paragraph" w:styleId="38">
    <w:name w:val="toc 2"/>
    <w:basedOn w:val="1"/>
    <w:next w:val="1"/>
    <w:qFormat/>
    <w:uiPriority w:val="39"/>
    <w:pPr>
      <w:ind w:left="280"/>
    </w:pPr>
    <w:rPr>
      <w:rFonts w:asciiTheme="minorHAnsi" w:hAnsiTheme="minorHAnsi" w:cstheme="minorHAnsi"/>
      <w:smallCaps/>
      <w:sz w:val="20"/>
    </w:rPr>
  </w:style>
  <w:style w:type="paragraph" w:styleId="39">
    <w:name w:val="toc 9"/>
    <w:basedOn w:val="1"/>
    <w:next w:val="1"/>
    <w:qFormat/>
    <w:uiPriority w:val="39"/>
    <w:pPr>
      <w:ind w:left="2240"/>
    </w:pPr>
    <w:rPr>
      <w:rFonts w:asciiTheme="minorHAnsi" w:hAnsiTheme="minorHAnsi" w:cstheme="minorHAnsi"/>
      <w:sz w:val="18"/>
      <w:szCs w:val="18"/>
    </w:rPr>
  </w:style>
  <w:style w:type="paragraph" w:styleId="40">
    <w:name w:val="Body Text 2"/>
    <w:basedOn w:val="1"/>
    <w:link w:val="183"/>
    <w:qFormat/>
    <w:uiPriority w:val="0"/>
    <w:pPr>
      <w:spacing w:after="120" w:line="480" w:lineRule="auto"/>
      <w:ind w:firstLine="0" w:firstLineChars="0"/>
      <w:jc w:val="both"/>
      <w:textAlignment w:val="auto"/>
    </w:pPr>
    <w:rPr>
      <w:kern w:val="2"/>
    </w:rPr>
  </w:style>
  <w:style w:type="paragraph" w:styleId="41">
    <w:name w:val="HTML Preformatted"/>
    <w:basedOn w:val="1"/>
    <w:link w:val="132"/>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ind w:firstLine="0" w:firstLineChars="0"/>
      <w:textAlignment w:val="auto"/>
    </w:pPr>
    <w:rPr>
      <w:rFonts w:ascii="Arial" w:hAnsi="Arial"/>
      <w:sz w:val="21"/>
      <w:szCs w:val="21"/>
    </w:rPr>
  </w:style>
  <w:style w:type="paragraph" w:styleId="42">
    <w:name w:val="Normal (Web)"/>
    <w:basedOn w:val="1"/>
    <w:qFormat/>
    <w:uiPriority w:val="0"/>
    <w:pPr>
      <w:widowControl/>
      <w:spacing w:before="100" w:beforeAutospacing="1" w:after="100" w:afterAutospacing="1" w:line="240" w:lineRule="auto"/>
      <w:ind w:firstLine="0" w:firstLineChars="0"/>
      <w:textAlignment w:val="auto"/>
    </w:pPr>
    <w:rPr>
      <w:rFonts w:ascii="宋体" w:hAnsi="宋体" w:cs="宋体"/>
      <w:sz w:val="24"/>
      <w:szCs w:val="24"/>
    </w:rPr>
  </w:style>
  <w:style w:type="paragraph" w:styleId="43">
    <w:name w:val="index 1"/>
    <w:basedOn w:val="1"/>
    <w:next w:val="1"/>
    <w:qFormat/>
    <w:uiPriority w:val="0"/>
    <w:pPr>
      <w:tabs>
        <w:tab w:val="left" w:pos="5580"/>
      </w:tabs>
      <w:spacing w:line="280" w:lineRule="exact"/>
      <w:ind w:firstLine="0" w:firstLineChars="0"/>
      <w:jc w:val="both"/>
      <w:textAlignment w:val="auto"/>
    </w:pPr>
    <w:rPr>
      <w:rFonts w:ascii="宋体" w:hAnsi="宋体"/>
      <w:spacing w:val="10"/>
      <w:kern w:val="2"/>
      <w:sz w:val="21"/>
      <w:szCs w:val="24"/>
    </w:rPr>
  </w:style>
  <w:style w:type="paragraph" w:styleId="44">
    <w:name w:val="Title"/>
    <w:basedOn w:val="1"/>
    <w:next w:val="1"/>
    <w:link w:val="76"/>
    <w:qFormat/>
    <w:uiPriority w:val="0"/>
    <w:pPr>
      <w:spacing w:before="240" w:after="60" w:line="240" w:lineRule="auto"/>
      <w:ind w:firstLine="0" w:firstLineChars="0"/>
      <w:jc w:val="center"/>
      <w:textAlignment w:val="auto"/>
      <w:outlineLvl w:val="0"/>
    </w:pPr>
    <w:rPr>
      <w:rFonts w:ascii="Cambria" w:hAnsi="Cambria"/>
      <w:b/>
      <w:bCs/>
      <w:kern w:val="2"/>
      <w:sz w:val="32"/>
      <w:szCs w:val="32"/>
    </w:rPr>
  </w:style>
  <w:style w:type="paragraph" w:styleId="45">
    <w:name w:val="annotation subject"/>
    <w:basedOn w:val="15"/>
    <w:next w:val="15"/>
    <w:qFormat/>
    <w:uiPriority w:val="0"/>
    <w:rPr>
      <w:b/>
      <w:bCs/>
    </w:rPr>
  </w:style>
  <w:style w:type="paragraph" w:styleId="46">
    <w:name w:val="Body Text First Indent"/>
    <w:basedOn w:val="1"/>
    <w:link w:val="184"/>
    <w:qFormat/>
    <w:uiPriority w:val="0"/>
    <w:pPr>
      <w:suppressAutoHyphens/>
      <w:topLinePunct/>
      <w:adjustRightInd w:val="0"/>
      <w:ind w:firstLine="567" w:firstLineChars="0"/>
      <w:jc w:val="both"/>
      <w:textAlignment w:val="baseline"/>
    </w:pPr>
  </w:style>
  <w:style w:type="paragraph" w:styleId="47">
    <w:name w:val="Body Text First Indent 2"/>
    <w:basedOn w:val="20"/>
    <w:next w:val="1"/>
    <w:link w:val="175"/>
    <w:qFormat/>
    <w:uiPriority w:val="0"/>
    <w:pPr>
      <w:ind w:firstLine="420" w:firstLineChars="200"/>
    </w:pPr>
    <w:rPr>
      <w:sz w:val="21"/>
      <w:szCs w:val="24"/>
    </w:rPr>
  </w:style>
  <w:style w:type="table" w:styleId="49">
    <w:name w:val="Table Grid"/>
    <w:basedOn w:val="48"/>
    <w:qFormat/>
    <w:uiPriority w:val="0"/>
    <w:pPr>
      <w:widowControl w:val="0"/>
      <w:spacing w:line="360" w:lineRule="auto"/>
      <w:ind w:firstLine="200" w:firstLineChars="200"/>
      <w:textAlignment w:val="bottom"/>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0">
    <w:name w:val="Table Theme"/>
    <w:basedOn w:val="4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1">
    <w:name w:val="Table List 7"/>
    <w:basedOn w:val="48"/>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auto" w:sz="6" w:space="0"/>
      </w:tblBorders>
      <w:tblCellMar>
        <w:top w:w="0" w:type="dxa"/>
        <w:left w:w="108" w:type="dxa"/>
        <w:bottom w:w="0" w:type="dxa"/>
        <w:right w:w="108" w:type="dxa"/>
      </w:tblCellMar>
    </w:tblPr>
    <w:tblStylePr w:type="firstRow">
      <w:rPr>
        <w:b/>
        <w:bCs/>
      </w:rPr>
      <w:tbl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52">
    <w:name w:val="Table Grid 1"/>
    <w:basedOn w:val="4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3">
    <w:name w:val="Table Professional"/>
    <w:basedOn w:val="48"/>
    <w:qFormat/>
    <w:uiPriority w:val="0"/>
    <w:pPr>
      <w:widowControl w:val="0"/>
      <w:jc w:val="both"/>
    </w:p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55">
    <w:name w:val="Strong"/>
    <w:qFormat/>
    <w:uiPriority w:val="0"/>
    <w:rPr>
      <w:rFonts w:ascii="Times New Roman" w:hAnsi="Times New Roman" w:eastAsia="宋体" w:cs="Times New Roman"/>
      <w:b/>
      <w:bCs/>
    </w:rPr>
  </w:style>
  <w:style w:type="character" w:styleId="56">
    <w:name w:val="page number"/>
    <w:qFormat/>
    <w:uiPriority w:val="0"/>
    <w:rPr>
      <w:rFonts w:ascii="Times New Roman" w:hAnsi="Times New Roman" w:eastAsia="宋体" w:cs="Times New Roman"/>
      <w:b/>
      <w:sz w:val="21"/>
    </w:rPr>
  </w:style>
  <w:style w:type="character" w:styleId="57">
    <w:name w:val="FollowedHyperlink"/>
    <w:qFormat/>
    <w:uiPriority w:val="0"/>
    <w:rPr>
      <w:rFonts w:ascii="Times New Roman" w:hAnsi="Times New Roman" w:eastAsia="宋体" w:cs="Times New Roman"/>
      <w:color w:val="800080"/>
      <w:u w:val="single"/>
    </w:rPr>
  </w:style>
  <w:style w:type="character" w:styleId="58">
    <w:name w:val="Emphasis"/>
    <w:qFormat/>
    <w:uiPriority w:val="0"/>
    <w:rPr>
      <w:rFonts w:ascii="Times New Roman" w:hAnsi="Times New Roman" w:eastAsia="宋体" w:cs="Times New Roman"/>
      <w:color w:val="CC0000"/>
    </w:rPr>
  </w:style>
  <w:style w:type="character" w:styleId="59">
    <w:name w:val="HTML Typewriter"/>
    <w:qFormat/>
    <w:uiPriority w:val="0"/>
    <w:rPr>
      <w:rFonts w:hint="eastAsia" w:ascii="黑体" w:hAnsi="Courier New" w:eastAsia="黑体" w:cs="Courier New"/>
      <w:sz w:val="18"/>
      <w:szCs w:val="18"/>
      <w:lang w:val="en-US" w:eastAsia="en-US" w:bidi="ar-SA"/>
    </w:rPr>
  </w:style>
  <w:style w:type="character" w:styleId="60">
    <w:name w:val="Hyperlink"/>
    <w:qFormat/>
    <w:uiPriority w:val="99"/>
    <w:rPr>
      <w:rFonts w:ascii="Times New Roman" w:hAnsi="Times New Roman" w:eastAsia="宋体" w:cs="Times New Roman"/>
      <w:color w:val="0000FF"/>
      <w:u w:val="single"/>
    </w:rPr>
  </w:style>
  <w:style w:type="character" w:styleId="61">
    <w:name w:val="annotation reference"/>
    <w:qFormat/>
    <w:uiPriority w:val="0"/>
    <w:rPr>
      <w:rFonts w:ascii="Times New Roman" w:hAnsi="Times New Roman" w:eastAsia="宋体" w:cs="Times New Roman"/>
      <w:sz w:val="21"/>
      <w:szCs w:val="21"/>
    </w:rPr>
  </w:style>
  <w:style w:type="character" w:customStyle="1" w:styleId="62">
    <w:name w:val="正文文本 Char1"/>
    <w:link w:val="19"/>
    <w:qFormat/>
    <w:uiPriority w:val="0"/>
    <w:rPr>
      <w:rFonts w:ascii="Times New Roman" w:hAnsi="Times New Roman" w:eastAsia="宋体" w:cs="Times New Roman"/>
      <w:sz w:val="28"/>
      <w:lang w:val="en-US" w:eastAsia="zh-CN" w:bidi="ar-SA"/>
    </w:rPr>
  </w:style>
  <w:style w:type="character" w:customStyle="1" w:styleId="63">
    <w:name w:val="内容 Char Char"/>
    <w:qFormat/>
    <w:uiPriority w:val="0"/>
    <w:rPr>
      <w:rFonts w:ascii="Times New Roman" w:hAnsi="Times New Roman" w:eastAsia="宋体" w:cs="宋体"/>
      <w:sz w:val="24"/>
    </w:rPr>
  </w:style>
  <w:style w:type="character" w:customStyle="1" w:styleId="64">
    <w:name w:val="Footer-Even Char"/>
    <w:qFormat/>
    <w:uiPriority w:val="0"/>
    <w:rPr>
      <w:rFonts w:ascii="Times New Roman" w:hAnsi="Times New Roman" w:eastAsia="宋体" w:cs="Times New Roman"/>
      <w:kern w:val="2"/>
      <w:sz w:val="18"/>
      <w:szCs w:val="18"/>
      <w:lang w:val="en-US" w:eastAsia="zh-CN" w:bidi="ar-SA"/>
    </w:rPr>
  </w:style>
  <w:style w:type="character" w:customStyle="1" w:styleId="65">
    <w:name w:val="正文1 Char"/>
    <w:link w:val="66"/>
    <w:qFormat/>
    <w:uiPriority w:val="0"/>
    <w:rPr>
      <w:rFonts w:ascii="Times New Roman" w:hAnsi="Times New Roman" w:eastAsia="宋体" w:cs="Times New Roman"/>
      <w:kern w:val="2"/>
      <w:sz w:val="28"/>
      <w:lang w:bidi="ar-SA"/>
    </w:rPr>
  </w:style>
  <w:style w:type="paragraph" w:customStyle="1" w:styleId="66">
    <w:name w:val="正文11"/>
    <w:basedOn w:val="1"/>
    <w:link w:val="65"/>
    <w:qFormat/>
    <w:uiPriority w:val="0"/>
    <w:pPr>
      <w:adjustRightInd w:val="0"/>
      <w:snapToGrid w:val="0"/>
      <w:spacing w:line="500" w:lineRule="atLeast"/>
      <w:ind w:firstLine="567" w:firstLineChars="0"/>
      <w:jc w:val="both"/>
      <w:textAlignment w:val="auto"/>
    </w:pPr>
    <w:rPr>
      <w:kern w:val="2"/>
    </w:rPr>
  </w:style>
  <w:style w:type="character" w:customStyle="1" w:styleId="67">
    <w:name w:val="font181"/>
    <w:qFormat/>
    <w:uiPriority w:val="0"/>
    <w:rPr>
      <w:rFonts w:hint="eastAsia" w:ascii="宋体" w:hAnsi="宋体" w:eastAsia="宋体" w:cs="宋体"/>
      <w:b/>
      <w:color w:val="000000"/>
      <w:sz w:val="22"/>
      <w:szCs w:val="22"/>
      <w:u w:val="none"/>
    </w:rPr>
  </w:style>
  <w:style w:type="character" w:customStyle="1" w:styleId="68">
    <w:name w:val="文本 Char"/>
    <w:link w:val="69"/>
    <w:qFormat/>
    <w:uiPriority w:val="0"/>
    <w:rPr>
      <w:rFonts w:ascii="Times New Roman" w:hAnsi="Times New Roman" w:eastAsia="宋体" w:cs="Times New Roman"/>
      <w:kern w:val="2"/>
      <w:sz w:val="24"/>
      <w:szCs w:val="24"/>
      <w:lang w:bidi="ar-SA"/>
    </w:rPr>
  </w:style>
  <w:style w:type="paragraph" w:customStyle="1" w:styleId="69">
    <w:name w:val="文本"/>
    <w:basedOn w:val="1"/>
    <w:link w:val="68"/>
    <w:qFormat/>
    <w:uiPriority w:val="0"/>
    <w:pPr>
      <w:ind w:firstLine="480"/>
      <w:jc w:val="both"/>
      <w:textAlignment w:val="auto"/>
    </w:pPr>
    <w:rPr>
      <w:kern w:val="2"/>
      <w:sz w:val="24"/>
      <w:szCs w:val="24"/>
    </w:rPr>
  </w:style>
  <w:style w:type="character" w:customStyle="1" w:styleId="70">
    <w:name w:val="普通文字 Char2"/>
    <w:qFormat/>
    <w:uiPriority w:val="0"/>
    <w:rPr>
      <w:rFonts w:ascii="宋体" w:hAnsi="Courier New" w:eastAsia="宋体"/>
      <w:sz w:val="22"/>
      <w:lang w:val="en-US" w:eastAsia="en-US" w:bidi="ar-SA"/>
    </w:rPr>
  </w:style>
  <w:style w:type="character" w:customStyle="1" w:styleId="71">
    <w:name w:val="font131"/>
    <w:qFormat/>
    <w:uiPriority w:val="0"/>
    <w:rPr>
      <w:rFonts w:hint="default" w:ascii="Times New Roman" w:hAnsi="Times New Roman" w:eastAsia="宋体" w:cs="Times New Roman"/>
      <w:b/>
      <w:color w:val="000000"/>
      <w:sz w:val="22"/>
      <w:szCs w:val="22"/>
      <w:u w:val="none"/>
    </w:rPr>
  </w:style>
  <w:style w:type="character" w:customStyle="1" w:styleId="72">
    <w:name w:val="表头 Char Char"/>
    <w:qFormat/>
    <w:uiPriority w:val="0"/>
    <w:rPr>
      <w:rFonts w:ascii="Times New Roman" w:hAnsi="Times New Roman" w:eastAsia="宋体" w:cs="宋体"/>
      <w:b/>
      <w:kern w:val="2"/>
      <w:sz w:val="24"/>
      <w:lang w:val="en-US" w:eastAsia="zh-CN" w:bidi="ar-SA"/>
    </w:rPr>
  </w:style>
  <w:style w:type="character" w:customStyle="1" w:styleId="73">
    <w:name w:val="Re Char"/>
    <w:qFormat/>
    <w:uiPriority w:val="0"/>
    <w:rPr>
      <w:rFonts w:ascii="Times New Roman" w:hAnsi="Times New Roman" w:eastAsia="宋体" w:cs="Times New Roman"/>
      <w:b/>
      <w:bCs/>
      <w:kern w:val="2"/>
      <w:sz w:val="32"/>
      <w:szCs w:val="32"/>
    </w:rPr>
  </w:style>
  <w:style w:type="character" w:customStyle="1" w:styleId="74">
    <w:name w:val="批注文字 Char2"/>
    <w:link w:val="15"/>
    <w:qFormat/>
    <w:uiPriority w:val="0"/>
    <w:rPr>
      <w:rFonts w:ascii="Times New Roman" w:hAnsi="Times New Roman" w:eastAsia="宋体" w:cs="Times New Roman"/>
      <w:kern w:val="2"/>
      <w:sz w:val="21"/>
      <w:szCs w:val="24"/>
      <w:lang w:bidi="ar-SA"/>
    </w:rPr>
  </w:style>
  <w:style w:type="character" w:customStyle="1" w:styleId="75">
    <w:name w:val="正文文本 Char"/>
    <w:qFormat/>
    <w:uiPriority w:val="0"/>
    <w:rPr>
      <w:rFonts w:eastAsia="宋体"/>
      <w:sz w:val="28"/>
      <w:lang w:val="en-US" w:eastAsia="zh-CN" w:bidi="ar-SA"/>
    </w:rPr>
  </w:style>
  <w:style w:type="character" w:customStyle="1" w:styleId="76">
    <w:name w:val="标题 Char"/>
    <w:link w:val="44"/>
    <w:qFormat/>
    <w:uiPriority w:val="0"/>
    <w:rPr>
      <w:rFonts w:ascii="Cambria" w:hAnsi="Cambria" w:eastAsia="宋体" w:cs="Times New Roman"/>
      <w:b/>
      <w:bCs/>
      <w:kern w:val="2"/>
      <w:sz w:val="32"/>
      <w:szCs w:val="32"/>
      <w:lang w:bidi="ar-SA"/>
    </w:rPr>
  </w:style>
  <w:style w:type="character" w:customStyle="1" w:styleId="77">
    <w:name w:val="标题 1 Char Char Char Char"/>
    <w:qFormat/>
    <w:uiPriority w:val="0"/>
    <w:rPr>
      <w:rFonts w:ascii="宋体" w:hAnsi="宋体" w:eastAsia="宋体" w:cs="Times New Roman"/>
      <w:b/>
      <w:bCs/>
      <w:kern w:val="44"/>
      <w:sz w:val="44"/>
      <w:szCs w:val="44"/>
      <w:lang w:val="en-US" w:eastAsia="zh-CN" w:bidi="ar-SA"/>
    </w:rPr>
  </w:style>
  <w:style w:type="character" w:customStyle="1" w:styleId="78">
    <w:name w:val="页脚 Char"/>
    <w:link w:val="31"/>
    <w:qFormat/>
    <w:uiPriority w:val="99"/>
    <w:rPr>
      <w:rFonts w:ascii="Times New Roman" w:hAnsi="Times New Roman" w:eastAsia="宋体" w:cs="Times New Roman"/>
      <w:kern w:val="2"/>
      <w:sz w:val="18"/>
      <w:szCs w:val="18"/>
      <w:lang w:bidi="ar-SA"/>
    </w:rPr>
  </w:style>
  <w:style w:type="character" w:customStyle="1" w:styleId="79">
    <w:name w:val="页码1"/>
    <w:qFormat/>
    <w:uiPriority w:val="0"/>
    <w:rPr>
      <w:rFonts w:ascii="Times New Roman" w:hAnsi="Times New Roman" w:eastAsia="宋体" w:cs="Times New Roman"/>
    </w:rPr>
  </w:style>
  <w:style w:type="character" w:customStyle="1" w:styleId="80">
    <w:name w:val="正文小四首缩1.3行距 Char"/>
    <w:link w:val="81"/>
    <w:qFormat/>
    <w:uiPriority w:val="0"/>
    <w:rPr>
      <w:rFonts w:ascii="Times New Roman" w:hAnsi="Times New Roman" w:eastAsia="宋体" w:cs="Times New Roman"/>
      <w:kern w:val="2"/>
      <w:sz w:val="24"/>
      <w:szCs w:val="24"/>
    </w:rPr>
  </w:style>
  <w:style w:type="paragraph" w:customStyle="1" w:styleId="81">
    <w:name w:val="正文小四首缩1.3行距"/>
    <w:basedOn w:val="1"/>
    <w:link w:val="80"/>
    <w:qFormat/>
    <w:uiPriority w:val="0"/>
    <w:pPr>
      <w:spacing w:line="312" w:lineRule="auto"/>
      <w:ind w:firstLine="420"/>
      <w:jc w:val="both"/>
      <w:textAlignment w:val="auto"/>
    </w:pPr>
    <w:rPr>
      <w:kern w:val="2"/>
      <w:sz w:val="24"/>
      <w:szCs w:val="24"/>
    </w:rPr>
  </w:style>
  <w:style w:type="character" w:customStyle="1" w:styleId="82">
    <w:name w:val="font171"/>
    <w:qFormat/>
    <w:uiPriority w:val="0"/>
    <w:rPr>
      <w:rFonts w:hint="default" w:ascii="Times New Roman" w:hAnsi="Times New Roman" w:eastAsia="宋体" w:cs="Times New Roman"/>
      <w:color w:val="000000"/>
      <w:sz w:val="16"/>
      <w:szCs w:val="16"/>
      <w:u w:val="none"/>
    </w:rPr>
  </w:style>
  <w:style w:type="character" w:customStyle="1" w:styleId="83">
    <w:name w:val="font01"/>
    <w:qFormat/>
    <w:uiPriority w:val="0"/>
    <w:rPr>
      <w:rFonts w:hint="eastAsia" w:ascii="宋体" w:hAnsi="宋体" w:eastAsia="宋体" w:cs="宋体"/>
      <w:b/>
      <w:color w:val="000000"/>
      <w:sz w:val="18"/>
      <w:szCs w:val="18"/>
      <w:u w:val="none"/>
    </w:rPr>
  </w:style>
  <w:style w:type="character" w:customStyle="1" w:styleId="84">
    <w:name w:val="页眉18 Char"/>
    <w:qFormat/>
    <w:uiPriority w:val="0"/>
    <w:rPr>
      <w:rFonts w:ascii="Times New Roman" w:hAnsi="Times New Roman" w:eastAsia="宋体" w:cs="Times New Roman"/>
      <w:kern w:val="2"/>
      <w:sz w:val="18"/>
      <w:szCs w:val="18"/>
      <w:lang w:val="en-US" w:eastAsia="zh-CN" w:bidi="ar-SA"/>
    </w:rPr>
  </w:style>
  <w:style w:type="character" w:customStyle="1" w:styleId="85">
    <w:name w:val="标题 4 Char"/>
    <w:link w:val="3"/>
    <w:qFormat/>
    <w:uiPriority w:val="0"/>
    <w:rPr>
      <w:rFonts w:ascii="Times New Roman" w:hAnsi="Times New Roman" w:eastAsia="黑体" w:cs="Times New Roman"/>
      <w:bCs/>
      <w:sz w:val="24"/>
      <w:szCs w:val="28"/>
    </w:rPr>
  </w:style>
  <w:style w:type="character" w:customStyle="1" w:styleId="86">
    <w:name w:val="表格名 Char"/>
    <w:link w:val="87"/>
    <w:qFormat/>
    <w:uiPriority w:val="0"/>
    <w:rPr>
      <w:rFonts w:ascii="Times New Roman" w:hAnsi="Times New Roman" w:eastAsia="宋体" w:cs="Times New Roman"/>
      <w:b/>
      <w:bCs/>
      <w:color w:val="000000"/>
      <w:kern w:val="2"/>
      <w:sz w:val="21"/>
      <w:szCs w:val="21"/>
      <w:lang w:bidi="ar-SA"/>
    </w:rPr>
  </w:style>
  <w:style w:type="paragraph" w:customStyle="1" w:styleId="87">
    <w:name w:val="表格名"/>
    <w:basedOn w:val="1"/>
    <w:link w:val="86"/>
    <w:qFormat/>
    <w:uiPriority w:val="0"/>
    <w:pPr>
      <w:spacing w:beforeLines="50" w:afterLines="50" w:line="240" w:lineRule="auto"/>
      <w:ind w:firstLine="0" w:firstLineChars="0"/>
      <w:jc w:val="center"/>
      <w:textAlignment w:val="auto"/>
    </w:pPr>
    <w:rPr>
      <w:b/>
      <w:bCs/>
      <w:color w:val="000000"/>
      <w:kern w:val="2"/>
      <w:sz w:val="21"/>
      <w:szCs w:val="21"/>
    </w:rPr>
  </w:style>
  <w:style w:type="character" w:customStyle="1" w:styleId="88">
    <w:name w:val="style1"/>
    <w:qFormat/>
    <w:uiPriority w:val="0"/>
    <w:rPr>
      <w:rFonts w:hint="default" w:ascii="Times" w:hAnsi="Times" w:eastAsia="宋体" w:cs="Times New Roman"/>
      <w:color w:val="000000"/>
      <w:sz w:val="18"/>
      <w:szCs w:val="18"/>
    </w:rPr>
  </w:style>
  <w:style w:type="character" w:customStyle="1" w:styleId="89">
    <w:name w:val="表格标题 Char"/>
    <w:link w:val="90"/>
    <w:qFormat/>
    <w:uiPriority w:val="0"/>
    <w:rPr>
      <w:rFonts w:ascii="Times New Roman" w:hAnsi="Times New Roman" w:eastAsia="黑体" w:cs="Times New Roman"/>
      <w:b/>
      <w:snapToGrid w:val="0"/>
      <w:sz w:val="24"/>
      <w:szCs w:val="24"/>
      <w:lang w:bidi="ar-SA"/>
    </w:rPr>
  </w:style>
  <w:style w:type="paragraph" w:customStyle="1" w:styleId="90">
    <w:name w:val="表格标题"/>
    <w:basedOn w:val="1"/>
    <w:link w:val="89"/>
    <w:qFormat/>
    <w:uiPriority w:val="0"/>
    <w:pPr>
      <w:adjustRightInd w:val="0"/>
      <w:snapToGrid w:val="0"/>
      <w:spacing w:beforeLines="10" w:line="460" w:lineRule="exact"/>
      <w:ind w:firstLine="0" w:firstLineChars="0"/>
      <w:jc w:val="center"/>
      <w:textAlignment w:val="auto"/>
    </w:pPr>
    <w:rPr>
      <w:rFonts w:eastAsia="黑体"/>
      <w:b/>
      <w:snapToGrid w:val="0"/>
      <w:sz w:val="24"/>
      <w:szCs w:val="24"/>
    </w:rPr>
  </w:style>
  <w:style w:type="character" w:customStyle="1" w:styleId="91">
    <w:name w:val="font81"/>
    <w:qFormat/>
    <w:uiPriority w:val="0"/>
    <w:rPr>
      <w:rFonts w:hint="eastAsia" w:ascii="宋体" w:hAnsi="宋体" w:eastAsia="宋体" w:cs="宋体"/>
      <w:color w:val="000000"/>
      <w:sz w:val="22"/>
      <w:szCs w:val="22"/>
      <w:u w:val="none"/>
    </w:rPr>
  </w:style>
  <w:style w:type="character" w:customStyle="1" w:styleId="92">
    <w:name w:val="标题 1 Char"/>
    <w:link w:val="4"/>
    <w:qFormat/>
    <w:uiPriority w:val="9"/>
    <w:rPr>
      <w:rFonts w:ascii="隶书" w:hAnsi="Times New Roman" w:eastAsia="宋体" w:cs="Times New Roman"/>
      <w:b/>
      <w:bCs/>
      <w:kern w:val="44"/>
      <w:sz w:val="44"/>
    </w:rPr>
  </w:style>
  <w:style w:type="character" w:customStyle="1" w:styleId="93">
    <w:name w:val="无间隔 Char"/>
    <w:link w:val="94"/>
    <w:qFormat/>
    <w:uiPriority w:val="0"/>
    <w:rPr>
      <w:rFonts w:ascii="Calibri" w:hAnsi="Calibri"/>
      <w:sz w:val="22"/>
      <w:szCs w:val="22"/>
      <w:lang w:val="en-US" w:eastAsia="zh-CN" w:bidi="ar-SA"/>
    </w:rPr>
  </w:style>
  <w:style w:type="paragraph" w:styleId="94">
    <w:name w:val="No Spacing"/>
    <w:link w:val="93"/>
    <w:qFormat/>
    <w:uiPriority w:val="0"/>
    <w:rPr>
      <w:rFonts w:ascii="Calibri" w:hAnsi="Calibri" w:eastAsia="宋体" w:cs="Times New Roman"/>
      <w:sz w:val="22"/>
      <w:szCs w:val="22"/>
      <w:lang w:val="en-US" w:eastAsia="zh-CN" w:bidi="ar-SA"/>
    </w:rPr>
  </w:style>
  <w:style w:type="character" w:customStyle="1" w:styleId="95">
    <w:name w:val="1正文段落 Char"/>
    <w:link w:val="96"/>
    <w:qFormat/>
    <w:uiPriority w:val="0"/>
    <w:rPr>
      <w:rFonts w:ascii="Times New Roman" w:hAnsi="Times New Roman" w:eastAsia="宋体" w:cs="Times New Roman"/>
      <w:snapToGrid w:val="0"/>
      <w:szCs w:val="24"/>
      <w:lang w:bidi="ar-SA"/>
    </w:rPr>
  </w:style>
  <w:style w:type="paragraph" w:customStyle="1" w:styleId="96">
    <w:name w:val="1正文段落"/>
    <w:basedOn w:val="1"/>
    <w:link w:val="95"/>
    <w:qFormat/>
    <w:uiPriority w:val="0"/>
    <w:pPr>
      <w:ind w:firstLine="480"/>
      <w:textAlignment w:val="auto"/>
    </w:pPr>
    <w:rPr>
      <w:snapToGrid w:val="0"/>
      <w:sz w:val="20"/>
      <w:szCs w:val="24"/>
    </w:rPr>
  </w:style>
  <w:style w:type="character" w:customStyle="1" w:styleId="97">
    <w:name w:val="表格 Char Char"/>
    <w:qFormat/>
    <w:uiPriority w:val="0"/>
    <w:rPr>
      <w:rFonts w:ascii="Times New Roman" w:hAnsi="Times New Roman" w:eastAsia="宋体" w:cs="Times New Roman"/>
      <w:sz w:val="24"/>
      <w:szCs w:val="24"/>
    </w:rPr>
  </w:style>
  <w:style w:type="character" w:customStyle="1" w:styleId="98">
    <w:name w:val="正文文本缩进 2 Char"/>
    <w:link w:val="29"/>
    <w:qFormat/>
    <w:uiPriority w:val="0"/>
    <w:rPr>
      <w:rFonts w:ascii="Times New Roman" w:hAnsi="Times New Roman" w:eastAsia="宋体" w:cs="Times New Roman"/>
      <w:kern w:val="2"/>
      <w:sz w:val="21"/>
      <w:szCs w:val="24"/>
      <w:lang w:bidi="ar-SA"/>
    </w:rPr>
  </w:style>
  <w:style w:type="character" w:customStyle="1" w:styleId="99">
    <w:name w:val="表格 Char"/>
    <w:link w:val="100"/>
    <w:qFormat/>
    <w:uiPriority w:val="0"/>
    <w:rPr>
      <w:rFonts w:ascii="Times New Roman" w:hAnsi="Times New Roman" w:eastAsia="宋体" w:cs="Times New Roman"/>
      <w:color w:val="000000"/>
      <w:sz w:val="21"/>
      <w:szCs w:val="24"/>
      <w:lang w:bidi="ar-SA"/>
    </w:rPr>
  </w:style>
  <w:style w:type="paragraph" w:customStyle="1" w:styleId="100">
    <w:name w:val="表格"/>
    <w:basedOn w:val="1"/>
    <w:link w:val="99"/>
    <w:qFormat/>
    <w:uiPriority w:val="0"/>
    <w:pPr>
      <w:spacing w:line="400" w:lineRule="exact"/>
      <w:ind w:firstLine="0" w:firstLineChars="0"/>
      <w:jc w:val="center"/>
      <w:textAlignment w:val="auto"/>
    </w:pPr>
    <w:rPr>
      <w:color w:val="000000"/>
      <w:sz w:val="21"/>
      <w:szCs w:val="24"/>
    </w:rPr>
  </w:style>
  <w:style w:type="character" w:customStyle="1" w:styleId="101">
    <w:name w:val="px14"/>
    <w:basedOn w:val="54"/>
    <w:qFormat/>
    <w:uiPriority w:val="0"/>
  </w:style>
  <w:style w:type="character" w:customStyle="1" w:styleId="102">
    <w:name w:val="报告正文 Char"/>
    <w:qFormat/>
    <w:uiPriority w:val="0"/>
    <w:rPr>
      <w:rFonts w:ascii="Times New Roman" w:hAnsi="Times New Roman" w:eastAsia="宋体" w:cs="Times New Roman"/>
      <w:sz w:val="28"/>
      <w:szCs w:val="20"/>
    </w:rPr>
  </w:style>
  <w:style w:type="character" w:customStyle="1" w:styleId="103">
    <w:name w:val="~~表内容 Char Char"/>
    <w:link w:val="104"/>
    <w:qFormat/>
    <w:uiPriority w:val="0"/>
    <w:rPr>
      <w:rFonts w:ascii="Times New Roman" w:hAnsi="Times New Roman" w:eastAsia="宋体" w:cs="Times New Roman"/>
      <w:kern w:val="2"/>
      <w:sz w:val="21"/>
      <w:szCs w:val="21"/>
      <w:lang w:bidi="ar-SA"/>
    </w:rPr>
  </w:style>
  <w:style w:type="paragraph" w:customStyle="1" w:styleId="104">
    <w:name w:val="~~表内容"/>
    <w:basedOn w:val="1"/>
    <w:link w:val="103"/>
    <w:qFormat/>
    <w:uiPriority w:val="0"/>
    <w:pPr>
      <w:spacing w:line="240" w:lineRule="auto"/>
      <w:ind w:firstLine="0" w:firstLineChars="0"/>
      <w:jc w:val="center"/>
      <w:textAlignment w:val="auto"/>
    </w:pPr>
    <w:rPr>
      <w:kern w:val="2"/>
      <w:sz w:val="21"/>
      <w:szCs w:val="21"/>
    </w:rPr>
  </w:style>
  <w:style w:type="character" w:customStyle="1" w:styleId="105">
    <w:name w:val="font111"/>
    <w:qFormat/>
    <w:uiPriority w:val="0"/>
    <w:rPr>
      <w:rFonts w:hint="default" w:ascii="Times New Roman" w:hAnsi="Times New Roman" w:eastAsia="宋体" w:cs="Times New Roman"/>
      <w:color w:val="000000"/>
      <w:sz w:val="22"/>
      <w:szCs w:val="22"/>
      <w:u w:val="none"/>
    </w:rPr>
  </w:style>
  <w:style w:type="character" w:customStyle="1" w:styleId="106">
    <w:name w:val="标题 3 Char"/>
    <w:link w:val="6"/>
    <w:qFormat/>
    <w:uiPriority w:val="0"/>
    <w:rPr>
      <w:rFonts w:ascii="Times New Roman" w:hAnsi="Times New Roman" w:eastAsia="宋体" w:cs="Times New Roman"/>
      <w:b/>
      <w:bCs/>
      <w:kern w:val="2"/>
      <w:sz w:val="28"/>
      <w:szCs w:val="32"/>
    </w:rPr>
  </w:style>
  <w:style w:type="character" w:customStyle="1" w:styleId="107">
    <w:name w:val="普通文字 Char Char Char3"/>
    <w:qFormat/>
    <w:uiPriority w:val="0"/>
    <w:rPr>
      <w:rFonts w:ascii="宋体" w:hAnsi="Courier New" w:eastAsia="FangSong_GB2312" w:cs="Courier New"/>
      <w:kern w:val="2"/>
      <w:sz w:val="28"/>
      <w:szCs w:val="21"/>
      <w:lang w:val="en-US" w:eastAsia="zh-CN" w:bidi="ar-SA"/>
    </w:rPr>
  </w:style>
  <w:style w:type="character" w:customStyle="1" w:styleId="108">
    <w:name w:val="正文01 Char"/>
    <w:link w:val="109"/>
    <w:qFormat/>
    <w:uiPriority w:val="0"/>
    <w:rPr>
      <w:rFonts w:ascii="Times New Roman" w:hAnsi="Times New Roman" w:eastAsia="宋体" w:cs="Times New Roman"/>
      <w:kern w:val="2"/>
      <w:sz w:val="24"/>
      <w:lang w:bidi="ar-SA"/>
    </w:rPr>
  </w:style>
  <w:style w:type="paragraph" w:customStyle="1" w:styleId="109">
    <w:name w:val="正文01"/>
    <w:basedOn w:val="2"/>
    <w:link w:val="108"/>
    <w:qFormat/>
    <w:uiPriority w:val="0"/>
    <w:pPr>
      <w:spacing w:line="360" w:lineRule="auto"/>
      <w:ind w:firstLine="480"/>
    </w:pPr>
    <w:rPr>
      <w:sz w:val="24"/>
    </w:rPr>
  </w:style>
  <w:style w:type="character" w:customStyle="1" w:styleId="110">
    <w:name w:val="正文正文 正文 正文 正文 正文  1.5 倍行距 首行缩进:  2 字符 + 首行缩进:  2 字符 Char"/>
    <w:link w:val="111"/>
    <w:qFormat/>
    <w:uiPriority w:val="0"/>
    <w:rPr>
      <w:rFonts w:ascii="Times New Roman" w:hAnsi="Times New Roman" w:eastAsia="宋体" w:cs="Times New Roman"/>
      <w:kern w:val="2"/>
      <w:sz w:val="24"/>
      <w:szCs w:val="24"/>
      <w:lang w:bidi="ar-SA"/>
    </w:rPr>
  </w:style>
  <w:style w:type="paragraph" w:customStyle="1" w:styleId="111">
    <w:name w:val="正文正文 正文 正文 正文 正文  1.5 倍行距 首行缩进:  2 字符 + 首行缩进:  2 字符"/>
    <w:basedOn w:val="1"/>
    <w:link w:val="110"/>
    <w:qFormat/>
    <w:uiPriority w:val="0"/>
    <w:pPr>
      <w:spacing w:line="500" w:lineRule="exact"/>
      <w:ind w:firstLine="480"/>
      <w:jc w:val="both"/>
      <w:textAlignment w:val="auto"/>
    </w:pPr>
    <w:rPr>
      <w:kern w:val="2"/>
      <w:sz w:val="24"/>
      <w:szCs w:val="24"/>
    </w:rPr>
  </w:style>
  <w:style w:type="character" w:customStyle="1" w:styleId="112">
    <w:name w:val="正文111 Char"/>
    <w:link w:val="113"/>
    <w:qFormat/>
    <w:uiPriority w:val="0"/>
    <w:rPr>
      <w:rFonts w:ascii="Times New Roman" w:hAnsi="Times New Roman" w:eastAsia="宋体" w:cs="Times New Roman"/>
      <w:b/>
      <w:spacing w:val="6"/>
      <w:sz w:val="21"/>
      <w:szCs w:val="21"/>
      <w:lang w:bidi="ar-SA"/>
    </w:rPr>
  </w:style>
  <w:style w:type="paragraph" w:customStyle="1" w:styleId="113">
    <w:name w:val="正文111"/>
    <w:basedOn w:val="1"/>
    <w:link w:val="112"/>
    <w:qFormat/>
    <w:uiPriority w:val="0"/>
    <w:pPr>
      <w:spacing w:line="520" w:lineRule="exact"/>
      <w:ind w:firstLine="446"/>
      <w:jc w:val="center"/>
      <w:textAlignment w:val="auto"/>
    </w:pPr>
    <w:rPr>
      <w:b/>
      <w:spacing w:val="6"/>
      <w:sz w:val="21"/>
      <w:szCs w:val="21"/>
    </w:rPr>
  </w:style>
  <w:style w:type="character" w:customStyle="1" w:styleId="114">
    <w:name w:val="批注框文本 Char"/>
    <w:link w:val="30"/>
    <w:qFormat/>
    <w:uiPriority w:val="0"/>
    <w:rPr>
      <w:rFonts w:ascii="Times New Roman" w:hAnsi="Times New Roman" w:eastAsia="宋体" w:cs="Times New Roman"/>
      <w:kern w:val="2"/>
      <w:sz w:val="18"/>
      <w:szCs w:val="18"/>
      <w:lang w:bidi="ar-SA"/>
    </w:rPr>
  </w:style>
  <w:style w:type="character" w:customStyle="1" w:styleId="115">
    <w:name w:val="标题 6 Char"/>
    <w:link w:val="8"/>
    <w:qFormat/>
    <w:uiPriority w:val="0"/>
    <w:rPr>
      <w:rFonts w:ascii="Arial" w:hAnsi="Arial" w:eastAsia="黑体" w:cs="Times New Roman"/>
      <w:b/>
      <w:color w:val="FF0000"/>
      <w:sz w:val="24"/>
      <w:lang w:bidi="ar-SA"/>
    </w:rPr>
  </w:style>
  <w:style w:type="character" w:customStyle="1" w:styleId="116">
    <w:name w:val="标题 7 Char"/>
    <w:link w:val="9"/>
    <w:qFormat/>
    <w:uiPriority w:val="0"/>
    <w:rPr>
      <w:rFonts w:ascii="Times New Roman" w:hAnsi="Times New Roman" w:eastAsia="宋体" w:cs="Times New Roman"/>
      <w:b/>
      <w:color w:val="FF0000"/>
      <w:sz w:val="24"/>
      <w:lang w:bidi="ar-SA"/>
    </w:rPr>
  </w:style>
  <w:style w:type="character" w:customStyle="1" w:styleId="117">
    <w:name w:val="font151"/>
    <w:qFormat/>
    <w:uiPriority w:val="0"/>
    <w:rPr>
      <w:rFonts w:hint="eastAsia" w:ascii="宋体" w:hAnsi="宋体" w:eastAsia="宋体" w:cs="宋体"/>
      <w:color w:val="000000"/>
      <w:sz w:val="16"/>
      <w:szCs w:val="16"/>
      <w:u w:val="none"/>
    </w:rPr>
  </w:style>
  <w:style w:type="character" w:customStyle="1" w:styleId="118">
    <w:name w:val="font101"/>
    <w:qFormat/>
    <w:uiPriority w:val="0"/>
    <w:rPr>
      <w:rFonts w:hint="default" w:ascii="Times New Roman" w:hAnsi="Times New Roman" w:eastAsia="宋体" w:cs="Times New Roman"/>
      <w:b/>
      <w:color w:val="000000"/>
      <w:sz w:val="18"/>
      <w:szCs w:val="18"/>
      <w:u w:val="none"/>
    </w:rPr>
  </w:style>
  <w:style w:type="character" w:customStyle="1" w:styleId="119">
    <w:name w:val="表头 Char1"/>
    <w:link w:val="120"/>
    <w:qFormat/>
    <w:uiPriority w:val="0"/>
    <w:rPr>
      <w:rFonts w:ascii="FangSong_GB2312" w:hAnsi="Times New Roman" w:eastAsia="FangSong_GB2312" w:cs="Times New Roman"/>
      <w:sz w:val="24"/>
      <w:lang w:bidi="ar-SA"/>
    </w:rPr>
  </w:style>
  <w:style w:type="paragraph" w:customStyle="1" w:styleId="120">
    <w:name w:val="表头"/>
    <w:basedOn w:val="1"/>
    <w:link w:val="119"/>
    <w:qFormat/>
    <w:uiPriority w:val="0"/>
    <w:pPr>
      <w:adjustRightInd w:val="0"/>
      <w:spacing w:before="80" w:after="80" w:line="240" w:lineRule="auto"/>
      <w:ind w:firstLine="0" w:firstLineChars="0"/>
      <w:jc w:val="center"/>
      <w:textAlignment w:val="baseline"/>
    </w:pPr>
    <w:rPr>
      <w:rFonts w:ascii="FangSong_GB2312" w:eastAsia="FangSong_GB2312"/>
      <w:sz w:val="24"/>
    </w:rPr>
  </w:style>
  <w:style w:type="character" w:customStyle="1" w:styleId="121">
    <w:name w:val="font21"/>
    <w:qFormat/>
    <w:uiPriority w:val="0"/>
    <w:rPr>
      <w:rFonts w:hint="default" w:ascii="Times New Roman" w:hAnsi="Times New Roman" w:eastAsia="宋体" w:cs="Times New Roman"/>
      <w:b/>
      <w:color w:val="000000"/>
      <w:sz w:val="18"/>
      <w:szCs w:val="18"/>
      <w:u w:val="none"/>
    </w:rPr>
  </w:style>
  <w:style w:type="character" w:customStyle="1" w:styleId="122">
    <w:name w:val="页眉 Char"/>
    <w:link w:val="32"/>
    <w:qFormat/>
    <w:uiPriority w:val="0"/>
    <w:rPr>
      <w:rFonts w:ascii="Times New Roman" w:hAnsi="Times New Roman" w:eastAsia="宋体" w:cs="Times New Roman"/>
      <w:sz w:val="18"/>
      <w:szCs w:val="18"/>
      <w:lang w:val="en-US" w:eastAsia="zh-CN" w:bidi="ar-SA"/>
    </w:rPr>
  </w:style>
  <w:style w:type="character" w:customStyle="1" w:styleId="123">
    <w:name w:val="正文(首行缩进) Char"/>
    <w:link w:val="124"/>
    <w:qFormat/>
    <w:uiPriority w:val="0"/>
    <w:rPr>
      <w:rFonts w:ascii="Times New Roman" w:hAnsi="Times New Roman" w:eastAsia="宋体" w:cs="Times New Roman"/>
      <w:snapToGrid w:val="0"/>
      <w:sz w:val="24"/>
      <w:szCs w:val="24"/>
      <w:lang w:bidi="ar-SA"/>
    </w:rPr>
  </w:style>
  <w:style w:type="paragraph" w:customStyle="1" w:styleId="124">
    <w:name w:val="正文(首行缩进)"/>
    <w:basedOn w:val="1"/>
    <w:link w:val="123"/>
    <w:qFormat/>
    <w:uiPriority w:val="0"/>
    <w:pPr>
      <w:adjustRightInd w:val="0"/>
      <w:snapToGrid w:val="0"/>
      <w:jc w:val="both"/>
      <w:textAlignment w:val="auto"/>
    </w:pPr>
    <w:rPr>
      <w:snapToGrid w:val="0"/>
      <w:sz w:val="24"/>
      <w:szCs w:val="24"/>
    </w:rPr>
  </w:style>
  <w:style w:type="character" w:customStyle="1" w:styleId="125">
    <w:name w:val="标题 5 Char"/>
    <w:link w:val="7"/>
    <w:qFormat/>
    <w:uiPriority w:val="0"/>
    <w:rPr>
      <w:rFonts w:ascii="Times New Roman" w:hAnsi="Times New Roman" w:eastAsia="宋体" w:cs="Times New Roman"/>
      <w:b/>
      <w:color w:val="FF0000"/>
      <w:sz w:val="28"/>
      <w:lang w:bidi="ar-SA"/>
    </w:rPr>
  </w:style>
  <w:style w:type="character" w:customStyle="1" w:styleId="126">
    <w:name w:val="报告书正文 Char"/>
    <w:qFormat/>
    <w:uiPriority w:val="0"/>
    <w:rPr>
      <w:rFonts w:ascii="Times New Roman" w:hAnsi="Times New Roman" w:eastAsia="宋体" w:cs="Times New Roman"/>
      <w:kern w:val="2"/>
      <w:sz w:val="24"/>
      <w:szCs w:val="24"/>
    </w:rPr>
  </w:style>
  <w:style w:type="character" w:customStyle="1" w:styleId="127">
    <w:name w:val="页码11"/>
    <w:qFormat/>
    <w:uiPriority w:val="0"/>
    <w:rPr>
      <w:rFonts w:ascii="Times New Roman" w:hAnsi="Times New Roman" w:eastAsia="宋体" w:cs="Times New Roman"/>
    </w:rPr>
  </w:style>
  <w:style w:type="character" w:customStyle="1" w:styleId="128">
    <w:name w:val="表格内容 Char"/>
    <w:link w:val="129"/>
    <w:qFormat/>
    <w:uiPriority w:val="0"/>
    <w:rPr>
      <w:rFonts w:ascii="宋体" w:hAnsi="宋体"/>
      <w:kern w:val="2"/>
      <w:sz w:val="21"/>
      <w:szCs w:val="21"/>
      <w:lang w:val="en-US" w:eastAsia="zh-CN" w:bidi="ar-SA"/>
    </w:rPr>
  </w:style>
  <w:style w:type="paragraph" w:customStyle="1" w:styleId="129">
    <w:name w:val="表格内容"/>
    <w:link w:val="128"/>
    <w:qFormat/>
    <w:uiPriority w:val="0"/>
    <w:pPr>
      <w:widowControl w:val="0"/>
      <w:snapToGrid w:val="0"/>
      <w:spacing w:line="240" w:lineRule="atLeast"/>
      <w:jc w:val="center"/>
    </w:pPr>
    <w:rPr>
      <w:rFonts w:ascii="宋体" w:hAnsi="宋体" w:eastAsia="宋体" w:cs="Times New Roman"/>
      <w:kern w:val="2"/>
      <w:sz w:val="21"/>
      <w:szCs w:val="21"/>
      <w:lang w:val="en-US" w:eastAsia="zh-CN" w:bidi="ar-SA"/>
    </w:rPr>
  </w:style>
  <w:style w:type="character" w:customStyle="1" w:styleId="130">
    <w:name w:val="报告正文 Char Char"/>
    <w:link w:val="131"/>
    <w:qFormat/>
    <w:uiPriority w:val="0"/>
    <w:rPr>
      <w:rFonts w:ascii="宋体" w:hAnsi="Times New Roman" w:eastAsia="宋体" w:cs="Times New Roman"/>
      <w:kern w:val="2"/>
      <w:sz w:val="24"/>
      <w:lang w:bidi="ar-SA"/>
    </w:rPr>
  </w:style>
  <w:style w:type="paragraph" w:customStyle="1" w:styleId="131">
    <w:name w:val="报告正文"/>
    <w:basedOn w:val="1"/>
    <w:link w:val="130"/>
    <w:qFormat/>
    <w:uiPriority w:val="0"/>
    <w:pPr>
      <w:adjustRightInd w:val="0"/>
      <w:snapToGrid w:val="0"/>
      <w:jc w:val="both"/>
      <w:textAlignment w:val="auto"/>
    </w:pPr>
    <w:rPr>
      <w:rFonts w:ascii="宋体"/>
      <w:kern w:val="2"/>
      <w:sz w:val="24"/>
    </w:rPr>
  </w:style>
  <w:style w:type="character" w:customStyle="1" w:styleId="132">
    <w:name w:val="HTML 预设格式 Char"/>
    <w:link w:val="41"/>
    <w:qFormat/>
    <w:uiPriority w:val="0"/>
    <w:rPr>
      <w:rFonts w:ascii="Arial" w:hAnsi="Arial" w:eastAsia="宋体" w:cs="Times New Roman"/>
      <w:sz w:val="21"/>
      <w:szCs w:val="21"/>
      <w:lang w:bidi="ar-SA"/>
    </w:rPr>
  </w:style>
  <w:style w:type="character" w:customStyle="1" w:styleId="133">
    <w:name w:val="yyp Char"/>
    <w:link w:val="134"/>
    <w:qFormat/>
    <w:locked/>
    <w:uiPriority w:val="0"/>
    <w:rPr>
      <w:rFonts w:ascii="宋体" w:hAnsi="宋体"/>
      <w:sz w:val="24"/>
      <w:szCs w:val="24"/>
    </w:rPr>
  </w:style>
  <w:style w:type="paragraph" w:customStyle="1" w:styleId="134">
    <w:name w:val="yyp"/>
    <w:basedOn w:val="1"/>
    <w:next w:val="1"/>
    <w:link w:val="133"/>
    <w:qFormat/>
    <w:uiPriority w:val="0"/>
    <w:pPr>
      <w:widowControl/>
      <w:spacing w:after="120"/>
      <w:ind w:firstLine="480"/>
      <w:textAlignment w:val="auto"/>
    </w:pPr>
    <w:rPr>
      <w:rFonts w:ascii="宋体" w:hAnsi="宋体"/>
      <w:sz w:val="24"/>
      <w:szCs w:val="24"/>
    </w:rPr>
  </w:style>
  <w:style w:type="character" w:customStyle="1" w:styleId="135">
    <w:name w:val="标题 8 Char"/>
    <w:link w:val="10"/>
    <w:qFormat/>
    <w:uiPriority w:val="0"/>
    <w:rPr>
      <w:rFonts w:ascii="Arial" w:hAnsi="Arial" w:eastAsia="黑体" w:cs="Times New Roman"/>
      <w:b/>
      <w:color w:val="FF0000"/>
      <w:sz w:val="24"/>
      <w:lang w:bidi="ar-SA"/>
    </w:rPr>
  </w:style>
  <w:style w:type="character" w:customStyle="1" w:styleId="136">
    <w:name w:val="正文文本缩进 Char"/>
    <w:link w:val="20"/>
    <w:qFormat/>
    <w:uiPriority w:val="0"/>
    <w:rPr>
      <w:rFonts w:ascii="Times New Roman" w:hAnsi="Times New Roman" w:eastAsia="宋体" w:cs="Times New Roman"/>
      <w:kern w:val="2"/>
      <w:sz w:val="28"/>
      <w:lang w:bidi="ar-SA"/>
    </w:rPr>
  </w:style>
  <w:style w:type="character" w:customStyle="1" w:styleId="137">
    <w:name w:val="标题 9 Char"/>
    <w:link w:val="11"/>
    <w:qFormat/>
    <w:uiPriority w:val="0"/>
    <w:rPr>
      <w:rFonts w:ascii="Arial" w:hAnsi="Arial" w:eastAsia="黑体" w:cs="Times New Roman"/>
      <w:b/>
      <w:color w:val="FF0000"/>
      <w:sz w:val="21"/>
      <w:lang w:bidi="ar-SA"/>
    </w:rPr>
  </w:style>
  <w:style w:type="character" w:customStyle="1" w:styleId="138">
    <w:name w:val="标题 2 Char"/>
    <w:qFormat/>
    <w:uiPriority w:val="0"/>
    <w:rPr>
      <w:rFonts w:ascii="Arial" w:hAnsi="Arial" w:eastAsia="黑体" w:cs="Times New Roman"/>
      <w:b/>
      <w:bCs/>
      <w:kern w:val="2"/>
      <w:sz w:val="32"/>
      <w:szCs w:val="32"/>
      <w:lang w:val="en-US" w:eastAsia="zh-CN" w:bidi="ar-SA"/>
    </w:rPr>
  </w:style>
  <w:style w:type="character" w:customStyle="1" w:styleId="139">
    <w:name w:val="正文文本 3 Char"/>
    <w:link w:val="18"/>
    <w:qFormat/>
    <w:uiPriority w:val="0"/>
    <w:rPr>
      <w:rFonts w:ascii="Times New Roman" w:hAnsi="Times New Roman" w:eastAsia="宋体" w:cs="Times New Roman"/>
      <w:color w:val="000000"/>
      <w:kern w:val="2"/>
      <w:sz w:val="24"/>
      <w:szCs w:val="24"/>
      <w:lang w:bidi="ar-SA"/>
    </w:rPr>
  </w:style>
  <w:style w:type="character" w:customStyle="1" w:styleId="140">
    <w:name w:val="报告书正文 Char Char"/>
    <w:link w:val="141"/>
    <w:qFormat/>
    <w:uiPriority w:val="0"/>
    <w:rPr>
      <w:rFonts w:ascii="Times New Roman" w:hAnsi="Times New Roman" w:eastAsia="宋体" w:cs="Times New Roman"/>
      <w:kern w:val="2"/>
      <w:sz w:val="24"/>
      <w:szCs w:val="24"/>
      <w:lang w:bidi="ar-SA"/>
    </w:rPr>
  </w:style>
  <w:style w:type="paragraph" w:customStyle="1" w:styleId="141">
    <w:name w:val="报告书正文"/>
    <w:basedOn w:val="1"/>
    <w:next w:val="1"/>
    <w:link w:val="140"/>
    <w:qFormat/>
    <w:uiPriority w:val="0"/>
    <w:pPr>
      <w:jc w:val="both"/>
      <w:textAlignment w:val="auto"/>
    </w:pPr>
    <w:rPr>
      <w:kern w:val="2"/>
      <w:sz w:val="24"/>
      <w:szCs w:val="24"/>
    </w:rPr>
  </w:style>
  <w:style w:type="character" w:customStyle="1" w:styleId="142">
    <w:name w:val="font51"/>
    <w:qFormat/>
    <w:uiPriority w:val="0"/>
    <w:rPr>
      <w:rFonts w:hint="default" w:ascii="Times New Roman" w:hAnsi="Times New Roman" w:eastAsia="宋体" w:cs="Times New Roman"/>
      <w:b/>
      <w:color w:val="000000"/>
      <w:sz w:val="18"/>
      <w:szCs w:val="18"/>
      <w:u w:val="none"/>
      <w:vertAlign w:val="superscript"/>
    </w:rPr>
  </w:style>
  <w:style w:type="character" w:customStyle="1" w:styleId="143">
    <w:name w:val="标准 Char"/>
    <w:link w:val="144"/>
    <w:qFormat/>
    <w:uiPriority w:val="0"/>
    <w:rPr>
      <w:rFonts w:ascii="KaiTi_GB2312" w:hAnsi="Times New Roman" w:eastAsia="KaiTi_GB2312" w:cs="Times New Roman"/>
      <w:sz w:val="28"/>
    </w:rPr>
  </w:style>
  <w:style w:type="paragraph" w:customStyle="1" w:styleId="144">
    <w:name w:val="标准"/>
    <w:basedOn w:val="1"/>
    <w:link w:val="143"/>
    <w:qFormat/>
    <w:uiPriority w:val="0"/>
    <w:pPr>
      <w:adjustRightInd w:val="0"/>
      <w:ind w:firstLine="0" w:firstLineChars="0"/>
      <w:jc w:val="both"/>
      <w:textAlignment w:val="baseline"/>
    </w:pPr>
    <w:rPr>
      <w:rFonts w:ascii="KaiTi_GB2312" w:eastAsia="KaiTi_GB2312"/>
    </w:rPr>
  </w:style>
  <w:style w:type="character" w:customStyle="1" w:styleId="145">
    <w:name w:val="表文字 Char1"/>
    <w:link w:val="146"/>
    <w:qFormat/>
    <w:uiPriority w:val="0"/>
    <w:rPr>
      <w:rFonts w:ascii="Times New Roman" w:hAnsi="Times New Roman" w:eastAsia="宋体" w:cs="Times New Roman"/>
      <w:sz w:val="24"/>
      <w:lang w:val="en-US" w:eastAsia="zh-CN" w:bidi="ar-SA"/>
    </w:rPr>
  </w:style>
  <w:style w:type="paragraph" w:customStyle="1" w:styleId="146">
    <w:name w:val="表文字"/>
    <w:basedOn w:val="1"/>
    <w:link w:val="145"/>
    <w:qFormat/>
    <w:uiPriority w:val="0"/>
    <w:pPr>
      <w:overflowPunct w:val="0"/>
      <w:autoSpaceDE w:val="0"/>
      <w:autoSpaceDN w:val="0"/>
      <w:adjustRightInd w:val="0"/>
      <w:spacing w:line="240" w:lineRule="atLeast"/>
      <w:ind w:firstLine="0" w:firstLineChars="0"/>
      <w:jc w:val="center"/>
      <w:textAlignment w:val="baseline"/>
    </w:pPr>
    <w:rPr>
      <w:sz w:val="24"/>
    </w:rPr>
  </w:style>
  <w:style w:type="character" w:customStyle="1" w:styleId="147">
    <w:name w:val="Char Char15"/>
    <w:qFormat/>
    <w:uiPriority w:val="0"/>
    <w:rPr>
      <w:rFonts w:ascii="Times New Roman" w:hAnsi="Times New Roman" w:eastAsia="宋体" w:cs="Times New Roman"/>
      <w:kern w:val="2"/>
      <w:sz w:val="18"/>
      <w:szCs w:val="18"/>
    </w:rPr>
  </w:style>
  <w:style w:type="character" w:customStyle="1" w:styleId="148">
    <w:name w:val="正文文本缩进 3 Char"/>
    <w:link w:val="37"/>
    <w:qFormat/>
    <w:uiPriority w:val="0"/>
    <w:rPr>
      <w:rFonts w:ascii="Times New Roman" w:hAnsi="Times New Roman" w:eastAsia="宋体" w:cs="Times New Roman"/>
      <w:kern w:val="2"/>
      <w:sz w:val="16"/>
      <w:szCs w:val="16"/>
      <w:lang w:bidi="ar-SA"/>
    </w:rPr>
  </w:style>
  <w:style w:type="character" w:customStyle="1" w:styleId="149">
    <w:name w:val="正文四号 Char"/>
    <w:link w:val="150"/>
    <w:qFormat/>
    <w:uiPriority w:val="0"/>
    <w:rPr>
      <w:rFonts w:ascii="Times New Roman" w:hAnsi="Times New Roman" w:eastAsia="宋体" w:cs="Times New Roman"/>
      <w:sz w:val="28"/>
      <w:lang w:bidi="ar-SA"/>
    </w:rPr>
  </w:style>
  <w:style w:type="paragraph" w:customStyle="1" w:styleId="150">
    <w:name w:val="正文四号"/>
    <w:basedOn w:val="1"/>
    <w:link w:val="149"/>
    <w:qFormat/>
    <w:uiPriority w:val="0"/>
    <w:pPr>
      <w:jc w:val="both"/>
      <w:textAlignment w:val="auto"/>
    </w:pPr>
  </w:style>
  <w:style w:type="character" w:customStyle="1" w:styleId="151">
    <w:name w:val="正文内容 Char Char"/>
    <w:link w:val="152"/>
    <w:qFormat/>
    <w:uiPriority w:val="0"/>
    <w:rPr>
      <w:kern w:val="2"/>
      <w:sz w:val="24"/>
      <w:szCs w:val="24"/>
      <w:lang w:val="en-US" w:eastAsia="zh-CN" w:bidi="ar-SA"/>
    </w:rPr>
  </w:style>
  <w:style w:type="paragraph" w:customStyle="1" w:styleId="152">
    <w:name w:val="正文内容"/>
    <w:link w:val="151"/>
    <w:qFormat/>
    <w:uiPriority w:val="0"/>
    <w:pPr>
      <w:widowControl w:val="0"/>
      <w:snapToGrid w:val="0"/>
      <w:spacing w:before="60" w:after="60" w:line="440" w:lineRule="exact"/>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53">
    <w:name w:val="~~表*标题 Char Char"/>
    <w:link w:val="154"/>
    <w:qFormat/>
    <w:uiPriority w:val="0"/>
    <w:rPr>
      <w:rFonts w:ascii="Times New Roman" w:hAnsi="Times New Roman" w:eastAsia="黑体" w:cs="Times New Roman"/>
      <w:kern w:val="2"/>
      <w:sz w:val="24"/>
      <w:szCs w:val="24"/>
      <w:lang w:bidi="ar-SA"/>
    </w:rPr>
  </w:style>
  <w:style w:type="paragraph" w:customStyle="1" w:styleId="154">
    <w:name w:val="~~表*标题"/>
    <w:basedOn w:val="1"/>
    <w:link w:val="153"/>
    <w:qFormat/>
    <w:uiPriority w:val="0"/>
    <w:pPr>
      <w:spacing w:line="520" w:lineRule="exact"/>
      <w:ind w:firstLine="480"/>
      <w:jc w:val="both"/>
      <w:textAlignment w:val="auto"/>
    </w:pPr>
    <w:rPr>
      <w:rFonts w:eastAsia="黑体"/>
      <w:kern w:val="2"/>
      <w:sz w:val="24"/>
      <w:szCs w:val="24"/>
    </w:rPr>
  </w:style>
  <w:style w:type="character" w:customStyle="1" w:styleId="155">
    <w:name w:val="正文缩进 Char"/>
    <w:link w:val="2"/>
    <w:qFormat/>
    <w:uiPriority w:val="0"/>
    <w:rPr>
      <w:rFonts w:ascii="Times New Roman" w:hAnsi="Times New Roman" w:eastAsia="宋体" w:cs="Times New Roman"/>
      <w:kern w:val="2"/>
      <w:sz w:val="28"/>
      <w:lang w:bidi="ar-SA"/>
    </w:rPr>
  </w:style>
  <w:style w:type="character" w:customStyle="1" w:styleId="156">
    <w:name w:val="纯文本 Char"/>
    <w:link w:val="26"/>
    <w:qFormat/>
    <w:uiPriority w:val="0"/>
    <w:rPr>
      <w:rFonts w:ascii="宋体" w:hAnsi="Courier New" w:eastAsia="宋体" w:cs="Times New Roman"/>
      <w:kern w:val="2"/>
      <w:sz w:val="21"/>
      <w:szCs w:val="21"/>
      <w:lang w:bidi="ar-SA"/>
    </w:rPr>
  </w:style>
  <w:style w:type="character" w:customStyle="1" w:styleId="157">
    <w:name w:val="font71"/>
    <w:qFormat/>
    <w:uiPriority w:val="0"/>
    <w:rPr>
      <w:rFonts w:hint="eastAsia" w:ascii="宋体" w:hAnsi="宋体" w:eastAsia="宋体" w:cs="宋体"/>
      <w:color w:val="000000"/>
      <w:sz w:val="18"/>
      <w:szCs w:val="18"/>
      <w:u w:val="none"/>
    </w:rPr>
  </w:style>
  <w:style w:type="character" w:customStyle="1" w:styleId="158">
    <w:name w:val="apple-style-span"/>
    <w:qFormat/>
    <w:uiPriority w:val="0"/>
    <w:rPr>
      <w:rFonts w:ascii="Times New Roman" w:hAnsi="Times New Roman" w:eastAsia="宋体" w:cs="Times New Roman"/>
    </w:rPr>
  </w:style>
  <w:style w:type="character" w:customStyle="1" w:styleId="159">
    <w:name w:val="批注文字 Char1"/>
    <w:qFormat/>
    <w:uiPriority w:val="0"/>
    <w:rPr>
      <w:rFonts w:ascii="Times New Roman" w:hAnsi="Times New Roman" w:eastAsia="宋体" w:cs="Times New Roman"/>
      <w:kern w:val="2"/>
      <w:sz w:val="21"/>
      <w:szCs w:val="24"/>
      <w:lang w:bidi="ar-SA"/>
    </w:rPr>
  </w:style>
  <w:style w:type="character" w:customStyle="1" w:styleId="160">
    <w:name w:val="环评报告正文 Char"/>
    <w:link w:val="161"/>
    <w:qFormat/>
    <w:uiPriority w:val="0"/>
    <w:rPr>
      <w:rFonts w:ascii="宋体" w:hAnsi="宋体"/>
      <w:bCs/>
      <w:kern w:val="2"/>
      <w:sz w:val="24"/>
    </w:rPr>
  </w:style>
  <w:style w:type="paragraph" w:customStyle="1" w:styleId="161">
    <w:name w:val="环评报告正文"/>
    <w:basedOn w:val="1"/>
    <w:link w:val="160"/>
    <w:qFormat/>
    <w:uiPriority w:val="0"/>
    <w:pPr>
      <w:ind w:firstLine="480"/>
      <w:jc w:val="both"/>
      <w:textAlignment w:val="auto"/>
    </w:pPr>
    <w:rPr>
      <w:rFonts w:ascii="宋体" w:hAnsi="宋体"/>
      <w:bCs/>
      <w:kern w:val="2"/>
      <w:sz w:val="24"/>
    </w:rPr>
  </w:style>
  <w:style w:type="character" w:customStyle="1" w:styleId="162">
    <w:name w:val="威顿报告正文 Char"/>
    <w:link w:val="163"/>
    <w:qFormat/>
    <w:uiPriority w:val="0"/>
    <w:rPr>
      <w:rFonts w:ascii="Times New Roman" w:hAnsi="Times New Roman" w:eastAsia="宋体" w:cs="Times New Roman"/>
      <w:color w:val="000000"/>
      <w:sz w:val="24"/>
      <w:szCs w:val="24"/>
      <w:lang w:val="en-US" w:eastAsia="zh-CN" w:bidi="ar-SA"/>
    </w:rPr>
  </w:style>
  <w:style w:type="paragraph" w:customStyle="1" w:styleId="163">
    <w:name w:val="威顿报告正文"/>
    <w:basedOn w:val="1"/>
    <w:link w:val="162"/>
    <w:qFormat/>
    <w:uiPriority w:val="0"/>
    <w:pPr>
      <w:adjustRightInd w:val="0"/>
      <w:snapToGrid w:val="0"/>
      <w:spacing w:beforeLines="25" w:line="440" w:lineRule="exact"/>
      <w:jc w:val="both"/>
      <w:textAlignment w:val="auto"/>
    </w:pPr>
    <w:rPr>
      <w:color w:val="000000"/>
      <w:sz w:val="24"/>
      <w:szCs w:val="24"/>
    </w:rPr>
  </w:style>
  <w:style w:type="character" w:customStyle="1" w:styleId="164">
    <w:name w:val="文档结构图 Char"/>
    <w:link w:val="14"/>
    <w:qFormat/>
    <w:uiPriority w:val="0"/>
    <w:rPr>
      <w:rFonts w:ascii="宋体" w:hAnsi="Times New Roman" w:eastAsia="宋体" w:cs="Times New Roman"/>
      <w:kern w:val="2"/>
      <w:sz w:val="18"/>
      <w:szCs w:val="18"/>
      <w:lang w:bidi="ar-SA"/>
    </w:rPr>
  </w:style>
  <w:style w:type="character" w:customStyle="1" w:styleId="165">
    <w:name w:val="正文缩进 Char Char Char"/>
    <w:qFormat/>
    <w:uiPriority w:val="0"/>
    <w:rPr>
      <w:rFonts w:ascii="Times New Roman" w:hAnsi="Times New Roman" w:eastAsia="宋体" w:cs="Times New Roman"/>
      <w:kern w:val="2"/>
      <w:sz w:val="28"/>
    </w:rPr>
  </w:style>
  <w:style w:type="character" w:customStyle="1" w:styleId="166">
    <w:name w:val="样式标题5 Char"/>
    <w:link w:val="167"/>
    <w:qFormat/>
    <w:uiPriority w:val="0"/>
    <w:rPr>
      <w:rFonts w:ascii="Times New Roman" w:hAnsi="Times New Roman" w:eastAsia="宋体" w:cs="Times New Roman"/>
      <w:kern w:val="2"/>
      <w:sz w:val="24"/>
      <w:szCs w:val="24"/>
      <w:lang w:bidi="ar-SA"/>
    </w:rPr>
  </w:style>
  <w:style w:type="paragraph" w:customStyle="1" w:styleId="167">
    <w:name w:val="样式标题5"/>
    <w:basedOn w:val="1"/>
    <w:next w:val="141"/>
    <w:link w:val="166"/>
    <w:qFormat/>
    <w:uiPriority w:val="0"/>
    <w:pPr>
      <w:ind w:firstLine="400" w:firstLineChars="0"/>
      <w:jc w:val="both"/>
      <w:textAlignment w:val="auto"/>
    </w:pPr>
    <w:rPr>
      <w:kern w:val="2"/>
      <w:sz w:val="24"/>
      <w:szCs w:val="24"/>
    </w:rPr>
  </w:style>
  <w:style w:type="character" w:customStyle="1" w:styleId="168">
    <w:name w:val="提头 Char"/>
    <w:link w:val="169"/>
    <w:qFormat/>
    <w:uiPriority w:val="0"/>
    <w:rPr>
      <w:rFonts w:ascii="Times New Roman" w:hAnsi="宋体" w:eastAsia="宋体" w:cs="Times New Roman"/>
      <w:b/>
      <w:kern w:val="2"/>
      <w:sz w:val="21"/>
      <w:szCs w:val="21"/>
      <w:lang w:bidi="ar-SA"/>
    </w:rPr>
  </w:style>
  <w:style w:type="paragraph" w:customStyle="1" w:styleId="169">
    <w:name w:val="提头"/>
    <w:basedOn w:val="1"/>
    <w:next w:val="1"/>
    <w:link w:val="168"/>
    <w:qFormat/>
    <w:uiPriority w:val="0"/>
    <w:pPr>
      <w:tabs>
        <w:tab w:val="left" w:pos="227"/>
      </w:tabs>
      <w:spacing w:before="48" w:line="520" w:lineRule="exact"/>
      <w:jc w:val="center"/>
      <w:textAlignment w:val="auto"/>
    </w:pPr>
    <w:rPr>
      <w:rFonts w:hAnsi="宋体"/>
      <w:b/>
      <w:kern w:val="2"/>
      <w:sz w:val="21"/>
      <w:szCs w:val="21"/>
    </w:rPr>
  </w:style>
  <w:style w:type="character" w:customStyle="1" w:styleId="170">
    <w:name w:val="批注文字 Char"/>
    <w:qFormat/>
    <w:uiPriority w:val="0"/>
    <w:rPr>
      <w:rFonts w:eastAsia="宋体"/>
      <w:kern w:val="2"/>
      <w:sz w:val="21"/>
      <w:szCs w:val="24"/>
      <w:lang w:bidi="ar-SA"/>
    </w:rPr>
  </w:style>
  <w:style w:type="character" w:customStyle="1" w:styleId="171">
    <w:name w:val="表头 Char"/>
    <w:qFormat/>
    <w:uiPriority w:val="0"/>
    <w:rPr>
      <w:rFonts w:ascii="Times New Roman" w:hAnsi="Times New Roman" w:eastAsia="宋体" w:cs="Times New Roman"/>
      <w:b/>
      <w:color w:val="000000"/>
      <w:kern w:val="32"/>
      <w:sz w:val="24"/>
      <w:lang w:val="en-US" w:eastAsia="zh-CN" w:bidi="ar-SA"/>
    </w:rPr>
  </w:style>
  <w:style w:type="character" w:customStyle="1" w:styleId="172">
    <w:name w:val="列表 2 Char"/>
    <w:link w:val="21"/>
    <w:qFormat/>
    <w:uiPriority w:val="0"/>
    <w:rPr>
      <w:rFonts w:eastAsia="Times New Roman"/>
      <w:lang w:val="en-US" w:eastAsia="zh-CN" w:bidi="ar-SA"/>
    </w:rPr>
  </w:style>
  <w:style w:type="character" w:customStyle="1" w:styleId="173">
    <w:name w:val="表格文字 Char"/>
    <w:link w:val="174"/>
    <w:qFormat/>
    <w:uiPriority w:val="0"/>
    <w:rPr>
      <w:rFonts w:eastAsia="KaiTi_GB2312"/>
      <w:bCs/>
      <w:sz w:val="24"/>
      <w:lang w:val="en-US" w:eastAsia="zh-CN" w:bidi="ar-SA"/>
    </w:rPr>
  </w:style>
  <w:style w:type="paragraph" w:customStyle="1" w:styleId="174">
    <w:name w:val="表格文字"/>
    <w:next w:val="19"/>
    <w:link w:val="173"/>
    <w:qFormat/>
    <w:uiPriority w:val="0"/>
    <w:pPr>
      <w:jc w:val="center"/>
    </w:pPr>
    <w:rPr>
      <w:rFonts w:ascii="Times New Roman" w:hAnsi="Times New Roman" w:eastAsia="KaiTi_GB2312" w:cs="Times New Roman"/>
      <w:bCs/>
      <w:sz w:val="24"/>
      <w:lang w:val="en-US" w:eastAsia="zh-CN" w:bidi="ar-SA"/>
    </w:rPr>
  </w:style>
  <w:style w:type="character" w:customStyle="1" w:styleId="175">
    <w:name w:val="正文首行缩进 2 Char"/>
    <w:link w:val="47"/>
    <w:qFormat/>
    <w:uiPriority w:val="0"/>
    <w:rPr>
      <w:rFonts w:ascii="Times New Roman" w:hAnsi="Times New Roman" w:eastAsia="宋体" w:cs="Times New Roman"/>
      <w:kern w:val="2"/>
      <w:sz w:val="21"/>
      <w:szCs w:val="24"/>
      <w:lang w:val="en-US" w:eastAsia="zh-CN" w:bidi="ar-SA"/>
    </w:rPr>
  </w:style>
  <w:style w:type="character" w:customStyle="1" w:styleId="176">
    <w:name w:val="内容 Char"/>
    <w:link w:val="177"/>
    <w:qFormat/>
    <w:uiPriority w:val="0"/>
    <w:rPr>
      <w:rFonts w:ascii="Times New Roman" w:hAnsi="Times New Roman" w:eastAsia="宋体" w:cs="宋体"/>
      <w:kern w:val="2"/>
      <w:sz w:val="24"/>
      <w:lang w:val="en-US" w:eastAsia="zh-CN" w:bidi="ar-SA"/>
    </w:rPr>
  </w:style>
  <w:style w:type="paragraph" w:customStyle="1" w:styleId="177">
    <w:name w:val="内容"/>
    <w:basedOn w:val="1"/>
    <w:link w:val="176"/>
    <w:qFormat/>
    <w:uiPriority w:val="0"/>
    <w:pPr>
      <w:ind w:firstLine="480"/>
      <w:jc w:val="both"/>
      <w:textAlignment w:val="auto"/>
    </w:pPr>
    <w:rPr>
      <w:rFonts w:cs="宋体"/>
      <w:kern w:val="2"/>
      <w:sz w:val="24"/>
    </w:rPr>
  </w:style>
  <w:style w:type="character" w:customStyle="1" w:styleId="178">
    <w:name w:val="正文新 Char"/>
    <w:link w:val="179"/>
    <w:qFormat/>
    <w:uiPriority w:val="0"/>
    <w:rPr>
      <w:rFonts w:ascii="宋体" w:hAnsi="宋体"/>
      <w:kern w:val="2"/>
      <w:sz w:val="24"/>
      <w:szCs w:val="24"/>
    </w:rPr>
  </w:style>
  <w:style w:type="paragraph" w:customStyle="1" w:styleId="179">
    <w:name w:val="正文新"/>
    <w:basedOn w:val="1"/>
    <w:link w:val="178"/>
    <w:qFormat/>
    <w:uiPriority w:val="0"/>
    <w:pPr>
      <w:adjustRightInd w:val="0"/>
      <w:snapToGrid w:val="0"/>
      <w:spacing w:line="500" w:lineRule="exact"/>
      <w:ind w:firstLine="480"/>
      <w:jc w:val="both"/>
      <w:textAlignment w:val="auto"/>
    </w:pPr>
    <w:rPr>
      <w:rFonts w:ascii="宋体" w:hAnsi="宋体"/>
      <w:kern w:val="2"/>
      <w:sz w:val="24"/>
      <w:szCs w:val="24"/>
    </w:rPr>
  </w:style>
  <w:style w:type="character" w:customStyle="1" w:styleId="180">
    <w:name w:val="正文（首行缩进两字） Char1"/>
    <w:qFormat/>
    <w:uiPriority w:val="0"/>
    <w:rPr>
      <w:rFonts w:ascii="Times New Roman" w:hAnsi="Times New Roman" w:eastAsia="宋体" w:cs="Times New Roman"/>
      <w:sz w:val="28"/>
      <w:szCs w:val="20"/>
    </w:rPr>
  </w:style>
  <w:style w:type="character" w:customStyle="1" w:styleId="181">
    <w:name w:val="日期 Char"/>
    <w:link w:val="28"/>
    <w:qFormat/>
    <w:uiPriority w:val="0"/>
    <w:rPr>
      <w:rFonts w:ascii="Times New Roman" w:hAnsi="Times New Roman" w:eastAsia="宋体" w:cs="Times New Roman"/>
      <w:kern w:val="2"/>
      <w:sz w:val="28"/>
      <w:lang w:bidi="ar-SA"/>
    </w:rPr>
  </w:style>
  <w:style w:type="character" w:customStyle="1" w:styleId="182">
    <w:name w:val="font31"/>
    <w:qFormat/>
    <w:uiPriority w:val="0"/>
    <w:rPr>
      <w:rFonts w:hint="default" w:ascii="Times New Roman" w:hAnsi="Times New Roman" w:eastAsia="宋体" w:cs="Times New Roman"/>
      <w:color w:val="000000"/>
      <w:sz w:val="20"/>
      <w:szCs w:val="20"/>
      <w:u w:val="none"/>
    </w:rPr>
  </w:style>
  <w:style w:type="character" w:customStyle="1" w:styleId="183">
    <w:name w:val="正文文本 2 Char"/>
    <w:link w:val="40"/>
    <w:qFormat/>
    <w:uiPriority w:val="0"/>
    <w:rPr>
      <w:rFonts w:ascii="Times New Roman" w:hAnsi="Times New Roman" w:eastAsia="宋体" w:cs="Times New Roman"/>
      <w:kern w:val="2"/>
      <w:sz w:val="28"/>
      <w:lang w:bidi="ar-SA"/>
    </w:rPr>
  </w:style>
  <w:style w:type="character" w:customStyle="1" w:styleId="184">
    <w:name w:val="正文首行缩进 Char"/>
    <w:link w:val="46"/>
    <w:qFormat/>
    <w:uiPriority w:val="0"/>
    <w:rPr>
      <w:rFonts w:ascii="Times New Roman" w:hAnsi="Times New Roman" w:eastAsia="宋体" w:cs="Times New Roman"/>
      <w:sz w:val="28"/>
      <w:lang w:val="en-US" w:eastAsia="zh-CN" w:bidi="ar-SA"/>
    </w:rPr>
  </w:style>
  <w:style w:type="character" w:customStyle="1" w:styleId="185">
    <w:name w:val="纯文本 Char Char Char"/>
    <w:qFormat/>
    <w:uiPriority w:val="0"/>
    <w:rPr>
      <w:rFonts w:ascii="宋体" w:hAnsi="Courier New" w:eastAsia="宋体" w:cs="Courier New"/>
      <w:kern w:val="2"/>
      <w:sz w:val="21"/>
      <w:szCs w:val="21"/>
      <w:lang w:val="en-US" w:eastAsia="zh-CN" w:bidi="ar-SA"/>
    </w:rPr>
  </w:style>
  <w:style w:type="character" w:customStyle="1" w:styleId="186">
    <w:name w:val="font41"/>
    <w:qFormat/>
    <w:uiPriority w:val="0"/>
    <w:rPr>
      <w:rFonts w:hint="eastAsia" w:ascii="宋体" w:hAnsi="宋体" w:eastAsia="宋体" w:cs="宋体"/>
      <w:b/>
      <w:color w:val="000000"/>
      <w:sz w:val="18"/>
      <w:szCs w:val="18"/>
      <w:u w:val="none"/>
    </w:rPr>
  </w:style>
  <w:style w:type="character" w:customStyle="1" w:styleId="187">
    <w:name w:val="标题 2 Char1"/>
    <w:link w:val="5"/>
    <w:qFormat/>
    <w:uiPriority w:val="0"/>
    <w:rPr>
      <w:rFonts w:ascii="Arial" w:hAnsi="Arial" w:eastAsia="黑体" w:cs="Times New Roman"/>
      <w:b/>
      <w:bCs/>
      <w:kern w:val="2"/>
      <w:sz w:val="32"/>
      <w:szCs w:val="32"/>
      <w:lang w:val="en-US" w:eastAsia="zh-CN" w:bidi="ar-SA"/>
    </w:rPr>
  </w:style>
  <w:style w:type="paragraph" w:customStyle="1" w:styleId="188">
    <w:name w:val="样式 (符号) 宋体 二号 加粗 居中 段前: 15.6 磅 段后: 5 磅 行距: 固定值 40 磅"/>
    <w:basedOn w:val="44"/>
    <w:qFormat/>
    <w:uiPriority w:val="0"/>
    <w:pPr>
      <w:spacing w:before="312" w:after="100" w:line="800" w:lineRule="exact"/>
    </w:pPr>
    <w:rPr>
      <w:rFonts w:ascii="Times New Roman" w:hAnsi="宋体" w:cs="宋体"/>
      <w:b w:val="0"/>
      <w:bCs w:val="0"/>
      <w:sz w:val="44"/>
    </w:rPr>
  </w:style>
  <w:style w:type="paragraph" w:customStyle="1" w:styleId="189">
    <w:name w:val="TOC 标题1"/>
    <w:basedOn w:val="4"/>
    <w:next w:val="1"/>
    <w:qFormat/>
    <w:uiPriority w:val="0"/>
    <w:pPr>
      <w:widowControl/>
      <w:spacing w:before="100" w:beforeAutospacing="1" w:after="100" w:afterAutospacing="1" w:line="276" w:lineRule="auto"/>
      <w:outlineLvl w:val="9"/>
    </w:pPr>
    <w:rPr>
      <w:rFonts w:ascii="Cambria" w:hAnsi="Cambria"/>
      <w:color w:val="365F91"/>
      <w:kern w:val="0"/>
      <w:sz w:val="28"/>
      <w:szCs w:val="28"/>
    </w:rPr>
  </w:style>
  <w:style w:type="paragraph" w:customStyle="1" w:styleId="190">
    <w:name w:val="Char Char1 Char Char Char Char Char Char Char"/>
    <w:basedOn w:val="1"/>
    <w:qFormat/>
    <w:uiPriority w:val="0"/>
    <w:pPr>
      <w:spacing w:line="520" w:lineRule="exact"/>
      <w:jc w:val="both"/>
      <w:textAlignment w:val="auto"/>
    </w:pPr>
    <w:rPr>
      <w:kern w:val="2"/>
      <w:sz w:val="24"/>
      <w:szCs w:val="24"/>
    </w:rPr>
  </w:style>
  <w:style w:type="paragraph" w:customStyle="1" w:styleId="191">
    <w:name w:val="Char1"/>
    <w:basedOn w:val="1"/>
    <w:qFormat/>
    <w:uiPriority w:val="0"/>
    <w:pPr>
      <w:spacing w:beforeLines="100" w:afterLines="50" w:line="600" w:lineRule="exact"/>
      <w:jc w:val="both"/>
      <w:textAlignment w:val="auto"/>
    </w:pPr>
    <w:rPr>
      <w:kern w:val="2"/>
      <w:sz w:val="21"/>
    </w:rPr>
  </w:style>
  <w:style w:type="paragraph" w:customStyle="1" w:styleId="192">
    <w:name w:val="Char3"/>
    <w:basedOn w:val="1"/>
    <w:qFormat/>
    <w:uiPriority w:val="0"/>
    <w:pPr>
      <w:spacing w:line="240" w:lineRule="auto"/>
      <w:ind w:firstLine="0" w:firstLineChars="0"/>
      <w:jc w:val="both"/>
      <w:textAlignment w:val="auto"/>
    </w:pPr>
    <w:rPr>
      <w:kern w:val="2"/>
      <w:sz w:val="21"/>
    </w:rPr>
  </w:style>
  <w:style w:type="paragraph" w:customStyle="1" w:styleId="193">
    <w:name w:val="Char1 Char Char Char1 Char Char Char"/>
    <w:basedOn w:val="1"/>
    <w:qFormat/>
    <w:uiPriority w:val="0"/>
    <w:pPr>
      <w:jc w:val="both"/>
      <w:textAlignment w:val="auto"/>
    </w:pPr>
    <w:rPr>
      <w:rFonts w:ascii="宋体" w:hAnsi="宋体" w:cs="宋体"/>
      <w:kern w:val="2"/>
      <w:sz w:val="24"/>
      <w:szCs w:val="24"/>
    </w:rPr>
  </w:style>
  <w:style w:type="paragraph" w:customStyle="1" w:styleId="194">
    <w:name w:val="样式 标题 2 + 黑体 四号 非加粗"/>
    <w:basedOn w:val="5"/>
    <w:qFormat/>
    <w:uiPriority w:val="0"/>
    <w:pPr>
      <w:widowControl/>
      <w:spacing w:before="156" w:after="156"/>
      <w:ind w:left="100" w:leftChars="100" w:right="100" w:rightChars="100"/>
      <w:jc w:val="left"/>
    </w:pPr>
    <w:rPr>
      <w:rFonts w:ascii="黑体" w:hAnsi="黑体" w:eastAsia="宋体"/>
      <w:b w:val="0"/>
      <w:bCs w:val="0"/>
      <w:color w:val="000000"/>
      <w:sz w:val="28"/>
    </w:rPr>
  </w:style>
  <w:style w:type="paragraph" w:customStyle="1" w:styleId="195">
    <w:name w:val="段落"/>
    <w:basedOn w:val="1"/>
    <w:qFormat/>
    <w:uiPriority w:val="0"/>
    <w:pPr>
      <w:widowControl/>
      <w:spacing w:line="420" w:lineRule="exact"/>
      <w:ind w:firstLine="480"/>
      <w:textAlignment w:val="auto"/>
    </w:pPr>
    <w:rPr>
      <w:rFonts w:cs="宋体"/>
      <w:kern w:val="2"/>
      <w:sz w:val="24"/>
      <w:szCs w:val="21"/>
    </w:rPr>
  </w:style>
  <w:style w:type="paragraph" w:customStyle="1" w:styleId="196">
    <w:name w:val="Char Char1 Char Char Char Char Char Char Char Char Char Char Char Char Char Char Char Char Char Char Char Char1 Char"/>
    <w:basedOn w:val="1"/>
    <w:qFormat/>
    <w:uiPriority w:val="0"/>
    <w:pPr>
      <w:jc w:val="both"/>
      <w:textAlignment w:val="auto"/>
    </w:pPr>
    <w:rPr>
      <w:rFonts w:ascii="宋体" w:hAnsi="宋体" w:cs="宋体"/>
      <w:kern w:val="2"/>
      <w:sz w:val="24"/>
      <w:szCs w:val="24"/>
    </w:rPr>
  </w:style>
  <w:style w:type="paragraph" w:customStyle="1" w:styleId="197">
    <w:name w:val="Char Char Char1 Char Char Char Char Char Char Char Char Char Char Char Char Char Char Char Char Char Char Char"/>
    <w:basedOn w:val="1"/>
    <w:qFormat/>
    <w:uiPriority w:val="0"/>
    <w:pPr>
      <w:jc w:val="both"/>
      <w:textAlignment w:val="auto"/>
    </w:pPr>
    <w:rPr>
      <w:rFonts w:ascii="宋体" w:hAnsi="宋体" w:cs="宋体"/>
      <w:kern w:val="2"/>
      <w:sz w:val="24"/>
      <w:szCs w:val="24"/>
    </w:rPr>
  </w:style>
  <w:style w:type="paragraph" w:customStyle="1" w:styleId="198">
    <w:name w:val="简单回函地址"/>
    <w:basedOn w:val="1"/>
    <w:qFormat/>
    <w:uiPriority w:val="0"/>
    <w:pPr>
      <w:spacing w:line="500" w:lineRule="exact"/>
      <w:ind w:firstLine="0" w:firstLineChars="0"/>
      <w:jc w:val="both"/>
      <w:textAlignment w:val="auto"/>
    </w:pPr>
    <w:rPr>
      <w:kern w:val="2"/>
      <w:sz w:val="21"/>
    </w:rPr>
  </w:style>
  <w:style w:type="paragraph" w:customStyle="1" w:styleId="199">
    <w:name w:val="目录 31"/>
    <w:basedOn w:val="1"/>
    <w:next w:val="1"/>
    <w:qFormat/>
    <w:uiPriority w:val="39"/>
    <w:pPr>
      <w:spacing w:line="240" w:lineRule="auto"/>
      <w:ind w:left="840" w:leftChars="400" w:firstLine="0" w:firstLineChars="0"/>
      <w:jc w:val="both"/>
      <w:textAlignment w:val="auto"/>
    </w:pPr>
    <w:rPr>
      <w:rFonts w:ascii="Calibri" w:hAnsi="Calibri"/>
      <w:kern w:val="2"/>
      <w:sz w:val="24"/>
      <w:szCs w:val="22"/>
    </w:rPr>
  </w:style>
  <w:style w:type="paragraph" w:customStyle="1" w:styleId="200">
    <w:name w:val="Char Char Char Char Char Char Char Char Char Char Char Char Char Char Char Char Char Char Char Char Char Char Char Char"/>
    <w:basedOn w:val="1"/>
    <w:qFormat/>
    <w:uiPriority w:val="0"/>
    <w:pPr>
      <w:spacing w:line="240" w:lineRule="auto"/>
      <w:ind w:firstLine="0" w:firstLineChars="0"/>
      <w:jc w:val="both"/>
      <w:textAlignment w:val="auto"/>
    </w:pPr>
    <w:rPr>
      <w:kern w:val="2"/>
      <w:sz w:val="21"/>
      <w:szCs w:val="24"/>
    </w:rPr>
  </w:style>
  <w:style w:type="paragraph" w:customStyle="1" w:styleId="201">
    <w:name w:val="表格式"/>
    <w:basedOn w:val="35"/>
    <w:qFormat/>
    <w:uiPriority w:val="0"/>
    <w:pPr>
      <w:spacing w:line="400" w:lineRule="exact"/>
      <w:ind w:left="0" w:firstLine="0" w:firstLineChars="0"/>
      <w:jc w:val="center"/>
      <w:textAlignment w:val="auto"/>
    </w:pPr>
    <w:rPr>
      <w:rFonts w:ascii="宋体"/>
      <w:kern w:val="2"/>
      <w:sz w:val="21"/>
    </w:rPr>
  </w:style>
  <w:style w:type="paragraph" w:customStyle="1" w:styleId="202">
    <w:name w:val="样式4(正文)"/>
    <w:qFormat/>
    <w:uiPriority w:val="0"/>
    <w:pPr>
      <w:spacing w:beforeLines="25" w:line="440" w:lineRule="exact"/>
      <w:ind w:firstLine="200" w:firstLineChars="200"/>
    </w:pPr>
    <w:rPr>
      <w:rFonts w:ascii="Times New Roman" w:hAnsi="Times New Roman" w:eastAsia="宋体" w:cs="Times New Roman"/>
      <w:sz w:val="24"/>
      <w:lang w:val="en-US" w:eastAsia="zh-CN" w:bidi="ar-SA"/>
    </w:rPr>
  </w:style>
  <w:style w:type="paragraph" w:customStyle="1" w:styleId="203">
    <w:name w:val="Char Char Char Char Char Char Char"/>
    <w:basedOn w:val="1"/>
    <w:qFormat/>
    <w:uiPriority w:val="0"/>
    <w:pPr>
      <w:spacing w:line="240" w:lineRule="auto"/>
      <w:ind w:firstLine="0" w:firstLineChars="0"/>
      <w:jc w:val="both"/>
      <w:textAlignment w:val="auto"/>
    </w:pPr>
    <w:rPr>
      <w:kern w:val="2"/>
      <w:sz w:val="21"/>
      <w:szCs w:val="24"/>
    </w:rPr>
  </w:style>
  <w:style w:type="paragraph" w:customStyle="1" w:styleId="204">
    <w:name w:val="6表内文字 居中"/>
    <w:basedOn w:val="1"/>
    <w:qFormat/>
    <w:uiPriority w:val="0"/>
    <w:pPr>
      <w:adjustRightInd w:val="0"/>
      <w:spacing w:line="240" w:lineRule="atLeast"/>
      <w:ind w:firstLine="0" w:firstLineChars="0"/>
      <w:jc w:val="center"/>
      <w:textAlignment w:val="baseline"/>
    </w:pPr>
    <w:rPr>
      <w:snapToGrid w:val="0"/>
      <w:sz w:val="21"/>
    </w:rPr>
  </w:style>
  <w:style w:type="paragraph" w:customStyle="1" w:styleId="205">
    <w:name w:val="流程图"/>
    <w:basedOn w:val="1"/>
    <w:qFormat/>
    <w:uiPriority w:val="0"/>
    <w:pPr>
      <w:tabs>
        <w:tab w:val="left" w:pos="0"/>
      </w:tabs>
      <w:autoSpaceDE w:val="0"/>
      <w:autoSpaceDN w:val="0"/>
      <w:adjustRightInd w:val="0"/>
      <w:spacing w:line="240" w:lineRule="atLeast"/>
      <w:ind w:firstLine="0" w:firstLineChars="0"/>
      <w:jc w:val="center"/>
    </w:pPr>
    <w:rPr>
      <w:rFonts w:ascii="宋体"/>
      <w:kern w:val="2"/>
      <w:sz w:val="21"/>
    </w:rPr>
  </w:style>
  <w:style w:type="paragraph" w:customStyle="1" w:styleId="206">
    <w:name w:val="dandan6-13正文 Char Char Char"/>
    <w:basedOn w:val="1"/>
    <w:next w:val="1"/>
    <w:qFormat/>
    <w:uiPriority w:val="0"/>
    <w:pPr>
      <w:keepNext/>
      <w:keepLines/>
      <w:widowControl/>
      <w:adjustRightInd w:val="0"/>
      <w:spacing w:before="40" w:after="40"/>
      <w:jc w:val="both"/>
      <w:textAlignment w:val="baseline"/>
    </w:pPr>
    <w:rPr>
      <w:rFonts w:cs="宋体"/>
      <w:sz w:val="24"/>
      <w:szCs w:val="28"/>
    </w:rPr>
  </w:style>
  <w:style w:type="paragraph" w:customStyle="1" w:styleId="207">
    <w:name w:val="p0"/>
    <w:basedOn w:val="1"/>
    <w:qFormat/>
    <w:uiPriority w:val="0"/>
    <w:pPr>
      <w:widowControl/>
      <w:snapToGrid w:val="0"/>
      <w:spacing w:line="312" w:lineRule="atLeast"/>
      <w:ind w:firstLine="0" w:firstLineChars="0"/>
      <w:jc w:val="both"/>
      <w:textAlignment w:val="auto"/>
    </w:pPr>
    <w:rPr>
      <w:sz w:val="24"/>
      <w:szCs w:val="21"/>
    </w:rPr>
  </w:style>
  <w:style w:type="paragraph" w:customStyle="1" w:styleId="208">
    <w:name w:val="样式 首行缩进:  2 字符"/>
    <w:basedOn w:val="1"/>
    <w:qFormat/>
    <w:uiPriority w:val="0"/>
    <w:pPr>
      <w:autoSpaceDE w:val="0"/>
      <w:autoSpaceDN w:val="0"/>
      <w:adjustRightInd w:val="0"/>
      <w:snapToGrid w:val="0"/>
      <w:spacing w:line="520" w:lineRule="exact"/>
      <w:ind w:firstLine="0" w:firstLineChars="0"/>
      <w:jc w:val="both"/>
      <w:textAlignment w:val="auto"/>
    </w:pPr>
    <w:rPr>
      <w:rFonts w:ascii="宋体" w:hAnsi="宋体"/>
      <w:sz w:val="24"/>
      <w:szCs w:val="24"/>
    </w:rPr>
  </w:style>
  <w:style w:type="paragraph" w:customStyle="1" w:styleId="209">
    <w:name w:val="Char"/>
    <w:basedOn w:val="1"/>
    <w:qFormat/>
    <w:uiPriority w:val="0"/>
    <w:pPr>
      <w:spacing w:beforeLines="100" w:afterLines="50" w:line="600" w:lineRule="exact"/>
      <w:jc w:val="both"/>
      <w:textAlignment w:val="auto"/>
    </w:pPr>
    <w:rPr>
      <w:kern w:val="2"/>
      <w:sz w:val="21"/>
      <w:szCs w:val="24"/>
    </w:rPr>
  </w:style>
  <w:style w:type="paragraph" w:customStyle="1" w:styleId="210">
    <w:name w:val="默认段落字体 Para Char Char Char Char Char Char Char Char Char Char"/>
    <w:basedOn w:val="1"/>
    <w:qFormat/>
    <w:uiPriority w:val="0"/>
    <w:pPr>
      <w:adjustRightInd w:val="0"/>
      <w:ind w:firstLine="0" w:firstLineChars="0"/>
      <w:jc w:val="both"/>
      <w:textAlignment w:val="auto"/>
    </w:pPr>
    <w:rPr>
      <w:sz w:val="24"/>
    </w:rPr>
  </w:style>
  <w:style w:type="paragraph" w:customStyle="1" w:styleId="211">
    <w:name w:val="样式1"/>
    <w:basedOn w:val="32"/>
    <w:qFormat/>
    <w:uiPriority w:val="0"/>
    <w:pPr>
      <w:ind w:firstLine="0" w:firstLineChars="0"/>
      <w:textAlignment w:val="auto"/>
    </w:pPr>
    <w:rPr>
      <w:kern w:val="2"/>
    </w:rPr>
  </w:style>
  <w:style w:type="paragraph" w:customStyle="1" w:styleId="212">
    <w:name w:val="样式 居中"/>
    <w:basedOn w:val="1"/>
    <w:qFormat/>
    <w:uiPriority w:val="0"/>
    <w:pPr>
      <w:spacing w:line="240" w:lineRule="auto"/>
      <w:ind w:firstLine="0" w:firstLineChars="0"/>
      <w:jc w:val="center"/>
      <w:textAlignment w:val="auto"/>
    </w:pPr>
    <w:rPr>
      <w:rFonts w:cs="宋体"/>
      <w:kern w:val="2"/>
      <w:sz w:val="21"/>
    </w:rPr>
  </w:style>
  <w:style w:type="paragraph" w:customStyle="1" w:styleId="213">
    <w:name w:val="默认段落字体 Para Char"/>
    <w:basedOn w:val="1"/>
    <w:next w:val="1"/>
    <w:qFormat/>
    <w:uiPriority w:val="0"/>
    <w:pPr>
      <w:jc w:val="both"/>
      <w:textAlignment w:val="auto"/>
    </w:pPr>
    <w:rPr>
      <w:rFonts w:ascii="宋体" w:hAnsi="宋体" w:cs="宋体"/>
      <w:kern w:val="2"/>
      <w:sz w:val="24"/>
      <w:szCs w:val="24"/>
    </w:rPr>
  </w:style>
  <w:style w:type="paragraph" w:customStyle="1" w:styleId="214">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215">
    <w:name w:val="报告表正文"/>
    <w:basedOn w:val="1"/>
    <w:qFormat/>
    <w:uiPriority w:val="0"/>
    <w:pPr>
      <w:adjustRightInd w:val="0"/>
      <w:spacing w:line="312" w:lineRule="auto"/>
      <w:ind w:left="113" w:right="113" w:firstLine="482" w:firstLineChars="0"/>
      <w:textAlignment w:val="baseline"/>
    </w:pPr>
    <w:rPr>
      <w:sz w:val="24"/>
    </w:rPr>
  </w:style>
  <w:style w:type="paragraph" w:customStyle="1" w:styleId="216">
    <w:name w:val="样式2"/>
    <w:basedOn w:val="32"/>
    <w:qFormat/>
    <w:uiPriority w:val="0"/>
    <w:pPr>
      <w:pBdr>
        <w:bottom w:val="thinThickSmallGap" w:color="auto" w:sz="12" w:space="1"/>
      </w:pBdr>
      <w:ind w:firstLine="0" w:firstLineChars="0"/>
      <w:jc w:val="left"/>
      <w:textAlignment w:val="auto"/>
    </w:pPr>
    <w:rPr>
      <w:rFonts w:ascii="宋体" w:hAnsi="宋体"/>
      <w:kern w:val="2"/>
    </w:rPr>
  </w:style>
  <w:style w:type="paragraph" w:customStyle="1" w:styleId="217">
    <w:name w:val="二级无标题条"/>
    <w:basedOn w:val="1"/>
    <w:qFormat/>
    <w:uiPriority w:val="0"/>
    <w:pPr>
      <w:spacing w:line="500" w:lineRule="exact"/>
      <w:ind w:firstLine="0" w:firstLineChars="0"/>
      <w:jc w:val="both"/>
      <w:textAlignment w:val="auto"/>
    </w:pPr>
    <w:rPr>
      <w:kern w:val="2"/>
      <w:sz w:val="21"/>
      <w:szCs w:val="24"/>
    </w:rPr>
  </w:style>
  <w:style w:type="paragraph" w:customStyle="1" w:styleId="218">
    <w:name w:val="Char Char Char Char Char Char Char Char Char Char Char Char Char Char Char Char Char Char"/>
    <w:basedOn w:val="1"/>
    <w:semiHidden/>
    <w:qFormat/>
    <w:uiPriority w:val="0"/>
    <w:pPr>
      <w:spacing w:line="500" w:lineRule="exact"/>
      <w:ind w:firstLine="0" w:firstLineChars="0"/>
      <w:jc w:val="both"/>
      <w:textAlignment w:val="auto"/>
    </w:pPr>
    <w:rPr>
      <w:kern w:val="2"/>
      <w:sz w:val="21"/>
      <w:szCs w:val="21"/>
    </w:rPr>
  </w:style>
  <w:style w:type="paragraph" w:customStyle="1" w:styleId="219">
    <w:name w:val="Char1 Char Char Char"/>
    <w:basedOn w:val="1"/>
    <w:qFormat/>
    <w:uiPriority w:val="0"/>
    <w:pPr>
      <w:spacing w:beforeLines="100" w:afterLines="50" w:line="600" w:lineRule="exact"/>
      <w:jc w:val="both"/>
      <w:textAlignment w:val="auto"/>
    </w:pPr>
    <w:rPr>
      <w:kern w:val="2"/>
      <w:sz w:val="21"/>
      <w:szCs w:val="24"/>
    </w:rPr>
  </w:style>
  <w:style w:type="paragraph" w:customStyle="1" w:styleId="220">
    <w:name w:val="我的正文"/>
    <w:basedOn w:val="1"/>
    <w:qFormat/>
    <w:uiPriority w:val="0"/>
    <w:pPr>
      <w:spacing w:line="460" w:lineRule="atLeast"/>
      <w:ind w:firstLine="482" w:firstLineChars="0"/>
      <w:jc w:val="both"/>
      <w:textAlignment w:val="auto"/>
    </w:pPr>
    <w:rPr>
      <w:kern w:val="2"/>
      <w:sz w:val="24"/>
      <w:szCs w:val="24"/>
    </w:rPr>
  </w:style>
  <w:style w:type="paragraph" w:customStyle="1" w:styleId="221">
    <w:name w:val="Char Char Char1 Char Char Char Char Char Char Char Char Char Char Char Char2 Char Char Char Char Char"/>
    <w:basedOn w:val="1"/>
    <w:qFormat/>
    <w:uiPriority w:val="0"/>
    <w:pPr>
      <w:widowControl/>
      <w:textAlignment w:val="auto"/>
    </w:pPr>
    <w:rPr>
      <w:rFonts w:cs="宋体"/>
      <w:kern w:val="2"/>
      <w:sz w:val="24"/>
      <w:szCs w:val="21"/>
    </w:rPr>
  </w:style>
  <w:style w:type="paragraph" w:customStyle="1" w:styleId="222">
    <w:name w:val="表格1"/>
    <w:basedOn w:val="22"/>
    <w:qFormat/>
    <w:uiPriority w:val="0"/>
    <w:pPr>
      <w:adjustRightInd w:val="0"/>
      <w:snapToGrid w:val="0"/>
      <w:spacing w:after="0" w:line="360" w:lineRule="exact"/>
      <w:ind w:left="0" w:leftChars="0" w:right="0" w:rightChars="0" w:firstLine="0" w:firstLineChars="0"/>
      <w:jc w:val="center"/>
      <w:textAlignment w:val="auto"/>
    </w:pPr>
    <w:rPr>
      <w:rFonts w:eastAsia="黑体"/>
      <w:sz w:val="24"/>
      <w:szCs w:val="28"/>
    </w:rPr>
  </w:style>
  <w:style w:type="paragraph" w:customStyle="1" w:styleId="223">
    <w:name w:val="Char Char Char Char Char Char Char1"/>
    <w:basedOn w:val="1"/>
    <w:qFormat/>
    <w:uiPriority w:val="0"/>
    <w:pPr>
      <w:spacing w:line="240" w:lineRule="auto"/>
      <w:ind w:firstLine="0" w:firstLineChars="0"/>
      <w:jc w:val="both"/>
      <w:textAlignment w:val="auto"/>
    </w:pPr>
    <w:rPr>
      <w:kern w:val="2"/>
      <w:sz w:val="21"/>
      <w:szCs w:val="21"/>
    </w:rPr>
  </w:style>
  <w:style w:type="paragraph" w:customStyle="1" w:styleId="224">
    <w:name w:val="表内"/>
    <w:basedOn w:val="1"/>
    <w:qFormat/>
    <w:uiPriority w:val="0"/>
    <w:pPr>
      <w:spacing w:line="500" w:lineRule="exact"/>
      <w:ind w:firstLine="0" w:firstLineChars="0"/>
      <w:jc w:val="center"/>
      <w:textAlignment w:val="auto"/>
    </w:pPr>
    <w:rPr>
      <w:kern w:val="2"/>
      <w:sz w:val="21"/>
      <w:szCs w:val="24"/>
    </w:rPr>
  </w:style>
  <w:style w:type="paragraph" w:customStyle="1" w:styleId="225">
    <w:name w:val="正文正"/>
    <w:basedOn w:val="1"/>
    <w:qFormat/>
    <w:uiPriority w:val="0"/>
    <w:pPr>
      <w:spacing w:line="500" w:lineRule="exact"/>
      <w:ind w:firstLine="560"/>
      <w:jc w:val="both"/>
      <w:textAlignment w:val="auto"/>
    </w:pPr>
    <w:rPr>
      <w:kern w:val="2"/>
      <w:szCs w:val="24"/>
    </w:rPr>
  </w:style>
  <w:style w:type="paragraph" w:customStyle="1" w:styleId="226">
    <w:name w:val="小四表文左齐"/>
    <w:basedOn w:val="1"/>
    <w:qFormat/>
    <w:uiPriority w:val="0"/>
    <w:pPr>
      <w:widowControl/>
      <w:tabs>
        <w:tab w:val="left" w:pos="4500"/>
      </w:tabs>
      <w:spacing w:line="240" w:lineRule="auto"/>
      <w:ind w:firstLine="0" w:firstLineChars="0"/>
      <w:jc w:val="center"/>
      <w:textAlignment w:val="auto"/>
    </w:pPr>
    <w:rPr>
      <w:rFonts w:hAnsi="宋体"/>
      <w:sz w:val="21"/>
      <w:szCs w:val="21"/>
    </w:rPr>
  </w:style>
  <w:style w:type="paragraph" w:customStyle="1" w:styleId="227">
    <w:name w:val="正文233"/>
    <w:basedOn w:val="1"/>
    <w:qFormat/>
    <w:uiPriority w:val="0"/>
    <w:pPr>
      <w:widowControl/>
      <w:autoSpaceDE w:val="0"/>
      <w:autoSpaceDN w:val="0"/>
      <w:adjustRightInd w:val="0"/>
      <w:snapToGrid w:val="0"/>
      <w:spacing w:line="480" w:lineRule="exact"/>
      <w:jc w:val="both"/>
      <w:textAlignment w:val="auto"/>
    </w:pPr>
    <w:rPr>
      <w:rFonts w:cs="宋体"/>
      <w:sz w:val="24"/>
    </w:rPr>
  </w:style>
  <w:style w:type="paragraph" w:customStyle="1" w:styleId="228">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auto"/>
    </w:pPr>
    <w:rPr>
      <w:rFonts w:ascii="Arial Unicode MS" w:hAnsi="Arial Unicode MS" w:eastAsia="Arial Unicode MS" w:cs="Arial Unicode MS"/>
      <w:sz w:val="18"/>
      <w:szCs w:val="18"/>
    </w:rPr>
  </w:style>
  <w:style w:type="paragraph" w:customStyle="1" w:styleId="229">
    <w:name w:val="pictext"/>
    <w:basedOn w:val="1"/>
    <w:qFormat/>
    <w:uiPriority w:val="0"/>
    <w:pPr>
      <w:widowControl/>
      <w:spacing w:before="100" w:beforeAutospacing="1" w:after="100" w:afterAutospacing="1" w:line="240" w:lineRule="auto"/>
      <w:ind w:firstLine="0" w:firstLineChars="0"/>
      <w:textAlignment w:val="auto"/>
    </w:pPr>
    <w:rPr>
      <w:rFonts w:ascii="宋体" w:hAnsi="宋体" w:cs="宋体"/>
      <w:sz w:val="24"/>
      <w:szCs w:val="24"/>
    </w:rPr>
  </w:style>
  <w:style w:type="paragraph" w:customStyle="1" w:styleId="230">
    <w:name w:val="修订1"/>
    <w:qFormat/>
    <w:uiPriority w:val="0"/>
    <w:rPr>
      <w:rFonts w:ascii="Times New Roman" w:hAnsi="Times New Roman" w:eastAsia="宋体" w:cs="Times New Roman"/>
      <w:kern w:val="2"/>
      <w:sz w:val="21"/>
      <w:szCs w:val="24"/>
      <w:lang w:val="en-US" w:eastAsia="zh-CN" w:bidi="ar-SA"/>
    </w:rPr>
  </w:style>
  <w:style w:type="paragraph" w:customStyle="1" w:styleId="231">
    <w:name w:val="正文 Char Char Char"/>
    <w:basedOn w:val="1"/>
    <w:qFormat/>
    <w:uiPriority w:val="0"/>
    <w:pPr>
      <w:spacing w:line="520" w:lineRule="exact"/>
      <w:jc w:val="both"/>
      <w:textAlignment w:val="auto"/>
    </w:pPr>
    <w:rPr>
      <w:kern w:val="2"/>
      <w:sz w:val="24"/>
    </w:rPr>
  </w:style>
  <w:style w:type="paragraph" w:customStyle="1" w:styleId="232">
    <w:name w:val="表"/>
    <w:basedOn w:val="1"/>
    <w:qFormat/>
    <w:uiPriority w:val="0"/>
    <w:pPr>
      <w:spacing w:line="320" w:lineRule="exact"/>
      <w:ind w:firstLine="0" w:firstLineChars="0"/>
      <w:textAlignment w:val="auto"/>
    </w:pPr>
    <w:rPr>
      <w:sz w:val="21"/>
    </w:rPr>
  </w:style>
  <w:style w:type="paragraph" w:customStyle="1" w:styleId="233">
    <w:name w:val="Char2"/>
    <w:basedOn w:val="1"/>
    <w:qFormat/>
    <w:uiPriority w:val="0"/>
    <w:pPr>
      <w:spacing w:beforeLines="100" w:afterLines="50" w:line="600" w:lineRule="exact"/>
      <w:jc w:val="both"/>
      <w:textAlignment w:val="auto"/>
    </w:pPr>
    <w:rPr>
      <w:kern w:val="2"/>
      <w:sz w:val="21"/>
      <w:szCs w:val="24"/>
    </w:rPr>
  </w:style>
  <w:style w:type="paragraph" w:styleId="234">
    <w:name w:val="List Paragraph"/>
    <w:basedOn w:val="1"/>
    <w:qFormat/>
    <w:uiPriority w:val="0"/>
    <w:pPr>
      <w:spacing w:line="240" w:lineRule="auto"/>
      <w:ind w:firstLine="420"/>
      <w:jc w:val="both"/>
      <w:textAlignment w:val="auto"/>
    </w:pPr>
    <w:rPr>
      <w:kern w:val="2"/>
    </w:rPr>
  </w:style>
  <w:style w:type="paragraph" w:customStyle="1" w:styleId="235">
    <w:name w:val="reader-word-layer"/>
    <w:basedOn w:val="1"/>
    <w:qFormat/>
    <w:uiPriority w:val="0"/>
    <w:pPr>
      <w:widowControl/>
      <w:spacing w:before="100" w:beforeAutospacing="1" w:after="100" w:afterAutospacing="1" w:line="240" w:lineRule="auto"/>
      <w:ind w:firstLine="0" w:firstLineChars="0"/>
      <w:textAlignment w:val="auto"/>
    </w:pPr>
    <w:rPr>
      <w:rFonts w:ascii="宋体" w:hAnsi="宋体" w:cs="宋体"/>
      <w:sz w:val="24"/>
      <w:szCs w:val="24"/>
    </w:rPr>
  </w:style>
  <w:style w:type="paragraph" w:customStyle="1" w:styleId="236">
    <w:name w:val="样式 标题 1 + 加粗 首行缩进:  0 厘米"/>
    <w:basedOn w:val="4"/>
    <w:qFormat/>
    <w:uiPriority w:val="0"/>
    <w:pPr>
      <w:widowControl/>
      <w:adjustRightInd w:val="0"/>
      <w:snapToGrid w:val="0"/>
      <w:spacing w:before="360" w:after="360" w:line="480" w:lineRule="atLeast"/>
    </w:pPr>
    <w:rPr>
      <w:rFonts w:ascii="Times New Roman" w:cs="宋体"/>
      <w:sz w:val="32"/>
      <w:szCs w:val="36"/>
    </w:rPr>
  </w:style>
  <w:style w:type="paragraph" w:customStyle="1" w:styleId="237">
    <w:name w:val="Char Char6"/>
    <w:basedOn w:val="1"/>
    <w:qFormat/>
    <w:uiPriority w:val="0"/>
    <w:pPr>
      <w:spacing w:beforeLines="100" w:afterLines="50" w:line="600" w:lineRule="exact"/>
      <w:jc w:val="both"/>
      <w:textAlignment w:val="auto"/>
    </w:pPr>
    <w:rPr>
      <w:kern w:val="2"/>
      <w:sz w:val="21"/>
      <w:szCs w:val="24"/>
    </w:rPr>
  </w:style>
  <w:style w:type="paragraph" w:customStyle="1" w:styleId="238">
    <w:name w:val="表格正文"/>
    <w:basedOn w:val="1"/>
    <w:qFormat/>
    <w:uiPriority w:val="0"/>
    <w:pPr>
      <w:spacing w:line="360" w:lineRule="exact"/>
      <w:ind w:firstLine="0" w:firstLineChars="0"/>
      <w:jc w:val="center"/>
      <w:textAlignment w:val="auto"/>
    </w:pPr>
    <w:rPr>
      <w:rFonts w:ascii="Arial" w:hAnsi="Arial"/>
      <w:kern w:val="2"/>
      <w:sz w:val="21"/>
      <w:szCs w:val="24"/>
    </w:rPr>
  </w:style>
  <w:style w:type="paragraph" w:customStyle="1" w:styleId="239">
    <w:name w:val="2"/>
    <w:basedOn w:val="1"/>
    <w:next w:val="37"/>
    <w:qFormat/>
    <w:uiPriority w:val="0"/>
    <w:pPr>
      <w:spacing w:line="240" w:lineRule="auto"/>
      <w:ind w:firstLine="527"/>
      <w:jc w:val="both"/>
      <w:textAlignment w:val="auto"/>
    </w:pPr>
    <w:rPr>
      <w:rFonts w:ascii="宋体"/>
      <w:spacing w:val="5"/>
      <w:kern w:val="2"/>
      <w:sz w:val="25"/>
      <w:szCs w:val="25"/>
    </w:rPr>
  </w:style>
  <w:style w:type="paragraph" w:customStyle="1" w:styleId="240">
    <w:name w:val="标题4"/>
    <w:basedOn w:val="1"/>
    <w:next w:val="1"/>
    <w:qFormat/>
    <w:uiPriority w:val="0"/>
    <w:pPr>
      <w:spacing w:line="520" w:lineRule="exact"/>
      <w:ind w:firstLine="0" w:firstLineChars="0"/>
      <w:jc w:val="both"/>
      <w:textAlignment w:val="auto"/>
    </w:pPr>
    <w:rPr>
      <w:color w:val="000000"/>
      <w:kern w:val="2"/>
      <w:szCs w:val="24"/>
    </w:rPr>
  </w:style>
  <w:style w:type="paragraph" w:customStyle="1" w:styleId="241">
    <w:name w:val="4 Char Char"/>
    <w:basedOn w:val="1"/>
    <w:qFormat/>
    <w:uiPriority w:val="0"/>
    <w:pPr>
      <w:autoSpaceDE w:val="0"/>
      <w:autoSpaceDN w:val="0"/>
      <w:adjustRightInd w:val="0"/>
      <w:snapToGrid w:val="0"/>
      <w:ind w:firstLine="567" w:firstLineChars="0"/>
      <w:textAlignment w:val="auto"/>
    </w:pPr>
    <w:rPr>
      <w:kern w:val="2"/>
      <w:szCs w:val="24"/>
    </w:rPr>
  </w:style>
  <w:style w:type="paragraph" w:customStyle="1" w:styleId="242">
    <w:name w:val="图号"/>
    <w:basedOn w:val="1"/>
    <w:next w:val="1"/>
    <w:qFormat/>
    <w:uiPriority w:val="0"/>
    <w:pPr>
      <w:spacing w:line="240" w:lineRule="auto"/>
      <w:ind w:firstLine="288" w:firstLineChars="0"/>
      <w:jc w:val="center"/>
      <w:textAlignment w:val="auto"/>
    </w:pPr>
    <w:rPr>
      <w:b/>
      <w:kern w:val="2"/>
      <w:sz w:val="24"/>
      <w:szCs w:val="24"/>
    </w:rPr>
  </w:style>
  <w:style w:type="paragraph" w:customStyle="1" w:styleId="243">
    <w:name w:val="样式 正文 +1"/>
    <w:basedOn w:val="1"/>
    <w:qFormat/>
    <w:uiPriority w:val="0"/>
    <w:pPr>
      <w:widowControl/>
      <w:textAlignment w:val="auto"/>
    </w:pPr>
    <w:rPr>
      <w:rFonts w:cs="宋体"/>
      <w:sz w:val="24"/>
    </w:rPr>
  </w:style>
  <w:style w:type="paragraph" w:customStyle="1" w:styleId="244">
    <w:name w:val="Char Char1 Char Char Char Char Char Char Char Char Char Char Char Char Char Char Char Char Char Char Char Char1 Char1"/>
    <w:basedOn w:val="1"/>
    <w:qFormat/>
    <w:uiPriority w:val="0"/>
    <w:pPr>
      <w:jc w:val="both"/>
      <w:textAlignment w:val="auto"/>
    </w:pPr>
    <w:rPr>
      <w:rFonts w:ascii="宋体" w:hAnsi="宋体" w:cs="宋体"/>
      <w:kern w:val="2"/>
      <w:sz w:val="24"/>
      <w:szCs w:val="24"/>
    </w:rPr>
  </w:style>
  <w:style w:type="paragraph" w:customStyle="1" w:styleId="245">
    <w:name w:val="Default"/>
    <w:qFormat/>
    <w:uiPriority w:val="0"/>
    <w:pPr>
      <w:widowControl w:val="0"/>
      <w:autoSpaceDE w:val="0"/>
      <w:autoSpaceDN w:val="0"/>
      <w:adjustRightInd w:val="0"/>
    </w:pPr>
    <w:rPr>
      <w:rFonts w:ascii="宋体" w:hAnsi="等线" w:eastAsia="宋体" w:cs="宋体"/>
      <w:color w:val="000000"/>
      <w:sz w:val="24"/>
      <w:szCs w:val="24"/>
      <w:lang w:val="en-US" w:eastAsia="zh-CN" w:bidi="ar-SA"/>
    </w:rPr>
  </w:style>
  <w:style w:type="paragraph" w:customStyle="1" w:styleId="246">
    <w:name w:val="Char Char Char Char"/>
    <w:basedOn w:val="1"/>
    <w:qFormat/>
    <w:uiPriority w:val="0"/>
    <w:pPr>
      <w:snapToGrid w:val="0"/>
      <w:jc w:val="both"/>
      <w:textAlignment w:val="auto"/>
    </w:pPr>
    <w:rPr>
      <w:rFonts w:eastAsia="FangSong_GB2312"/>
      <w:kern w:val="2"/>
      <w:sz w:val="24"/>
      <w:szCs w:val="24"/>
    </w:rPr>
  </w:style>
  <w:style w:type="paragraph" w:customStyle="1" w:styleId="247">
    <w:name w:val="默认段落字体 Para Char Char Char Char"/>
    <w:basedOn w:val="1"/>
    <w:qFormat/>
    <w:uiPriority w:val="0"/>
    <w:pPr>
      <w:spacing w:beforeLines="100" w:afterLines="50" w:line="600" w:lineRule="exact"/>
      <w:jc w:val="both"/>
      <w:textAlignment w:val="auto"/>
    </w:pPr>
    <w:rPr>
      <w:rFonts w:eastAsia="黑体"/>
      <w:kern w:val="2"/>
      <w:szCs w:val="24"/>
    </w:rPr>
  </w:style>
  <w:style w:type="paragraph" w:customStyle="1" w:styleId="248">
    <w:name w:val="五级条标题"/>
    <w:basedOn w:val="1"/>
    <w:qFormat/>
    <w:uiPriority w:val="0"/>
    <w:pPr>
      <w:tabs>
        <w:tab w:val="left" w:pos="1296"/>
        <w:tab w:val="left" w:pos="2940"/>
      </w:tabs>
      <w:spacing w:line="240" w:lineRule="auto"/>
      <w:ind w:left="2940" w:hanging="420" w:firstLineChars="0"/>
      <w:jc w:val="both"/>
      <w:textAlignment w:val="auto"/>
    </w:pPr>
    <w:rPr>
      <w:kern w:val="2"/>
      <w:sz w:val="21"/>
      <w:szCs w:val="24"/>
    </w:rPr>
  </w:style>
  <w:style w:type="paragraph" w:customStyle="1" w:styleId="249">
    <w:name w:val="Char1 Char Char Char1"/>
    <w:basedOn w:val="1"/>
    <w:qFormat/>
    <w:uiPriority w:val="0"/>
    <w:pPr>
      <w:spacing w:beforeLines="100" w:afterLines="50" w:line="600" w:lineRule="exact"/>
      <w:jc w:val="both"/>
      <w:textAlignment w:val="auto"/>
    </w:pPr>
    <w:rPr>
      <w:kern w:val="2"/>
      <w:sz w:val="21"/>
      <w:szCs w:val="24"/>
    </w:rPr>
  </w:style>
  <w:style w:type="paragraph" w:customStyle="1" w:styleId="250">
    <w:name w:val="Char Char Char3 Char"/>
    <w:basedOn w:val="1"/>
    <w:qFormat/>
    <w:uiPriority w:val="0"/>
    <w:pPr>
      <w:jc w:val="both"/>
      <w:textAlignment w:val="auto"/>
    </w:pPr>
    <w:rPr>
      <w:rFonts w:ascii="宋体" w:hAnsi="宋体" w:cs="宋体"/>
      <w:kern w:val="2"/>
      <w:sz w:val="24"/>
      <w:szCs w:val="24"/>
    </w:rPr>
  </w:style>
  <w:style w:type="paragraph" w:customStyle="1" w:styleId="251">
    <w:name w:val="1"/>
    <w:basedOn w:val="1"/>
    <w:next w:val="19"/>
    <w:qFormat/>
    <w:uiPriority w:val="0"/>
    <w:pPr>
      <w:spacing w:after="120" w:line="240" w:lineRule="auto"/>
      <w:ind w:firstLine="0" w:firstLineChars="0"/>
      <w:jc w:val="both"/>
      <w:textAlignment w:val="auto"/>
    </w:pPr>
    <w:rPr>
      <w:kern w:val="2"/>
      <w:sz w:val="21"/>
      <w:szCs w:val="24"/>
    </w:rPr>
  </w:style>
  <w:style w:type="paragraph" w:customStyle="1" w:styleId="252">
    <w:name w:val="正文1"/>
    <w:qFormat/>
    <w:uiPriority w:val="0"/>
    <w:pPr>
      <w:widowControl w:val="0"/>
      <w:adjustRightInd w:val="0"/>
      <w:spacing w:line="312" w:lineRule="atLeast"/>
      <w:jc w:val="both"/>
      <w:textAlignment w:val="baseline"/>
    </w:pPr>
    <w:rPr>
      <w:rFonts w:ascii="Arial" w:hAnsi="Times New Roman" w:eastAsia="KaiTi_GB2312" w:cs="Times New Roman"/>
      <w:spacing w:val="-6"/>
      <w:sz w:val="28"/>
      <w:lang w:val="en-US" w:eastAsia="zh-CN" w:bidi="ar-SA"/>
    </w:rPr>
  </w:style>
  <w:style w:type="paragraph" w:customStyle="1" w:styleId="253">
    <w:name w:val="Char Char Char Char Char Char"/>
    <w:basedOn w:val="1"/>
    <w:qFormat/>
    <w:uiPriority w:val="0"/>
    <w:pPr>
      <w:spacing w:line="500" w:lineRule="exact"/>
      <w:ind w:firstLine="0" w:firstLineChars="0"/>
      <w:jc w:val="both"/>
      <w:textAlignment w:val="auto"/>
    </w:pPr>
    <w:rPr>
      <w:kern w:val="2"/>
      <w:sz w:val="24"/>
      <w:szCs w:val="24"/>
    </w:rPr>
  </w:style>
  <w:style w:type="paragraph" w:customStyle="1" w:styleId="254">
    <w:name w:val="Char Char Char Char1"/>
    <w:basedOn w:val="1"/>
    <w:qFormat/>
    <w:uiPriority w:val="0"/>
    <w:pPr>
      <w:snapToGrid w:val="0"/>
      <w:jc w:val="both"/>
      <w:textAlignment w:val="auto"/>
    </w:pPr>
    <w:rPr>
      <w:rFonts w:eastAsia="FangSong_GB2312"/>
      <w:kern w:val="2"/>
      <w:sz w:val="24"/>
      <w:szCs w:val="24"/>
    </w:rPr>
  </w:style>
  <w:style w:type="paragraph" w:customStyle="1" w:styleId="255">
    <w:name w:val="Char Char6 Char Char"/>
    <w:basedOn w:val="1"/>
    <w:qFormat/>
    <w:uiPriority w:val="0"/>
    <w:pPr>
      <w:spacing w:beforeLines="100" w:afterLines="50" w:line="600" w:lineRule="exact"/>
      <w:jc w:val="both"/>
      <w:textAlignment w:val="auto"/>
    </w:pPr>
    <w:rPr>
      <w:kern w:val="2"/>
      <w:sz w:val="21"/>
      <w:szCs w:val="24"/>
    </w:rPr>
  </w:style>
  <w:style w:type="paragraph" w:customStyle="1" w:styleId="256">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auto"/>
    </w:pPr>
    <w:rPr>
      <w:rFonts w:ascii="Arial Unicode MS" w:hAnsi="Arial Unicode MS" w:eastAsia="Arial Unicode MS" w:cs="Arial Unicode MS"/>
      <w:sz w:val="18"/>
      <w:szCs w:val="18"/>
    </w:rPr>
  </w:style>
  <w:style w:type="paragraph" w:customStyle="1" w:styleId="257">
    <w:name w:val="宋小4+25"/>
    <w:basedOn w:val="1"/>
    <w:qFormat/>
    <w:uiPriority w:val="0"/>
    <w:pPr>
      <w:adjustRightInd w:val="0"/>
      <w:snapToGrid w:val="0"/>
      <w:spacing w:line="500" w:lineRule="exact"/>
      <w:textAlignment w:val="auto"/>
    </w:pPr>
    <w:rPr>
      <w:kern w:val="2"/>
      <w:sz w:val="24"/>
      <w:szCs w:val="24"/>
    </w:rPr>
  </w:style>
  <w:style w:type="paragraph" w:customStyle="1" w:styleId="258">
    <w:name w:val="Char Char Char Char Char Char Char Char Char Char Char Char Char Char Char Char Char Char Char"/>
    <w:basedOn w:val="1"/>
    <w:qFormat/>
    <w:uiPriority w:val="0"/>
    <w:pPr>
      <w:spacing w:line="240" w:lineRule="auto"/>
      <w:ind w:firstLine="0" w:firstLineChars="0"/>
      <w:jc w:val="both"/>
      <w:textAlignment w:val="auto"/>
    </w:pPr>
    <w:rPr>
      <w:kern w:val="2"/>
      <w:sz w:val="24"/>
      <w:szCs w:val="24"/>
    </w:rPr>
  </w:style>
  <w:style w:type="paragraph" w:customStyle="1" w:styleId="259">
    <w:name w:val="标题3 Char Char Char Char"/>
    <w:basedOn w:val="1"/>
    <w:qFormat/>
    <w:uiPriority w:val="0"/>
    <w:pPr>
      <w:spacing w:afterLines="50" w:line="560" w:lineRule="exact"/>
      <w:ind w:firstLine="0" w:firstLineChars="0"/>
      <w:jc w:val="both"/>
      <w:textAlignment w:val="auto"/>
    </w:pPr>
    <w:rPr>
      <w:rFonts w:eastAsia="黑体"/>
      <w:kern w:val="2"/>
      <w:sz w:val="30"/>
      <w:szCs w:val="30"/>
    </w:rPr>
  </w:style>
  <w:style w:type="paragraph" w:customStyle="1" w:styleId="260">
    <w:name w:val="p17"/>
    <w:basedOn w:val="1"/>
    <w:qFormat/>
    <w:uiPriority w:val="0"/>
    <w:pPr>
      <w:widowControl/>
      <w:spacing w:line="420" w:lineRule="atLeast"/>
      <w:ind w:firstLine="420" w:firstLineChars="0"/>
      <w:jc w:val="both"/>
      <w:textAlignment w:val="auto"/>
    </w:pPr>
    <w:rPr>
      <w:rFonts w:ascii="宋体" w:hAnsi="宋体" w:cs="宋体"/>
      <w:kern w:val="2"/>
      <w:sz w:val="24"/>
      <w:szCs w:val="24"/>
    </w:rPr>
  </w:style>
  <w:style w:type="paragraph" w:customStyle="1" w:styleId="261">
    <w:name w:val="样式 黑体 小四 段后: 6 磅 行距: 固定值 28 磅"/>
    <w:basedOn w:val="1"/>
    <w:qFormat/>
    <w:uiPriority w:val="0"/>
    <w:pPr>
      <w:spacing w:after="120" w:line="560" w:lineRule="exact"/>
      <w:ind w:firstLine="480"/>
      <w:jc w:val="both"/>
      <w:textAlignment w:val="auto"/>
    </w:pPr>
    <w:rPr>
      <w:rFonts w:ascii="黑体" w:eastAsia="黑体" w:cs="宋体"/>
      <w:kern w:val="2"/>
      <w:sz w:val="24"/>
    </w:rPr>
  </w:style>
  <w:style w:type="paragraph" w:customStyle="1" w:styleId="262">
    <w:name w:val="Char12"/>
    <w:basedOn w:val="1"/>
    <w:qFormat/>
    <w:uiPriority w:val="0"/>
    <w:pPr>
      <w:adjustRightInd w:val="0"/>
      <w:spacing w:line="360" w:lineRule="atLeast"/>
      <w:ind w:firstLine="0" w:firstLineChars="0"/>
      <w:jc w:val="both"/>
      <w:textAlignment w:val="auto"/>
    </w:pPr>
    <w:rPr>
      <w:rFonts w:eastAsia="黑体"/>
      <w:b/>
      <w:kern w:val="28"/>
    </w:rPr>
  </w:style>
  <w:style w:type="paragraph" w:customStyle="1" w:styleId="263">
    <w:name w:val="正"/>
    <w:basedOn w:val="1"/>
    <w:qFormat/>
    <w:uiPriority w:val="0"/>
    <w:pPr>
      <w:spacing w:line="240" w:lineRule="auto"/>
      <w:ind w:firstLine="0" w:firstLineChars="0"/>
      <w:jc w:val="both"/>
      <w:textAlignment w:val="auto"/>
    </w:pPr>
    <w:rPr>
      <w:rFonts w:ascii="Calibri" w:hAnsi="Calibri" w:eastAsia="Times New Roman"/>
      <w:kern w:val="2"/>
      <w:sz w:val="24"/>
    </w:rPr>
  </w:style>
  <w:style w:type="paragraph" w:customStyle="1" w:styleId="264">
    <w:name w:val="xl31"/>
    <w:basedOn w:val="1"/>
    <w:qFormat/>
    <w:uiPriority w:val="0"/>
    <w:pPr>
      <w:widowControl/>
      <w:spacing w:before="100" w:beforeAutospacing="1" w:after="100" w:afterAutospacing="1" w:line="240" w:lineRule="auto"/>
      <w:ind w:firstLine="0" w:firstLineChars="0"/>
      <w:jc w:val="center"/>
      <w:textAlignment w:val="center"/>
    </w:pPr>
    <w:rPr>
      <w:rFonts w:ascii="Arial Unicode MS" w:hAnsi="Arial Unicode MS" w:eastAsia="Arial Unicode MS"/>
      <w:sz w:val="24"/>
      <w:szCs w:val="24"/>
    </w:rPr>
  </w:style>
  <w:style w:type="paragraph" w:customStyle="1" w:styleId="265">
    <w:name w:val="表头图表"/>
    <w:qFormat/>
    <w:uiPriority w:val="0"/>
    <w:pPr>
      <w:widowControl w:val="0"/>
      <w:autoSpaceDE w:val="0"/>
      <w:autoSpaceDN w:val="0"/>
      <w:adjustRightInd w:val="0"/>
      <w:snapToGrid w:val="0"/>
      <w:spacing w:line="240" w:lineRule="atLeast"/>
      <w:jc w:val="center"/>
    </w:pPr>
    <w:rPr>
      <w:rFonts w:ascii="Times New Roman" w:hAnsi="Times New Roman" w:eastAsia="宋体" w:cs="宋体"/>
      <w:b/>
      <w:color w:val="000000"/>
      <w:sz w:val="24"/>
      <w:szCs w:val="24"/>
      <w:lang w:val="en-US" w:eastAsia="zh-CN" w:bidi="ar-SA"/>
    </w:rPr>
  </w:style>
  <w:style w:type="paragraph" w:customStyle="1" w:styleId="266">
    <w:name w:val="样式3"/>
    <w:basedOn w:val="5"/>
    <w:qFormat/>
    <w:uiPriority w:val="0"/>
    <w:pPr>
      <w:widowControl/>
      <w:pBdr>
        <w:top w:val="none" w:color="auto" w:sz="0" w:space="1"/>
        <w:left w:val="none" w:color="auto" w:sz="0" w:space="4"/>
        <w:bottom w:val="thickThinMediumGap" w:color="auto" w:sz="12" w:space="1"/>
        <w:right w:val="none" w:color="auto" w:sz="0" w:space="4"/>
      </w:pBdr>
      <w:spacing w:line="413" w:lineRule="auto"/>
    </w:pPr>
    <w:rPr>
      <w:rFonts w:ascii="Times New Roman" w:hAnsi="Times New Roman" w:eastAsia="宋体"/>
      <w:bCs w:val="0"/>
      <w:color w:val="000000"/>
      <w:szCs w:val="20"/>
    </w:rPr>
  </w:style>
  <w:style w:type="paragraph" w:customStyle="1" w:styleId="267">
    <w:name w:val="Char Char Char1 Char Char Char Char Char Char Char Char Char Char Char Char Char Char Char Char Char Char Char1"/>
    <w:basedOn w:val="1"/>
    <w:qFormat/>
    <w:uiPriority w:val="0"/>
    <w:pPr>
      <w:jc w:val="both"/>
      <w:textAlignment w:val="auto"/>
    </w:pPr>
    <w:rPr>
      <w:rFonts w:ascii="宋体" w:hAnsi="宋体" w:cs="宋体"/>
      <w:kern w:val="2"/>
      <w:sz w:val="24"/>
      <w:szCs w:val="24"/>
    </w:rPr>
  </w:style>
  <w:style w:type="paragraph" w:customStyle="1" w:styleId="268">
    <w:name w:val="Char11"/>
    <w:basedOn w:val="1"/>
    <w:qFormat/>
    <w:uiPriority w:val="0"/>
    <w:pPr>
      <w:spacing w:beforeLines="100" w:afterLines="50" w:line="600" w:lineRule="exact"/>
      <w:jc w:val="both"/>
      <w:textAlignment w:val="auto"/>
    </w:pPr>
    <w:rPr>
      <w:kern w:val="2"/>
      <w:sz w:val="21"/>
    </w:rPr>
  </w:style>
  <w:style w:type="paragraph" w:customStyle="1" w:styleId="269">
    <w:name w:val="样式 表中文字 + 两端对齐"/>
    <w:basedOn w:val="1"/>
    <w:qFormat/>
    <w:uiPriority w:val="0"/>
    <w:pPr>
      <w:spacing w:line="270" w:lineRule="exact"/>
      <w:ind w:firstLine="0" w:firstLineChars="0"/>
      <w:jc w:val="center"/>
      <w:textAlignment w:val="auto"/>
    </w:pPr>
    <w:rPr>
      <w:rFonts w:ascii="FangSong_GB2312" w:eastAsia="FangSong_GB2312" w:cs="宋体"/>
      <w:kern w:val="2"/>
      <w:sz w:val="21"/>
      <w:szCs w:val="21"/>
    </w:rPr>
  </w:style>
  <w:style w:type="paragraph" w:customStyle="1" w:styleId="270">
    <w:name w:val="Char Char Char Char Char Char Char Char Char Char Char Char Char Char Char Char Char Char Char1"/>
    <w:basedOn w:val="1"/>
    <w:qFormat/>
    <w:uiPriority w:val="0"/>
    <w:pPr>
      <w:spacing w:line="240" w:lineRule="auto"/>
      <w:ind w:firstLine="0" w:firstLineChars="0"/>
      <w:jc w:val="both"/>
      <w:textAlignment w:val="auto"/>
    </w:pPr>
    <w:rPr>
      <w:kern w:val="2"/>
      <w:sz w:val="24"/>
      <w:szCs w:val="24"/>
    </w:rPr>
  </w:style>
  <w:style w:type="paragraph" w:customStyle="1" w:styleId="271">
    <w:name w:val="普通文字"/>
    <w:basedOn w:val="1"/>
    <w:qFormat/>
    <w:uiPriority w:val="0"/>
    <w:pPr>
      <w:adjustRightInd w:val="0"/>
      <w:snapToGrid w:val="0"/>
      <w:spacing w:line="360" w:lineRule="exact"/>
      <w:ind w:firstLine="0" w:firstLineChars="0"/>
      <w:jc w:val="both"/>
      <w:textAlignment w:val="baseline"/>
    </w:pPr>
    <w:rPr>
      <w:rFonts w:eastAsia="FangSong_GB2312"/>
      <w:snapToGrid w:val="0"/>
      <w:kern w:val="21"/>
      <w:sz w:val="21"/>
      <w:szCs w:val="21"/>
    </w:rPr>
  </w:style>
  <w:style w:type="paragraph" w:customStyle="1" w:styleId="272">
    <w:name w:val="Char Char Char"/>
    <w:basedOn w:val="1"/>
    <w:qFormat/>
    <w:uiPriority w:val="0"/>
    <w:pPr>
      <w:spacing w:line="240" w:lineRule="auto"/>
      <w:ind w:firstLine="0" w:firstLineChars="0"/>
      <w:jc w:val="both"/>
      <w:textAlignment w:val="auto"/>
    </w:pPr>
    <w:rPr>
      <w:rFonts w:ascii="Tahoma" w:hAnsi="Tahoma"/>
      <w:kern w:val="2"/>
      <w:sz w:val="24"/>
    </w:rPr>
  </w:style>
  <w:style w:type="paragraph" w:customStyle="1" w:styleId="273">
    <w:name w:val="样式1 Char"/>
    <w:basedOn w:val="20"/>
    <w:qFormat/>
    <w:uiPriority w:val="0"/>
    <w:pPr>
      <w:spacing w:after="0" w:line="360" w:lineRule="auto"/>
      <w:ind w:left="0" w:leftChars="0" w:firstLine="600"/>
      <w:textAlignment w:val="bottom"/>
    </w:pPr>
    <w:rPr>
      <w:rFonts w:hint="eastAsia" w:hAnsi="宋体"/>
      <w:color w:val="000000"/>
      <w:kern w:val="0"/>
      <w:sz w:val="30"/>
    </w:rPr>
  </w:style>
  <w:style w:type="paragraph" w:customStyle="1" w:styleId="274">
    <w:name w:val="z正文"/>
    <w:basedOn w:val="1"/>
    <w:qFormat/>
    <w:uiPriority w:val="0"/>
    <w:pPr>
      <w:spacing w:line="500" w:lineRule="exact"/>
      <w:jc w:val="both"/>
      <w:textAlignment w:val="auto"/>
    </w:pPr>
    <w:rPr>
      <w:kern w:val="2"/>
      <w:sz w:val="24"/>
      <w:szCs w:val="24"/>
    </w:rPr>
  </w:style>
  <w:style w:type="paragraph" w:customStyle="1" w:styleId="275">
    <w:name w:val="正文缩进1"/>
    <w:basedOn w:val="1"/>
    <w:qFormat/>
    <w:uiPriority w:val="0"/>
    <w:pPr>
      <w:spacing w:line="365" w:lineRule="atLeast"/>
      <w:ind w:firstLine="420"/>
      <w:jc w:val="both"/>
    </w:pPr>
    <w:rPr>
      <w:rFonts w:hint="eastAsia"/>
      <w:sz w:val="20"/>
    </w:rPr>
  </w:style>
  <w:style w:type="paragraph" w:customStyle="1" w:styleId="276">
    <w:name w:val="样式 首行缩进:  2 字符8"/>
    <w:basedOn w:val="1"/>
    <w:qFormat/>
    <w:uiPriority w:val="0"/>
    <w:pPr>
      <w:spacing w:line="520" w:lineRule="exact"/>
      <w:jc w:val="both"/>
      <w:textAlignment w:val="auto"/>
    </w:pPr>
    <w:rPr>
      <w:rFonts w:ascii="Calibri" w:hAnsi="Calibri" w:cs="宋体"/>
      <w:kern w:val="2"/>
      <w:sz w:val="24"/>
    </w:rPr>
  </w:style>
  <w:style w:type="paragraph" w:customStyle="1" w:styleId="277">
    <w:name w:val="xl27"/>
    <w:basedOn w:val="1"/>
    <w:qFormat/>
    <w:uiPriority w:val="0"/>
    <w:pPr>
      <w:widowControl/>
      <w:pBdr>
        <w:bottom w:val="single" w:color="auto" w:sz="12" w:space="0"/>
      </w:pBdr>
      <w:spacing w:before="100" w:after="100" w:line="240" w:lineRule="auto"/>
      <w:ind w:firstLine="0" w:firstLineChars="0"/>
      <w:jc w:val="center"/>
      <w:textAlignment w:val="auto"/>
    </w:pPr>
    <w:rPr>
      <w:rFonts w:ascii="宋体" w:hAnsi="宋体"/>
      <w:sz w:val="21"/>
    </w:rPr>
  </w:style>
  <w:style w:type="paragraph" w:customStyle="1" w:styleId="278">
    <w:name w:val="缩进"/>
    <w:basedOn w:val="1"/>
    <w:qFormat/>
    <w:uiPriority w:val="0"/>
    <w:pPr>
      <w:autoSpaceDE w:val="0"/>
      <w:autoSpaceDN w:val="0"/>
      <w:adjustRightInd w:val="0"/>
      <w:spacing w:line="400" w:lineRule="atLeast"/>
      <w:jc w:val="both"/>
      <w:textAlignment w:val="baseline"/>
    </w:pPr>
    <w:rPr>
      <w:sz w:val="24"/>
    </w:rPr>
  </w:style>
  <w:style w:type="paragraph" w:customStyle="1" w:styleId="279">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80">
    <w:name w:val="特殊标题３"/>
    <w:basedOn w:val="1"/>
    <w:qFormat/>
    <w:uiPriority w:val="0"/>
    <w:pPr>
      <w:autoSpaceDE w:val="0"/>
      <w:autoSpaceDN w:val="0"/>
      <w:adjustRightInd w:val="0"/>
      <w:ind w:firstLine="0" w:firstLineChars="0"/>
      <w:jc w:val="both"/>
      <w:textAlignment w:val="baseline"/>
    </w:pPr>
    <w:rPr>
      <w:rFonts w:ascii="宋体" w:hAnsi="宋体"/>
      <w:color w:val="000000"/>
      <w:szCs w:val="28"/>
    </w:rPr>
  </w:style>
  <w:style w:type="table" w:customStyle="1" w:styleId="281">
    <w:name w:val="网格型2"/>
    <w:basedOn w:val="4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82">
    <w:name w:val="列表型 71"/>
    <w:basedOn w:val="48"/>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auto" w:sz="6" w:space="0"/>
      </w:tblBorders>
      <w:tblCellMar>
        <w:top w:w="0" w:type="dxa"/>
        <w:left w:w="108" w:type="dxa"/>
        <w:bottom w:w="0" w:type="dxa"/>
        <w:right w:w="108" w:type="dxa"/>
      </w:tblCellMar>
    </w:tblPr>
    <w:tblStylePr w:type="firstRow">
      <w:tcPr>
        <w:tcBorders>
          <w:top w:val="nil"/>
          <w:left w:val="nil"/>
          <w:bottom w:val="single" w:color="008000" w:sz="12" w:space="0"/>
          <w:right w:val="nil"/>
          <w:insideH w:val="nil"/>
          <w:insideV w:val="nil"/>
          <w:tl2br w:val="nil"/>
          <w:tr2bl w:val="nil"/>
        </w:tcBorders>
        <w:shd w:val="solid" w:color="C0C0C0" w:fill="FFFFFF"/>
      </w:tcPr>
    </w:tblStylePr>
    <w:tblStylePr w:type="lastRow">
      <w:tcPr>
        <w:tcBorders>
          <w:top w:val="single" w:color="008000" w:sz="12" w:space="0"/>
          <w:left w:val="nil"/>
          <w:bottom w:val="nil"/>
          <w:right w:val="nil"/>
          <w:insideH w:val="nil"/>
          <w:insideV w:val="nil"/>
          <w:tl2br w:val="nil"/>
          <w:tr2bl w:val="nil"/>
        </w:tcBorders>
      </w:tcPr>
    </w:tblStylePr>
    <w:tblStylePr w:type="firstCol">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3">
    <w:name w:val="专业型1"/>
    <w:basedOn w:val="48"/>
    <w:qFormat/>
    <w:uiPriority w:val="0"/>
    <w:pPr>
      <w:widowControl w:val="0"/>
      <w:jc w:val="both"/>
    </w:p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shd w:val="clear" w:color="auto" w:fill="auto"/>
    </w:tcPr>
    <w:tblStylePr w:type="firstRow">
      <w:tcPr>
        <w:tcBorders>
          <w:top w:val="nil"/>
          <w:left w:val="nil"/>
          <w:bottom w:val="nil"/>
          <w:right w:val="nil"/>
          <w:insideH w:val="nil"/>
          <w:insideV w:val="nil"/>
          <w:tl2br w:val="nil"/>
          <w:tr2bl w:val="nil"/>
        </w:tcBorders>
        <w:shd w:val="solid" w:color="000000" w:fill="FFFFFF"/>
      </w:tcPr>
    </w:tblStylePr>
  </w:style>
  <w:style w:type="table" w:customStyle="1" w:styleId="284">
    <w:name w:val="专用"/>
    <w:basedOn w:val="48"/>
    <w:semiHidden/>
    <w:qFormat/>
    <w:uiPriority w:val="0"/>
    <w:pPr>
      <w:widowControl w:val="0"/>
      <w:jc w:val="center"/>
    </w:pPr>
    <w:tblPr>
      <w:tblBorders>
        <w:top w:val="single" w:color="auto" w:sz="4" w:space="0"/>
        <w:bottom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285">
    <w:name w:val="网格型1"/>
    <w:basedOn w:val="48"/>
    <w:qFormat/>
    <w:uiPriority w:val="0"/>
    <w:pPr>
      <w:widowControl w:val="0"/>
      <w:jc w:val="both"/>
    </w:pPr>
    <w:rPr>
      <w:sz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style>
  <w:style w:type="character" w:customStyle="1" w:styleId="286">
    <w:name w:val="页眉 字符"/>
    <w:qFormat/>
    <w:uiPriority w:val="0"/>
    <w:rPr>
      <w:rFonts w:ascii="Times New Roman" w:hAnsi="Times New Roman" w:eastAsia="宋体" w:cs="Times New Roman"/>
      <w:sz w:val="18"/>
      <w:szCs w:val="18"/>
      <w:lang w:val="en-US" w:eastAsia="zh-CN" w:bidi="ar-SA"/>
    </w:rPr>
  </w:style>
  <w:style w:type="character" w:customStyle="1" w:styleId="287">
    <w:name w:val="15正文 Char"/>
    <w:link w:val="288"/>
    <w:qFormat/>
    <w:uiPriority w:val="0"/>
    <w:rPr>
      <w:kern w:val="2"/>
      <w:sz w:val="24"/>
      <w:szCs w:val="24"/>
      <w:lang w:val="en-US" w:eastAsia="zh-CN" w:bidi="ar-SA"/>
    </w:rPr>
  </w:style>
  <w:style w:type="paragraph" w:customStyle="1" w:styleId="288">
    <w:name w:val="15正文"/>
    <w:link w:val="287"/>
    <w:qFormat/>
    <w:uiPriority w:val="0"/>
    <w:pPr>
      <w:spacing w:line="480" w:lineRule="atLeast"/>
      <w:ind w:firstLine="480" w:firstLineChars="200"/>
      <w:jc w:val="both"/>
    </w:pPr>
    <w:rPr>
      <w:rFonts w:ascii="Times New Roman" w:hAnsi="Times New Roman" w:eastAsia="宋体" w:cs="Times New Roman"/>
      <w:kern w:val="2"/>
      <w:sz w:val="24"/>
      <w:szCs w:val="24"/>
      <w:lang w:val="en-US" w:eastAsia="zh-CN" w:bidi="ar-SA"/>
    </w:rPr>
  </w:style>
  <w:style w:type="character" w:customStyle="1" w:styleId="289">
    <w:name w:val="称呼 Char"/>
    <w:link w:val="17"/>
    <w:qFormat/>
    <w:locked/>
    <w:uiPriority w:val="0"/>
    <w:rPr>
      <w:rFonts w:ascii="宋体" w:hAnsi="宋体"/>
      <w:szCs w:val="24"/>
    </w:rPr>
  </w:style>
  <w:style w:type="character" w:customStyle="1" w:styleId="290">
    <w:name w:val="称呼 Char1"/>
    <w:basedOn w:val="54"/>
    <w:qFormat/>
    <w:uiPriority w:val="0"/>
    <w:rPr>
      <w:sz w:val="28"/>
    </w:rPr>
  </w:style>
  <w:style w:type="character" w:customStyle="1" w:styleId="291">
    <w:name w:val="批注文字 字符"/>
    <w:qFormat/>
    <w:uiPriority w:val="0"/>
    <w:rPr>
      <w:rFonts w:ascii="Times New Roman" w:hAnsi="Times New Roman" w:eastAsia="宋体" w:cs="Times New Roman"/>
      <w:kern w:val="2"/>
      <w:sz w:val="21"/>
      <w:szCs w:val="24"/>
      <w:lang w:bidi="ar-SA"/>
    </w:rPr>
  </w:style>
  <w:style w:type="character" w:customStyle="1" w:styleId="292">
    <w:name w:val="标题 4 字符"/>
    <w:qFormat/>
    <w:uiPriority w:val="0"/>
    <w:rPr>
      <w:rFonts w:ascii="Times New Roman" w:hAnsi="Times New Roman" w:eastAsia="黑体" w:cs="Times New Roman"/>
      <w:bCs/>
      <w:sz w:val="24"/>
      <w:szCs w:val="28"/>
    </w:rPr>
  </w:style>
  <w:style w:type="character" w:customStyle="1" w:styleId="293">
    <w:name w:val="标题 3 字符"/>
    <w:qFormat/>
    <w:uiPriority w:val="0"/>
    <w:rPr>
      <w:rFonts w:ascii="Times New Roman" w:hAnsi="Times New Roman" w:eastAsia="宋体" w:cs="Times New Roman"/>
      <w:b/>
      <w:bCs/>
      <w:kern w:val="2"/>
      <w:sz w:val="28"/>
      <w:szCs w:val="32"/>
    </w:rPr>
  </w:style>
  <w:style w:type="character" w:customStyle="1" w:styleId="294">
    <w:name w:val="标题 2 字符"/>
    <w:qFormat/>
    <w:uiPriority w:val="0"/>
    <w:rPr>
      <w:rFonts w:ascii="Arial" w:hAnsi="Arial" w:eastAsia="黑体" w:cs="Times New Roman"/>
      <w:b/>
      <w:bCs/>
      <w:kern w:val="2"/>
      <w:sz w:val="32"/>
      <w:szCs w:val="32"/>
      <w:lang w:val="en-US" w:eastAsia="zh-CN" w:bidi="ar-SA"/>
    </w:rPr>
  </w:style>
  <w:style w:type="character" w:customStyle="1" w:styleId="295">
    <w:name w:val="正正文 Char"/>
    <w:link w:val="296"/>
    <w:qFormat/>
    <w:uiPriority w:val="0"/>
    <w:rPr>
      <w:kern w:val="2"/>
      <w:sz w:val="30"/>
      <w:szCs w:val="30"/>
    </w:rPr>
  </w:style>
  <w:style w:type="paragraph" w:customStyle="1" w:styleId="296">
    <w:name w:val="正正文"/>
    <w:basedOn w:val="1"/>
    <w:link w:val="295"/>
    <w:qFormat/>
    <w:uiPriority w:val="0"/>
    <w:pPr>
      <w:spacing w:line="240" w:lineRule="auto"/>
      <w:textAlignment w:val="auto"/>
    </w:pPr>
    <w:rPr>
      <w:kern w:val="2"/>
      <w:sz w:val="30"/>
      <w:szCs w:val="30"/>
    </w:rPr>
  </w:style>
  <w:style w:type="paragraph" w:customStyle="1" w:styleId="297">
    <w:name w:val="Char1 Char Char Char1 Char Char Char1"/>
    <w:basedOn w:val="1"/>
    <w:qFormat/>
    <w:uiPriority w:val="0"/>
    <w:pPr>
      <w:jc w:val="both"/>
      <w:textAlignment w:val="auto"/>
    </w:pPr>
    <w:rPr>
      <w:rFonts w:ascii="宋体" w:hAnsi="宋体" w:cs="宋体"/>
      <w:kern w:val="2"/>
      <w:sz w:val="24"/>
      <w:szCs w:val="24"/>
    </w:rPr>
  </w:style>
  <w:style w:type="paragraph" w:customStyle="1" w:styleId="298">
    <w:name w:val="Char1 Char Char Char1 Char Char Char2"/>
    <w:basedOn w:val="1"/>
    <w:qFormat/>
    <w:uiPriority w:val="0"/>
    <w:pPr>
      <w:jc w:val="both"/>
      <w:textAlignment w:val="auto"/>
    </w:pPr>
    <w:rPr>
      <w:rFonts w:ascii="宋体" w:hAnsi="宋体" w:cs="宋体"/>
      <w:kern w:val="2"/>
      <w:sz w:val="24"/>
      <w:szCs w:val="24"/>
    </w:rPr>
  </w:style>
  <w:style w:type="paragraph" w:customStyle="1" w:styleId="299">
    <w:name w:val="Char1 Char Char Char1 Char Char Char3"/>
    <w:basedOn w:val="1"/>
    <w:qFormat/>
    <w:uiPriority w:val="0"/>
    <w:pPr>
      <w:jc w:val="both"/>
      <w:textAlignment w:val="auto"/>
    </w:pPr>
    <w:rPr>
      <w:rFonts w:ascii="宋体" w:hAnsi="宋体" w:cs="宋体"/>
      <w:kern w:val="2"/>
      <w:sz w:val="24"/>
      <w:szCs w:val="24"/>
    </w:rPr>
  </w:style>
  <w:style w:type="paragraph" w:customStyle="1" w:styleId="300">
    <w:name w:val="Char1 Char Char Char1 Char Char Char4"/>
    <w:basedOn w:val="1"/>
    <w:qFormat/>
    <w:uiPriority w:val="0"/>
    <w:pPr>
      <w:jc w:val="both"/>
      <w:textAlignment w:val="auto"/>
    </w:pPr>
    <w:rPr>
      <w:rFonts w:ascii="宋体" w:hAnsi="宋体" w:cs="宋体"/>
      <w:kern w:val="2"/>
      <w:sz w:val="24"/>
      <w:szCs w:val="24"/>
    </w:rPr>
  </w:style>
  <w:style w:type="paragraph" w:customStyle="1" w:styleId="301">
    <w:name w:val="Char1 Char Char Char1 Char Char Char5"/>
    <w:basedOn w:val="1"/>
    <w:qFormat/>
    <w:uiPriority w:val="0"/>
    <w:pPr>
      <w:jc w:val="both"/>
      <w:textAlignment w:val="auto"/>
    </w:pPr>
    <w:rPr>
      <w:rFonts w:ascii="宋体" w:hAnsi="宋体" w:cs="宋体"/>
      <w:kern w:val="2"/>
      <w:sz w:val="24"/>
      <w:szCs w:val="24"/>
    </w:rPr>
  </w:style>
  <w:style w:type="paragraph" w:customStyle="1" w:styleId="302">
    <w:name w:val="Char1 Char Char Char1 Char Char Char6"/>
    <w:basedOn w:val="1"/>
    <w:qFormat/>
    <w:uiPriority w:val="0"/>
    <w:pPr>
      <w:jc w:val="both"/>
      <w:textAlignment w:val="auto"/>
    </w:pPr>
    <w:rPr>
      <w:rFonts w:ascii="宋体" w:hAnsi="宋体" w:cs="宋体"/>
      <w:kern w:val="2"/>
      <w:sz w:val="24"/>
      <w:szCs w:val="24"/>
    </w:rPr>
  </w:style>
  <w:style w:type="paragraph" w:customStyle="1" w:styleId="303">
    <w:name w:val="Char1 Char Char Char1 Char Char Char7"/>
    <w:basedOn w:val="1"/>
    <w:qFormat/>
    <w:uiPriority w:val="0"/>
    <w:pPr>
      <w:jc w:val="both"/>
      <w:textAlignment w:val="auto"/>
    </w:pPr>
    <w:rPr>
      <w:rFonts w:ascii="宋体" w:hAnsi="宋体" w:cs="宋体"/>
      <w:kern w:val="2"/>
      <w:sz w:val="24"/>
      <w:szCs w:val="24"/>
    </w:rPr>
  </w:style>
  <w:style w:type="paragraph" w:customStyle="1" w:styleId="304">
    <w:name w:val="Char1 Char Char Char1 Char Char Char8"/>
    <w:basedOn w:val="1"/>
    <w:qFormat/>
    <w:uiPriority w:val="0"/>
    <w:pPr>
      <w:jc w:val="both"/>
      <w:textAlignment w:val="auto"/>
    </w:pPr>
    <w:rPr>
      <w:rFonts w:ascii="宋体" w:hAnsi="宋体" w:cs="宋体"/>
      <w:kern w:val="2"/>
      <w:sz w:val="24"/>
      <w:szCs w:val="24"/>
    </w:rPr>
  </w:style>
  <w:style w:type="paragraph" w:customStyle="1" w:styleId="305">
    <w:name w:val="修订2"/>
    <w:hidden/>
    <w:unhideWhenUsed/>
    <w:qFormat/>
    <w:uiPriority w:val="99"/>
    <w:rPr>
      <w:rFonts w:ascii="Times New Roman" w:hAnsi="Times New Roman" w:eastAsia="宋体" w:cs="Times New Roman"/>
      <w:sz w:val="28"/>
      <w:lang w:val="en-US" w:eastAsia="zh-CN" w:bidi="ar-SA"/>
    </w:rPr>
  </w:style>
  <w:style w:type="paragraph" w:customStyle="1" w:styleId="306">
    <w:name w:val="Char1 Char Char Char1 Char Char Char9"/>
    <w:basedOn w:val="1"/>
    <w:qFormat/>
    <w:uiPriority w:val="0"/>
    <w:pPr>
      <w:jc w:val="both"/>
      <w:textAlignment w:val="auto"/>
    </w:pPr>
    <w:rPr>
      <w:rFonts w:ascii="宋体" w:hAnsi="宋体" w:cs="宋体"/>
      <w:kern w:val="2"/>
      <w:sz w:val="24"/>
      <w:szCs w:val="24"/>
    </w:rPr>
  </w:style>
  <w:style w:type="paragraph" w:customStyle="1" w:styleId="307">
    <w:name w:val="Char1 Char Char Char1 Char Char Char10"/>
    <w:basedOn w:val="1"/>
    <w:qFormat/>
    <w:uiPriority w:val="0"/>
    <w:pPr>
      <w:jc w:val="both"/>
      <w:textAlignment w:val="auto"/>
    </w:pPr>
    <w:rPr>
      <w:rFonts w:ascii="宋体" w:hAnsi="宋体" w:cs="宋体"/>
      <w:kern w:val="2"/>
      <w:sz w:val="24"/>
      <w:szCs w:val="24"/>
    </w:rPr>
  </w:style>
  <w:style w:type="character" w:customStyle="1" w:styleId="308">
    <w:name w:val="正文文本 字符"/>
    <w:qFormat/>
    <w:uiPriority w:val="0"/>
    <w:rPr>
      <w:rFonts w:ascii="Times New Roman" w:hAnsi="Times New Roman" w:eastAsia="宋体" w:cs="Times New Roman"/>
      <w:sz w:val="28"/>
      <w:lang w:val="en-US" w:eastAsia="zh-CN" w:bidi="ar-SA"/>
    </w:rPr>
  </w:style>
  <w:style w:type="character" w:customStyle="1" w:styleId="309">
    <w:name w:val="宋体 13 磅 行距: 固定值 24 磅 Char Char"/>
    <w:link w:val="310"/>
    <w:qFormat/>
    <w:locked/>
    <w:uiPriority w:val="0"/>
    <w:rPr>
      <w:rFonts w:ascii="宋体" w:hAnsi="宋体" w:cs="宋体"/>
      <w:sz w:val="26"/>
    </w:rPr>
  </w:style>
  <w:style w:type="paragraph" w:customStyle="1" w:styleId="310">
    <w:name w:val="宋体 13 磅 行距: 固定值 24 磅"/>
    <w:basedOn w:val="1"/>
    <w:link w:val="309"/>
    <w:qFormat/>
    <w:uiPriority w:val="0"/>
    <w:pPr>
      <w:spacing w:line="480" w:lineRule="exact"/>
      <w:ind w:firstLine="520"/>
      <w:jc w:val="both"/>
      <w:textAlignment w:val="auto"/>
    </w:pPr>
    <w:rPr>
      <w:rFonts w:ascii="宋体" w:hAnsi="宋体" w:cs="宋体"/>
      <w:sz w:val="26"/>
    </w:rPr>
  </w:style>
  <w:style w:type="paragraph" w:customStyle="1" w:styleId="311">
    <w:name w:val="Char1 Char Char Char1 Char Char Char11"/>
    <w:basedOn w:val="1"/>
    <w:qFormat/>
    <w:uiPriority w:val="0"/>
    <w:pPr>
      <w:jc w:val="both"/>
      <w:textAlignment w:val="auto"/>
    </w:pPr>
    <w:rPr>
      <w:rFonts w:ascii="宋体" w:hAnsi="宋体" w:cs="宋体"/>
      <w:kern w:val="2"/>
      <w:sz w:val="24"/>
      <w:szCs w:val="24"/>
    </w:rPr>
  </w:style>
  <w:style w:type="paragraph" w:customStyle="1" w:styleId="312">
    <w:name w:val="Char1 Char Char Char1 Char Char Char12"/>
    <w:basedOn w:val="1"/>
    <w:qFormat/>
    <w:uiPriority w:val="0"/>
    <w:pPr>
      <w:jc w:val="both"/>
      <w:textAlignment w:val="auto"/>
    </w:pPr>
    <w:rPr>
      <w:rFonts w:ascii="宋体" w:hAnsi="宋体" w:cs="宋体"/>
      <w:kern w:val="2"/>
      <w:sz w:val="24"/>
      <w:szCs w:val="24"/>
    </w:rPr>
  </w:style>
  <w:style w:type="paragraph" w:customStyle="1" w:styleId="313">
    <w:name w:val="表格文本"/>
    <w:basedOn w:val="1"/>
    <w:qFormat/>
    <w:uiPriority w:val="0"/>
    <w:pPr>
      <w:snapToGrid w:val="0"/>
      <w:spacing w:line="240" w:lineRule="auto"/>
      <w:ind w:firstLine="0" w:firstLineChars="0"/>
      <w:jc w:val="center"/>
      <w:textAlignment w:val="auto"/>
    </w:pPr>
    <w:rPr>
      <w:sz w:val="21"/>
      <w:szCs w:val="21"/>
      <w:lang w:val="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66.png"/><Relationship Id="rId98" Type="http://schemas.openxmlformats.org/officeDocument/2006/relationships/image" Target="media/image65.png"/><Relationship Id="rId97" Type="http://schemas.openxmlformats.org/officeDocument/2006/relationships/image" Target="media/image64.jpeg"/><Relationship Id="rId96" Type="http://schemas.openxmlformats.org/officeDocument/2006/relationships/image" Target="media/image63.emf"/><Relationship Id="rId95" Type="http://schemas.openxmlformats.org/officeDocument/2006/relationships/image" Target="media/image62.wmf"/><Relationship Id="rId94" Type="http://schemas.openxmlformats.org/officeDocument/2006/relationships/oleObject" Target="embeddings/oleObject16.bin"/><Relationship Id="rId93" Type="http://schemas.openxmlformats.org/officeDocument/2006/relationships/image" Target="media/image61.wmf"/><Relationship Id="rId92" Type="http://schemas.openxmlformats.org/officeDocument/2006/relationships/oleObject" Target="embeddings/oleObject15.bin"/><Relationship Id="rId91" Type="http://schemas.openxmlformats.org/officeDocument/2006/relationships/image" Target="media/image60.jpeg"/><Relationship Id="rId90" Type="http://schemas.openxmlformats.org/officeDocument/2006/relationships/image" Target="media/image59.jpeg"/><Relationship Id="rId9" Type="http://schemas.openxmlformats.org/officeDocument/2006/relationships/footer" Target="footer2.xml"/><Relationship Id="rId89" Type="http://schemas.openxmlformats.org/officeDocument/2006/relationships/image" Target="media/image58.wmf"/><Relationship Id="rId88" Type="http://schemas.openxmlformats.org/officeDocument/2006/relationships/oleObject" Target="embeddings/oleObject14.bin"/><Relationship Id="rId87" Type="http://schemas.openxmlformats.org/officeDocument/2006/relationships/image" Target="media/image57.wmf"/><Relationship Id="rId86" Type="http://schemas.openxmlformats.org/officeDocument/2006/relationships/oleObject" Target="embeddings/oleObject13.bin"/><Relationship Id="rId85" Type="http://schemas.openxmlformats.org/officeDocument/2006/relationships/image" Target="media/image56.wmf"/><Relationship Id="rId84" Type="http://schemas.openxmlformats.org/officeDocument/2006/relationships/oleObject" Target="embeddings/oleObject12.bin"/><Relationship Id="rId83" Type="http://schemas.openxmlformats.org/officeDocument/2006/relationships/image" Target="media/image55.wmf"/><Relationship Id="rId82" Type="http://schemas.openxmlformats.org/officeDocument/2006/relationships/oleObject" Target="embeddings/oleObject11.bin"/><Relationship Id="rId81" Type="http://schemas.openxmlformats.org/officeDocument/2006/relationships/image" Target="media/image54.wmf"/><Relationship Id="rId80" Type="http://schemas.openxmlformats.org/officeDocument/2006/relationships/oleObject" Target="embeddings/oleObject10.bin"/><Relationship Id="rId8" Type="http://schemas.openxmlformats.org/officeDocument/2006/relationships/footer" Target="footer1.xml"/><Relationship Id="rId79" Type="http://schemas.openxmlformats.org/officeDocument/2006/relationships/image" Target="media/image53.jpeg"/><Relationship Id="rId78" Type="http://schemas.openxmlformats.org/officeDocument/2006/relationships/image" Target="media/image52.wmf"/><Relationship Id="rId77" Type="http://schemas.openxmlformats.org/officeDocument/2006/relationships/oleObject" Target="embeddings/oleObject9.bin"/><Relationship Id="rId76" Type="http://schemas.openxmlformats.org/officeDocument/2006/relationships/image" Target="media/image51.jpeg"/><Relationship Id="rId75" Type="http://schemas.openxmlformats.org/officeDocument/2006/relationships/image" Target="media/image50.wmf"/><Relationship Id="rId74" Type="http://schemas.openxmlformats.org/officeDocument/2006/relationships/oleObject" Target="embeddings/oleObject8.bin"/><Relationship Id="rId73" Type="http://schemas.openxmlformats.org/officeDocument/2006/relationships/image" Target="media/image49.wmf"/><Relationship Id="rId72" Type="http://schemas.openxmlformats.org/officeDocument/2006/relationships/oleObject" Target="embeddings/oleObject7.bin"/><Relationship Id="rId71" Type="http://schemas.openxmlformats.org/officeDocument/2006/relationships/image" Target="media/image48.jpe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wmf"/><Relationship Id="rId62" Type="http://schemas.openxmlformats.org/officeDocument/2006/relationships/oleObject" Target="embeddings/oleObject6.bin"/><Relationship Id="rId61" Type="http://schemas.openxmlformats.org/officeDocument/2006/relationships/image" Target="media/image39.wmf"/><Relationship Id="rId60" Type="http://schemas.openxmlformats.org/officeDocument/2006/relationships/oleObject" Target="embeddings/oleObject5.bin"/><Relationship Id="rId6" Type="http://schemas.openxmlformats.org/officeDocument/2006/relationships/header" Target="header2.xml"/><Relationship Id="rId59" Type="http://schemas.openxmlformats.org/officeDocument/2006/relationships/image" Target="media/image38.wmf"/><Relationship Id="rId58" Type="http://schemas.openxmlformats.org/officeDocument/2006/relationships/oleObject" Target="embeddings/oleObject4.bin"/><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png"/><Relationship Id="rId50" Type="http://schemas.openxmlformats.org/officeDocument/2006/relationships/image" Target="media/image30.wmf"/><Relationship Id="rId5" Type="http://schemas.openxmlformats.org/officeDocument/2006/relationships/header" Target="header1.xml"/><Relationship Id="rId49" Type="http://schemas.openxmlformats.org/officeDocument/2006/relationships/oleObject" Target="embeddings/oleObject3.bin"/><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emf"/><Relationship Id="rId41" Type="http://schemas.openxmlformats.org/officeDocument/2006/relationships/image" Target="media/image22.emf"/><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emf"/><Relationship Id="rId38" Type="http://schemas.openxmlformats.org/officeDocument/2006/relationships/image" Target="media/image19.emf"/><Relationship Id="rId37" Type="http://schemas.openxmlformats.org/officeDocument/2006/relationships/image" Target="media/image18.jpe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jpeg"/><Relationship Id="rId33" Type="http://schemas.openxmlformats.org/officeDocument/2006/relationships/image" Target="media/image14.pn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6.emf"/><Relationship Id="rId24" Type="http://schemas.openxmlformats.org/officeDocument/2006/relationships/oleObject" Target="embeddings/oleObject2.bin"/><Relationship Id="rId23" Type="http://schemas.openxmlformats.org/officeDocument/2006/relationships/image" Target="media/image5.emf"/><Relationship Id="rId22" Type="http://schemas.openxmlformats.org/officeDocument/2006/relationships/oleObject" Target="embeddings/oleObject1.bin"/><Relationship Id="rId21" Type="http://schemas.openxmlformats.org/officeDocument/2006/relationships/image" Target="media/image4.jpe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wmf"/><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8" Type="http://schemas.openxmlformats.org/officeDocument/2006/relationships/fontTable" Target="fontTable.xml"/><Relationship Id="rId107" Type="http://schemas.openxmlformats.org/officeDocument/2006/relationships/customXml" Target="../customXml/item2.xml"/><Relationship Id="rId106" Type="http://schemas.openxmlformats.org/officeDocument/2006/relationships/numbering" Target="numbering.xml"/><Relationship Id="rId105" Type="http://schemas.openxmlformats.org/officeDocument/2006/relationships/customXml" Target="../customXml/item1.xml"/><Relationship Id="rId104" Type="http://schemas.openxmlformats.org/officeDocument/2006/relationships/image" Target="media/image71.png"/><Relationship Id="rId103" Type="http://schemas.openxmlformats.org/officeDocument/2006/relationships/image" Target="media/image70.png"/><Relationship Id="rId102" Type="http://schemas.openxmlformats.org/officeDocument/2006/relationships/image" Target="media/image69.png"/><Relationship Id="rId101" Type="http://schemas.openxmlformats.org/officeDocument/2006/relationships/image" Target="media/image68.png"/><Relationship Id="rId100" Type="http://schemas.openxmlformats.org/officeDocument/2006/relationships/image" Target="media/image67.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8"/>
    <customShpInfo spid="_x0000_s2056"/>
    <customShpInfo spid="_x0000_s1027"/>
    <customShpInfo spid="_x0000_s2017"/>
    <customShpInfo spid="_x0000_s2018"/>
    <customShpInfo spid="_x0000_s1998"/>
    <customShpInfo spid="_x0000_s1996"/>
    <customShpInfo spid="_x0000_s1993"/>
    <customShpInfo spid="_x0000_s1997"/>
    <customShpInfo spid="_x0000_s1994"/>
    <customShpInfo spid="_x0000_s1995"/>
    <customShpInfo spid="_x0000_s1992"/>
    <customShpInfo spid="_x0000_s1991"/>
    <customShpInfo spid="_x0000_s1989"/>
    <customShpInfo spid="_x0000_s1988"/>
    <customShpInfo spid="_x0000_s1986"/>
    <customShpInfo spid="_x0000_s1987"/>
    <customShpInfo spid="_x0000_s1226"/>
    <customShpInfo spid="_x0000_s1225"/>
    <customShpInfo spid="_x0000_s1721"/>
    <customShpInfo spid="_x0000_s1327"/>
    <customShpInfo spid="_x0000_s1720"/>
    <customShpInfo spid="_x0000_s1326"/>
    <customShpInfo spid="_x0000_s1325"/>
    <customShpInfo spid="_x0000_s2032"/>
    <customShpInfo spid="_x0000_s2028"/>
    <customShpInfo spid="_x0000_s2034"/>
    <customShpInfo spid="_x0000_s2033"/>
    <customShpInfo spid="_x0000_s2030"/>
    <customShpInfo spid="_x0000_s2031"/>
    <customShpInfo spid="_x0000_s2029"/>
    <customShpInfo spid="_x0000_s2035"/>
    <customShpInfo spid="_x0000_s2026"/>
    <customShpInfo spid="_x0000_s2036"/>
    <customShpInfo spid="_x0000_s2037"/>
    <customShpInfo spid="_x0000_s2038"/>
    <customShpInfo spid="_x0000_s2039"/>
    <customShpInfo spid="_x0000_s1280"/>
    <customShpInfo spid="_x0000_s1279"/>
    <customShpInfo spid="_x0000_s1982"/>
    <customShpInfo spid="_x0000_s1983"/>
    <customShpInfo spid="_x0000_s1984"/>
    <customShpInfo spid="_x0000_s1981"/>
    <customShpInfo spid="_x0000_s1985"/>
    <customShpInfo spid="_x0000_s1281"/>
    <customShpInfo spid="_x0000_s1282"/>
    <customShpInfo spid="_x0000_s2002"/>
    <customShpInfo spid="_x0000_s2001"/>
    <customShpInfo spid="_x0000_s2000"/>
    <customShpInfo spid="_x0000_s1999"/>
    <customShpInfo spid="_x0000_s2006"/>
    <customShpInfo spid="_x0000_s2005"/>
    <customShpInfo spid="_x0000_s2004"/>
    <customShpInfo spid="_x0000_s2003"/>
    <customShpInfo spid="_x0000_s1191"/>
    <customShpInfo spid="_x0000_s2014"/>
    <customShpInfo spid="_x0000_s2012"/>
    <customShpInfo spid="_x0000_s2015"/>
    <customShpInfo spid="_x0000_s2013"/>
    <customShpInfo spid="_x0000_s2010"/>
    <customShpInfo spid="_x0000_s2007"/>
    <customShpInfo spid="_x0000_s2009"/>
    <customShpInfo spid="_x0000_s2008"/>
    <customShpInfo spid="_x0000_s2016"/>
    <customShpInfo spid="_x0000_s201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0003507-85BA-4967-90B3-C71229BE1B34}">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192</Pages>
  <Words>103229</Words>
  <Characters>123158</Characters>
  <Lines>1100</Lines>
  <Paragraphs>309</Paragraphs>
  <TotalTime>1</TotalTime>
  <ScaleCrop>false</ScaleCrop>
  <LinksUpToDate>false</LinksUpToDate>
  <CharactersWithSpaces>124265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2019-01-28T12:16:00Z</dcterms:created>
  <dc:creator>微软用户</dc:creator>
  <cp:lastModifiedBy>归去来兮</cp:lastModifiedBy>
  <cp:lastPrinted>2019-05-07T07:19:00Z</cp:lastPrinted>
  <dcterms:modified xsi:type="dcterms:W3CDTF">2023-05-26T07:26:15Z</dcterms:modified>
  <dc:title>牧原食品股份有限公司</dc:title>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A0662C71F14B4C0E91BA864B964032DA</vt:lpwstr>
  </property>
</Properties>
</file>